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
        <w:jc w:val="center"/>
      </w:pPr>
      <w:r>
        <w:rPr>
          <w:rFonts w:ascii="Arial" w:cs="Arial" w:eastAsia="Arial" w:hAnsi="Arial"/>
          <w:b/>
          <w:bCs/>
          <w:color w:val="1E3A5F"/>
          <w:sz w:val="36"/>
          <w:szCs w:val="36"/>
        </w:rPr>
        <w:t xml:space="preserve">UNIVERSIDAD CONTINENTAL</w:t>
      </w:r>
    </w:p>
    <w:p>
      <w:pPr>
        <w:spacing w:after="40"/>
        <w:jc w:val="center"/>
      </w:pPr>
      <w:r>
        <w:rPr>
          <w:rFonts w:ascii="Arial" w:cs="Arial" w:eastAsia="Arial" w:hAnsi="Arial"/>
          <w:color w:val="595959"/>
          <w:sz w:val="26"/>
          <w:szCs w:val="26"/>
        </w:rPr>
        <w:t xml:space="preserve">Ingeniería de Sistemas e Informática</w:t>
      </w:r>
    </w:p>
    <w:p>
      <w:pPr>
        <w:spacing w:after="200"/>
        <w:jc w:val="center"/>
      </w:pPr>
      <w:r>
        <w:rPr>
          <w:rFonts w:ascii="Arial" w:cs="Arial" w:eastAsia="Arial" w:hAnsi="Arial"/>
          <w:i/>
          <w:iCs/>
          <w:color w:val="595959"/>
          <w:sz w:val="24"/>
          <w:szCs w:val="24"/>
        </w:rPr>
        <w:t xml:space="preserve">Taller de Investigación 2</w:t>
      </w:r>
    </w:p>
    <w:p/>
    <w:p/>
    <w:p>
      <w:pPr>
        <w:pBdr>
          <w:top w:val="single" w:color="2E75B6" w:sz="12"/>
          <w:bottom w:val="single" w:color="2E75B6" w:sz="12"/>
        </w:pBdr>
        <w:spacing w:after="160" w:before="160"/>
        <w:jc w:val="center"/>
      </w:pPr>
      <w:r>
        <w:rPr>
          <w:rFonts w:ascii="Arial" w:cs="Arial" w:eastAsia="Arial" w:hAnsi="Arial"/>
          <w:b/>
          <w:bCs/>
          <w:color w:val="1E3A5F"/>
          <w:sz w:val="40"/>
          <w:szCs w:val="40"/>
        </w:rPr>
        <w:t xml:space="preserve">REQUISITOS NO FUNCIONALES</w:t>
      </w:r>
    </w:p>
    <w:p>
      <w:pPr>
        <w:spacing w:after="240" w:before="80"/>
        <w:jc w:val="center"/>
      </w:pPr>
      <w:r>
        <w:rPr>
          <w:rFonts w:ascii="Arial" w:cs="Arial" w:eastAsia="Arial" w:hAnsi="Arial"/>
          <w:b/>
          <w:bCs/>
          <w:color w:val="2E75B6"/>
          <w:sz w:val="28"/>
          <w:szCs w:val="28"/>
        </w:rPr>
        <w:t xml:space="preserve">Sistema de Generación Óptima de Horarios Académicos</w:t>
      </w:r>
    </w:p>
    <w:p/>
    <w:p/>
    <w:p>
      <w:pPr>
        <w:spacing w:after="40"/>
        <w:jc w:val="center"/>
      </w:pPr>
      <w:r>
        <w:rPr>
          <w:rFonts w:ascii="Arial" w:cs="Arial" w:eastAsia="Arial" w:hAnsi="Arial"/>
          <w:b/>
          <w:bCs/>
          <w:color w:val="1E3A5F"/>
          <w:sz w:val="24"/>
          <w:szCs w:val="24"/>
        </w:rPr>
        <w:t xml:space="preserve">Equipo de Desarrollo</w:t>
      </w:r>
    </w:p>
    <w:p>
      <w:pPr>
        <w:spacing w:after="20"/>
        <w:jc w:val="center"/>
      </w:pPr>
      <w:r>
        <w:rPr>
          <w:rFonts w:ascii="Arial" w:cs="Arial" w:eastAsia="Arial" w:hAnsi="Arial"/>
          <w:sz w:val="22"/>
          <w:szCs w:val="22"/>
        </w:rPr>
        <w:t xml:space="preserve">SANCHEZ RAMOS, Giovany</w:t>
      </w:r>
    </w:p>
    <w:p>
      <w:pPr>
        <w:spacing w:after="80"/>
        <w:jc w:val="center"/>
      </w:pPr>
      <w:r>
        <w:rPr>
          <w:rFonts w:ascii="Arial" w:cs="Arial" w:eastAsia="Arial" w:hAnsi="Arial"/>
          <w:sz w:val="22"/>
          <w:szCs w:val="22"/>
        </w:rPr>
        <w:t xml:space="preserve">CALDERON ALIAGA, Kenedy</w:t>
      </w:r>
    </w:p>
    <w:p/>
    <w:p>
      <w:pPr>
        <w:spacing w:after="20"/>
        <w:jc w:val="center"/>
      </w:pPr>
      <w:r>
        <w:rPr>
          <w:rFonts w:ascii="Arial" w:cs="Arial" w:eastAsia="Arial" w:hAnsi="Arial"/>
          <w:i/>
          <w:iCs/>
          <w:sz w:val="22"/>
          <w:szCs w:val="22"/>
        </w:rPr>
        <w:t xml:space="preserve">Docente: Mg. Daniel Gamarra Moreno</w:t>
      </w:r>
    </w:p>
    <w:p>
      <w:pPr>
        <w:spacing w:after="20"/>
        <w:jc w:val="center"/>
      </w:pPr>
      <w:r>
        <w:rPr>
          <w:rFonts w:ascii="Arial" w:cs="Arial" w:eastAsia="Arial" w:hAnsi="Arial"/>
          <w:sz w:val="22"/>
          <w:szCs w:val="22"/>
        </w:rPr>
        <w:t xml:space="preserve">Huancayo, Perú — 2025</w:t>
      </w:r>
    </w:p>
    <w:p>
      <w:r>
        <w:br w:type="page"/>
      </w:r>
    </w:p>
    <w:p>
      <w:pPr>
        <w:pStyle w:val="Heading1"/>
        <w:pBdr>
          <w:bottom w:val="single" w:color="2E75B6" w:sz="8"/>
        </w:pBdr>
        <w:spacing w:after="160" w:before="320"/>
      </w:pPr>
      <w:r>
        <w:rPr>
          <w:rFonts w:ascii="Arial" w:cs="Arial" w:eastAsia="Arial" w:hAnsi="Arial"/>
          <w:b/>
          <w:bCs/>
          <w:color w:val="1E3A5F"/>
          <w:sz w:val="32"/>
          <w:szCs w:val="32"/>
        </w:rPr>
        <w:t xml:space="preserve">1. INTRODUCCIÓN</w:t>
      </w:r>
    </w:p>
    <w:p>
      <w:pPr>
        <w:pStyle w:val="Heading2"/>
        <w:spacing w:after="120" w:before="240"/>
      </w:pPr>
      <w:r>
        <w:rPr>
          <w:rFonts w:ascii="Arial" w:cs="Arial" w:eastAsia="Arial" w:hAnsi="Arial"/>
          <w:b/>
          <w:bCs/>
          <w:color w:val="2E75B6"/>
          <w:sz w:val="26"/>
          <w:szCs w:val="26"/>
        </w:rPr>
        <w:t xml:space="preserve">1.1 Propósito</w:t>
      </w:r>
    </w:p>
    <w:p>
      <w:pPr>
        <w:spacing w:after="80" w:before="60"/>
        <w:jc w:val="both"/>
      </w:pPr>
      <w:r>
        <w:rPr>
          <w:rFonts w:ascii="Arial" w:cs="Arial" w:eastAsia="Arial" w:hAnsi="Arial"/>
          <w:color w:val="000000"/>
          <w:sz w:val="22"/>
          <w:szCs w:val="22"/>
        </w:rPr>
        <w:t xml:space="preserve">El presente documento especifica los Requisitos No Funcionales (RNF) del Sistema de Generación Óptima de Horarios Académicos (SGOHA). Los RNF describen las cualidades del sistema que determinan cómo debe operar, más allá de las funciones específicas que realiza. Incluyen atributos de calidad como rendimiento, seguridad, escalabilidad, disponibilidad, mantenibilidad y usabilidad, cada uno con métricas concretas y verificables.</w:t>
      </w:r>
    </w:p>
    <w:p/>
    <w:p>
      <w:pPr>
        <w:pStyle w:val="Heading2"/>
        <w:spacing w:after="120" w:before="240"/>
      </w:pPr>
      <w:r>
        <w:rPr>
          <w:rFonts w:ascii="Arial" w:cs="Arial" w:eastAsia="Arial" w:hAnsi="Arial"/>
          <w:b/>
          <w:bCs/>
          <w:color w:val="2E75B6"/>
          <w:sz w:val="26"/>
          <w:szCs w:val="26"/>
        </w:rPr>
        <w:t xml:space="preserve">1.2 Categorías de Requisitos No Funcionales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5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 de RNF</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5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Tiempos de respuesta y capacidad de procesamiento</w:t>
            </w:r>
          </w:p>
        </w:tc>
        <w:tc>
          <w:tcPr>
            <w:tcW w:type="dxa" w:w="1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 RNF</w:t>
            </w:r>
          </w:p>
        </w:tc>
      </w:tr>
      <w:tr>
        <w:tc>
          <w:tcPr>
            <w:tcW w:type="dxa" w:w="2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5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Protección de datos y acceso al sistema</w:t>
            </w:r>
          </w:p>
        </w:tc>
        <w:tc>
          <w:tcPr>
            <w:tcW w:type="dxa" w:w="1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 RNF</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c>
          <w:tcPr>
            <w:tcW w:type="dxa" w:w="5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Capacidad de crecimiento del sistema</w:t>
            </w:r>
          </w:p>
        </w:tc>
        <w:tc>
          <w:tcPr>
            <w:tcW w:type="dxa" w:w="1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 RNF</w:t>
            </w:r>
          </w:p>
        </w:tc>
      </w:tr>
      <w:tr>
        <w:tc>
          <w:tcPr>
            <w:tcW w:type="dxa" w:w="2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c>
          <w:tcPr>
            <w:tcW w:type="dxa" w:w="5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Tiempo en línea y tolerancia a fallos</w:t>
            </w:r>
          </w:p>
        </w:tc>
        <w:tc>
          <w:tcPr>
            <w:tcW w:type="dxa" w:w="1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 RNF</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c>
          <w:tcPr>
            <w:tcW w:type="dxa" w:w="5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Facilidad de modificación y pruebas</w:t>
            </w:r>
          </w:p>
        </w:tc>
        <w:tc>
          <w:tcPr>
            <w:tcW w:type="dxa" w:w="1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 RNF</w:t>
            </w:r>
          </w:p>
        </w:tc>
      </w:tr>
      <w:tr>
        <w:tc>
          <w:tcPr>
            <w:tcW w:type="dxa" w:w="2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c>
          <w:tcPr>
            <w:tcW w:type="dxa" w:w="5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Experiencia de usuario e interfaz</w:t>
            </w:r>
          </w:p>
        </w:tc>
        <w:tc>
          <w:tcPr>
            <w:tcW w:type="dxa" w:w="15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 RNF</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Compatibilidad</w:t>
            </w:r>
          </w:p>
        </w:tc>
        <w:tc>
          <w:tcPr>
            <w:tcW w:type="dxa" w:w="5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Soporte de navegadores y plataformas</w:t>
            </w:r>
          </w:p>
        </w:tc>
        <w:tc>
          <w:tcPr>
            <w:tcW w:type="dxa" w:w="15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 RNF</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2. REQUISITOS DE RENDIMIENTO</w:t>
      </w:r>
    </w:p>
    <w:p>
      <w:pPr>
        <w:spacing w:after="80" w:before="60"/>
        <w:jc w:val="both"/>
      </w:pPr>
      <w:r>
        <w:rPr>
          <w:rFonts w:ascii="Arial" w:cs="Arial" w:eastAsia="Arial" w:hAnsi="Arial"/>
          <w:color w:val="000000"/>
          <w:sz w:val="22"/>
          <w:szCs w:val="22"/>
        </w:rPr>
        <w:t xml:space="preserve">El rendimiento define la velocidad y capacidad de respuesta del sistema bajo condiciones normales y de carga. Las métricas establecidas garantizan una experiencia fluida para los usuarios del SGOHA.</w:t>
      </w:r>
    </w:p>
    <w:p/>
    <w:p>
      <w:pPr>
        <w:pStyle w:val="Heading2"/>
        <w:spacing w:after="120" w:before="240"/>
      </w:pPr>
      <w:r>
        <w:rPr>
          <w:rFonts w:ascii="Arial" w:cs="Arial" w:eastAsia="Arial" w:hAnsi="Arial"/>
          <w:b/>
          <w:bCs/>
          <w:color w:val="2E75B6"/>
          <w:sz w:val="26"/>
          <w:szCs w:val="26"/>
        </w:rPr>
        <w:t xml:space="preserve">RNF-01: Tiempo de Respuesta de la API 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RNF-01</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Todos los endpoints de la API REST deben responder en un tiempo máximo definido según el tipo de operación</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Operaciones CRUD (listar, crear, editar, eliminar): ≤ 2 segundos
Consulta de horarios generados: ≤ 1 segundo
Autenticación (login): ≤ 1 segundo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Express.js con timeout configurado en 30 segundos (client.ts). Mongoose con índices en campos de búsqueda frecuente (_id, academic_period, course_id)</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Verificación</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 manual con Postman midiendo tiempo de respuesta en cada endpoint. Umbral de alerta: &gt; 2 segundos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 — Tiempo promedio medido: &lt; 200ms en operaciones CRUD locales</w:t>
            </w:r>
          </w:p>
        </w:tc>
      </w:tr>
    </w:tbl>
    <w:p/>
    <w:p>
      <w:pPr>
        <w:pStyle w:val="Heading2"/>
        <w:spacing w:after="120" w:before="240"/>
      </w:pPr>
      <w:r>
        <w:rPr>
          <w:rFonts w:ascii="Arial" w:cs="Arial" w:eastAsia="Arial" w:hAnsi="Arial"/>
          <w:b/>
          <w:bCs/>
          <w:color w:val="2E75B6"/>
          <w:sz w:val="26"/>
          <w:szCs w:val="26"/>
        </w:rPr>
        <w:t xml:space="preserve">RNF-02: Tiempo de Generación de Horarios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RNF-02</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algoritmo CSP de generación de horarios debe completarse dentro de un tiempo razonable para escenarios académicos estándar</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Escenario estándar (≤ 20 cursos): ≤ 60 segundos
Escenario pequeño (≤ 5 cursos): ≤ 5 segundos
Timeout máximo configurado: 60 segundos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solver.js implementa un mecanismo de timeout mediante stats.timedOut() que evalúa (Date.now() - startTime) / 1000 &gt; timeoutSeconds. Al alcanzar el límite retorna status: "timeout" con la asignación parcial obtenida</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Optimizaciones</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AC-3 reduce dominios antes del backtracking
MRV prioriza variables más restringidas
LCV ordena valores menos restrictivos primero
Forward Checking elimina valores inválidos anticipadamente</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 — Timeout implementado. Heurísticas MRV+LCV reducen significativamente el espacio de búsqueda</w:t>
            </w:r>
          </w:p>
        </w:tc>
      </w:tr>
    </w:tbl>
    <w:p/>
    <w:p>
      <w:pPr>
        <w:pStyle w:val="Heading2"/>
        <w:spacing w:after="120" w:before="240"/>
      </w:pPr>
      <w:r>
        <w:rPr>
          <w:rFonts w:ascii="Arial" w:cs="Arial" w:eastAsia="Arial" w:hAnsi="Arial"/>
          <w:b/>
          <w:bCs/>
          <w:color w:val="2E75B6"/>
          <w:sz w:val="26"/>
          <w:szCs w:val="26"/>
        </w:rPr>
        <w:t xml:space="preserve">RNF-03: Tiempo de Carga del Frontend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RNF-03</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 interfaz web debe cargarse de forma eficiente minimizando el tiempo de espera del usuario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Primera carga de la aplicación: ≤ 3 segundos en conexión estándar
Navegación entre páginas (SPA): ≤ 500ms
Carga de componentes lazy: ≤ 1 segundo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React con lazy loading en todas las páginas (lazy(() =&gt; import(...))). Vite como bundler con optimización automática. Código dividido por rutas (code splitting)</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 — Lazy loading implementado en App.tsx para todas las páginas del sistema</w:t>
            </w:r>
          </w:p>
        </w:tc>
      </w:tr>
    </w:tbl>
    <w:p/>
    <w:p>
      <w:pPr>
        <w:pStyle w:val="Heading2"/>
        <w:spacing w:after="120" w:before="240"/>
      </w:pPr>
      <w:r>
        <w:rPr>
          <w:rFonts w:ascii="Arial" w:cs="Arial" w:eastAsia="Arial" w:hAnsi="Arial"/>
          <w:b/>
          <w:bCs/>
          <w:color w:val="2E75B6"/>
          <w:sz w:val="26"/>
          <w:szCs w:val="26"/>
        </w:rPr>
        <w:t xml:space="preserve">RNF-04: Gestión de Sesiones Concurrentes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RNF-04</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debe manejar múltiples usuarios conectados simultáneamente sin degradación significativa del rendimiento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Hasta 50 usuarios concurrentes sin degradación
Tiempo de respuesta no debe superar 2x el tiempo base con 20 usuarios concurrentes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Arquitectura stateless con JWT (sin sesiones en servidor). Express.js con manejo asíncrono mediante async/await. MongoDB con connection pooling de Mongoose</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DISEÑADO — Arquitectura stateless garantiza escalabilidad horizontal</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3. REQUISITOS DE SEGURIDAD</w:t>
      </w:r>
    </w:p>
    <w:p>
      <w:pPr>
        <w:spacing w:after="80" w:before="60"/>
        <w:jc w:val="both"/>
      </w:pPr>
      <w:r>
        <w:rPr>
          <w:rFonts w:ascii="Arial" w:cs="Arial" w:eastAsia="Arial" w:hAnsi="Arial"/>
          <w:color w:val="000000"/>
          <w:sz w:val="22"/>
          <w:szCs w:val="22"/>
        </w:rPr>
        <w:t xml:space="preserve">La seguridad del SGOHA protege la integridad de los datos académicos y garantiza que solo usuarios autorizados accedan a las funciones del sistema.</w:t>
      </w:r>
    </w:p>
    <w:p/>
    <w:p>
      <w:pPr>
        <w:pStyle w:val="Heading2"/>
        <w:spacing w:after="120" w:before="240"/>
      </w:pPr>
      <w:r>
        <w:rPr>
          <w:rFonts w:ascii="Arial" w:cs="Arial" w:eastAsia="Arial" w:hAnsi="Arial"/>
          <w:b/>
          <w:bCs/>
          <w:color w:val="2E75B6"/>
          <w:sz w:val="26"/>
          <w:szCs w:val="26"/>
        </w:rPr>
        <w:t xml:space="preserve">RNF-05: Autenticación con JWT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RNF-05</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debe autenticar a todos los usuarios mediante tokens JWT firmados, sin mantener estado en el servidor</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Token JWT con expiración de 8 horas
Firma con algoritmo HS256 y clave secreta de ≥ 32 caracteres
Todos los endpoints protegidos deben retornar HTTP 401 sin token válido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jsonwebtoken v9.0.2. JWT_SECRET configurado en .env. Middleware auth.js valida token en cada request protegido. El interceptor de axios (client.ts) inyecta el token automáticamente en cada petición</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JWT con expiración 8h. Interceptor de respuesta redirige a /login en HTTP 401</w:t>
            </w:r>
          </w:p>
        </w:tc>
      </w:tr>
    </w:tbl>
    <w:p/>
    <w:p>
      <w:pPr>
        <w:pStyle w:val="Heading2"/>
        <w:spacing w:after="120" w:before="240"/>
      </w:pPr>
      <w:r>
        <w:rPr>
          <w:rFonts w:ascii="Arial" w:cs="Arial" w:eastAsia="Arial" w:hAnsi="Arial"/>
          <w:b/>
          <w:bCs/>
          <w:color w:val="2E75B6"/>
          <w:sz w:val="26"/>
          <w:szCs w:val="26"/>
        </w:rPr>
        <w:t xml:space="preserve">RNF-06: Hash de Contraseñas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RNF-06</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Las contraseñas de los usuarios nunca deben almacenarse en texto plano en la base de datos</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Hash bcrypt con factor de costo 12
Impossible de revertir sin fuerza bruta
Tiempo de comparación: &lt; 500ms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bcryptjs v2.4.3. Factor de costo 12 en seedData.js (bcrypt.hash("password", 12)). Comparación con bcrypt.compare() en el proceso de login</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Factor 12 aplicado. Las contraseñas no son recuperables</w:t>
            </w:r>
          </w:p>
        </w:tc>
      </w:tr>
    </w:tbl>
    <w:p/>
    <w:p>
      <w:pPr>
        <w:pStyle w:val="Heading2"/>
        <w:spacing w:after="120" w:before="240"/>
      </w:pPr>
      <w:r>
        <w:rPr>
          <w:rFonts w:ascii="Arial" w:cs="Arial" w:eastAsia="Arial" w:hAnsi="Arial"/>
          <w:b/>
          <w:bCs/>
          <w:color w:val="2E75B6"/>
          <w:sz w:val="26"/>
          <w:szCs w:val="26"/>
        </w:rPr>
        <w:t xml:space="preserve">RNF-07: Headers de Seguridad HTTP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RNF-07</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servidor debe enviar headers HTTP de seguridad para proteger contra ataques comunes como XSS, clickjacking e inyección de contenido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X-Content-Type-Options: nosniff
X-Frame-Options: DENY
Strict-Transport-Security configurado
Content-Security-Policy definido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helmet v7.1.0 en server.js configura automáticamente todos los headers de seguridad recomendados. CSP adicional definido en index.html del frontend</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Helmet activo en todas las respuestas del backend</w:t>
            </w:r>
          </w:p>
        </w:tc>
      </w:tr>
    </w:tbl>
    <w:p/>
    <w:p>
      <w:pPr>
        <w:pStyle w:val="Heading2"/>
        <w:spacing w:after="120" w:before="240"/>
      </w:pPr>
      <w:r>
        <w:rPr>
          <w:rFonts w:ascii="Arial" w:cs="Arial" w:eastAsia="Arial" w:hAnsi="Arial"/>
          <w:b/>
          <w:bCs/>
          <w:color w:val="2E75B6"/>
          <w:sz w:val="26"/>
          <w:szCs w:val="26"/>
        </w:rPr>
        <w:t xml:space="preserve">RNF-08: Limitación de Intentos de Login (Rate Limiting)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RNF-08</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debe protegerse contra ataques de fuerza bruta limitando el número de requests por IP en un período de tiempo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Máximo 100 requests por IP cada 15 minutos en endpoints públicos
Respuesta HTTP 429 (Too Many Requests) al superar el límite</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express-rate-limit v7.3.1 configurado en server.js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Rate limiter activo en todas las rutas del backend</w:t>
            </w:r>
          </w:p>
        </w:tc>
      </w:tr>
    </w:tbl>
    <w:p/>
    <w:p>
      <w:pPr>
        <w:pStyle w:val="Heading2"/>
        <w:spacing w:after="120" w:before="240"/>
      </w:pPr>
      <w:r>
        <w:rPr>
          <w:rFonts w:ascii="Arial" w:cs="Arial" w:eastAsia="Arial" w:hAnsi="Arial"/>
          <w:b/>
          <w:bCs/>
          <w:color w:val="2E75B6"/>
          <w:sz w:val="26"/>
          <w:szCs w:val="26"/>
        </w:rPr>
        <w:t xml:space="preserve">RNF-09: Expiración Automática de Sesión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RNF-09</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debe cerrar automáticamente la sesión del usuario por inactividad para proteger cuentas desatendidas</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Cierre automático tras 30 minutos sin actividad
Aviso visual 5 minutos antes de expirar
Eliminación del token del localStorage al cerrar sesión</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Hook useSessionGuard() en App.tsx monitorea eventos del usuario (mousemove, keydown, scroll, touchstart). Timer de 30min reiniciado en cada evento. ExpiryBanner muestra alerta cuando quedan ≤ 5 min</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Inactivity timer de 30min y expiry banner de 5min activos</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4. REQUISITOS DE ESCALABILIDAD</w:t>
      </w:r>
    </w:p>
    <w:p/>
    <w:p>
      <w:pPr>
        <w:pStyle w:val="Heading2"/>
        <w:spacing w:after="120" w:before="240"/>
      </w:pPr>
      <w:r>
        <w:rPr>
          <w:rFonts w:ascii="Arial" w:cs="Arial" w:eastAsia="Arial" w:hAnsi="Arial"/>
          <w:b/>
          <w:bCs/>
          <w:color w:val="2E75B6"/>
          <w:sz w:val="26"/>
          <w:szCs w:val="26"/>
        </w:rPr>
        <w:t xml:space="preserve">RNF-10: Arquitectura Desacoplada Frontend/Backend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RNF-10</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frontend y el backend deben ser componentes independientes, comunicados exclusivamente mediante la API REST, permitiendo escalar cada capa de forma independiente</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frontend puede desplegarse en cualquier CDN sin modificar el backend
El backend puede escalarse horizontalmente sin modificar el frontend
La comunicación se realiza únicamente vía HTTP/JSON</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Frontend en React (puerto 5173) y Backend en Express (puerto 8000) son proyectos independientes. El proxy de Vite (vite.config.ts) gestiona las peticiones /api en desarrollo. En producción cada componente se despliega por separado</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Arquitectura MERN completamente desacoplada</w:t>
            </w:r>
          </w:p>
        </w:tc>
      </w:tr>
    </w:tbl>
    <w:p/>
    <w:p>
      <w:pPr>
        <w:pStyle w:val="Heading2"/>
        <w:spacing w:after="120" w:before="240"/>
      </w:pPr>
      <w:r>
        <w:rPr>
          <w:rFonts w:ascii="Arial" w:cs="Arial" w:eastAsia="Arial" w:hAnsi="Arial"/>
          <w:b/>
          <w:bCs/>
          <w:color w:val="2E75B6"/>
          <w:sz w:val="26"/>
          <w:szCs w:val="26"/>
        </w:rPr>
        <w:t xml:space="preserve">RNF-11: Escalabilidad de la Base de Datos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RNF-11</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 base de datos MongoDB debe estar diseñada para soportar el crecimiento del volumen de datos académicos sin degradación</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Soporte para ≥ 1,000 alumnos, ≥ 100 cursos y ≥ 50 docentes
Tiempo de consulta ≤ 2 segundos con el volumen máximo definido
Compatible con MongoDB Atlas para despliegue en la nube</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MongoDB con Mongoose v8.4. Modelos con índices en campos de búsqueda frecuente. MONGO_URI configurable en .env para migrar de local a Atlas sin cambios de código</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DISEÑADO — Arquitectura compatible con MongoDB Atlas. URI configurable vía variables de entorno</w:t>
            </w:r>
          </w:p>
        </w:tc>
      </w:tr>
    </w:tbl>
    <w:p/>
    <w:p>
      <w:pPr>
        <w:pStyle w:val="Heading2"/>
        <w:spacing w:after="120" w:before="240"/>
      </w:pPr>
      <w:r>
        <w:rPr>
          <w:rFonts w:ascii="Arial" w:cs="Arial" w:eastAsia="Arial" w:hAnsi="Arial"/>
          <w:b/>
          <w:bCs/>
          <w:color w:val="2E75B6"/>
          <w:sz w:val="26"/>
          <w:szCs w:val="26"/>
        </w:rPr>
        <w:t xml:space="preserve">RNF-12: Extensibilidad del Algoritmo CSP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RNF-12</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módulo CSP debe estar diseñado de forma modular para permitir agregar nuevas restricciones o heurísticas sin modificar el solver principal</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Agregar una nueva restricción no requiere modificar solver.js
Agregar una nueva heurística no requiere modificar constraints.js
Cada módulo CSP tiene una única responsabilidad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Separación en módulos independientes: solver.js (orquestación), constraints.js (restricciones), heuristics.js (MRV/LCV), ac3.js (propagación), timeSlots.js (franjas horarias). Cada módulo expone una interfaz clara mediante module.exports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5 módulos CSP con responsabilidad única y bajo acoplamiento</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5. REQUISITOS DE DISPONIBILIDAD</w:t>
      </w:r>
    </w:p>
    <w:p/>
    <w:p>
      <w:pPr>
        <w:pStyle w:val="Heading2"/>
        <w:spacing w:after="120" w:before="240"/>
      </w:pPr>
      <w:r>
        <w:rPr>
          <w:rFonts w:ascii="Arial" w:cs="Arial" w:eastAsia="Arial" w:hAnsi="Arial"/>
          <w:b/>
          <w:bCs/>
          <w:color w:val="2E75B6"/>
          <w:sz w:val="26"/>
          <w:szCs w:val="26"/>
        </w:rPr>
        <w:t xml:space="preserve">RNF-13: Manejo de Errores y Recuperación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RNF-13</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debe manejar errores de forma elegante, sin exponer información interna y permitiendo al usuario continuar usando el sistema</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Todos los errores del servidor retornan JSON estructurado con campo "detail"
Ningún error expone stack traces al cliente
Errores HTTP 400/401/404/500 manejados explícitamente</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Middleware errorHandler.js centraliza el manejo de errores. El interceptor de axios en client.ts convierte errores HTTP en mensajes amigables. El frontend muestra mensajes de error sin exponer detalles técnicos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errorHandler.js activo. Interceptor de respuesta en client.ts</w:t>
            </w:r>
          </w:p>
        </w:tc>
      </w:tr>
    </w:tbl>
    <w:p/>
    <w:p>
      <w:pPr>
        <w:pStyle w:val="Heading2"/>
        <w:spacing w:after="120" w:before="240"/>
      </w:pPr>
      <w:r>
        <w:rPr>
          <w:rFonts w:ascii="Arial" w:cs="Arial" w:eastAsia="Arial" w:hAnsi="Arial"/>
          <w:b/>
          <w:bCs/>
          <w:color w:val="2E75B6"/>
          <w:sz w:val="26"/>
          <w:szCs w:val="26"/>
        </w:rPr>
        <w:t xml:space="preserve">RNF-14: Indicador de Estado del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RNF-14</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frontend debe informar al usuario sobre el estado de conexión con el backend antes de intentar iniciar sesión</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 visible en la pantalla de login: "Sistema en línea" / "Sin conexión"
Health check completado en ≤ 4 segundos con timeout automático
Sin conexión: el usuario ve el estado antes de intentar autenticarse</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LoginPage.tsx realiza fetch("/api/health") con AbortController y timeout de 4 segundos al cargar. El indicador de estado (statusDot) muestra verde/rojo/gris según la respuesta</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Health check visible en esquina superior derecha de la pantalla de login</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6. REQUISITOS DE MANTENIBILIDAD</w:t>
      </w:r>
    </w:p>
    <w:p/>
    <w:p>
      <w:pPr>
        <w:pStyle w:val="Heading2"/>
        <w:spacing w:after="120" w:before="240"/>
      </w:pPr>
      <w:r>
        <w:rPr>
          <w:rFonts w:ascii="Arial" w:cs="Arial" w:eastAsia="Arial" w:hAnsi="Arial"/>
          <w:b/>
          <w:bCs/>
          <w:color w:val="2E75B6"/>
          <w:sz w:val="26"/>
          <w:szCs w:val="26"/>
        </w:rPr>
        <w:t xml:space="preserve">RNF-15: Cobertura de Pruebas Automatizadas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RNF-15</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módulo CSP debe tener cobertura de pruebas automatizadas suficiente para detectar regresiones al modificar el código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Cobertura de líneas ≥ 70%
Cobertura de funciones ≥ 70%
Cobertura de branches ≥ 70%
55 tests automatizados con Jest</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Resultado Real</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Statements: 90.3% ✓
Branches: 71.07% ✓
Functions: 100% ✓
Lines: 92.08% ✓
Tests: 55 passed, 0 failed</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Comando</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npm test (en carpeta backend/)</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 — Cobertura superior al 70% en todas las métricas</w:t>
            </w:r>
          </w:p>
        </w:tc>
      </w:tr>
    </w:tbl>
    <w:p/>
    <w:p>
      <w:pPr>
        <w:pStyle w:val="Heading2"/>
        <w:spacing w:after="120" w:before="240"/>
      </w:pPr>
      <w:r>
        <w:rPr>
          <w:rFonts w:ascii="Arial" w:cs="Arial" w:eastAsia="Arial" w:hAnsi="Arial"/>
          <w:b/>
          <w:bCs/>
          <w:color w:val="2E75B6"/>
          <w:sz w:val="26"/>
          <w:szCs w:val="26"/>
        </w:rPr>
        <w:t xml:space="preserve">RNF-16: Separación de Responsabilidades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RNF-16</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código debe organizarse en módulos con responsabilidad única para facilitar la comprensión y modificación</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 separación en config/, models/, routes/, services/, middleware/, csp/, utils/
Frontend: separación en pages/, components/, store/, api/, hooks/, types/
Cada archivo tiene una única responsabilidad principal</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Arquitectura MVC en backend. Patrón de componentes en frontend React con TypeScript. Estado global con Zustand (authStore, scheduleStore, themeStore, uiStore)</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Estructura modular verificable en el repositorio GitHub</w:t>
            </w:r>
          </w:p>
        </w:tc>
      </w:tr>
    </w:tbl>
    <w:p/>
    <w:p>
      <w:pPr>
        <w:pStyle w:val="Heading2"/>
        <w:spacing w:after="120" w:before="240"/>
      </w:pPr>
      <w:r>
        <w:rPr>
          <w:rFonts w:ascii="Arial" w:cs="Arial" w:eastAsia="Arial" w:hAnsi="Arial"/>
          <w:b/>
          <w:bCs/>
          <w:color w:val="2E75B6"/>
          <w:sz w:val="26"/>
          <w:szCs w:val="26"/>
        </w:rPr>
        <w:t xml:space="preserve">RNF-17: Variables de Entorno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RNF-17</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Toda la configuración sensible o dependiente del entorno debe externalizarse en variables de entorno, sin estar hardcodeada en el código fuente</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MONGO_URI, JWT_SECRET, PORT, NODE_ENV y CORS_ORIGIN configurados en .env
El archivo .env está en .gitignore (no versionado)
El sistema funciona cambiando solo las variables de entorno para distintos ambientes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dotenv v16.4.5. Archivo .env en backend/ con todas las variables. .gitignore excluye .env de control de versiones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.env excluido del repositorio. Variables documentadas en README</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7. REQUISITOS DE USABILIDAD</w:t>
      </w:r>
    </w:p>
    <w:p/>
    <w:p>
      <w:pPr>
        <w:pStyle w:val="Heading2"/>
        <w:spacing w:after="120" w:before="240"/>
      </w:pPr>
      <w:r>
        <w:rPr>
          <w:rFonts w:ascii="Arial" w:cs="Arial" w:eastAsia="Arial" w:hAnsi="Arial"/>
          <w:b/>
          <w:bCs/>
          <w:color w:val="2E75B6"/>
          <w:sz w:val="26"/>
          <w:szCs w:val="26"/>
        </w:rPr>
        <w:t xml:space="preserve">RNF-18: Interfaz Responsiva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RNF-18</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 interfaz debe adaptarse correctamente a diferentes tamaños de pantalla</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Funcional en pantallas desde 375px (móvil) hasta 1920px (escritorio)
Sin scroll horizontal en ningún breakpoint
Navegación adaptada para dispositivos táctiles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Tailwind CSS v3.4 con clases responsivas (sm:, md:, lg:). Layout con flexbox y grid adaptativos. Sidebar colapsable en pantallas pequeñas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Diseño responsive con Tailwind CSS</w:t>
            </w:r>
          </w:p>
        </w:tc>
      </w:tr>
    </w:tbl>
    <w:p/>
    <w:p>
      <w:pPr>
        <w:pStyle w:val="Heading2"/>
        <w:spacing w:after="120" w:before="240"/>
      </w:pPr>
      <w:r>
        <w:rPr>
          <w:rFonts w:ascii="Arial" w:cs="Arial" w:eastAsia="Arial" w:hAnsi="Arial"/>
          <w:b/>
          <w:bCs/>
          <w:color w:val="2E75B6"/>
          <w:sz w:val="26"/>
          <w:szCs w:val="26"/>
        </w:rPr>
        <w:t xml:space="preserve">RNF-19: Soporte de Tema Claro/Oscuro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RNF-19</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portal del alumno debe soportar modo claro y modo oscuro para reducir la fatiga visual en diferentes condiciones de iluminación</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Cambio de tema sin recargar la página
Preferencia de tema persistida entre sesiones
Contraste de colores mínimo WCAG AA en ambos modos</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themeStore.ts (Zustand) gestiona el estado del tema. CSS custom properties (--sp-bg, --sp-card-bg, etc.) definidas en index.css para data-sp-theme="dark" y data-sp-theme="light"</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Tokens CSS para dark/light mode en StudentShell</w:t>
            </w:r>
          </w:p>
        </w:tc>
      </w:tr>
    </w:tbl>
    <w:p/>
    <w:p>
      <w:pPr>
        <w:pStyle w:val="Heading2"/>
        <w:spacing w:after="120" w:before="240"/>
      </w:pPr>
      <w:r>
        <w:rPr>
          <w:rFonts w:ascii="Arial" w:cs="Arial" w:eastAsia="Arial" w:hAnsi="Arial"/>
          <w:b/>
          <w:bCs/>
          <w:color w:val="2E75B6"/>
          <w:sz w:val="26"/>
          <w:szCs w:val="26"/>
        </w:rPr>
        <w:t xml:space="preserve">RNF-20: Retroalimentación Visual al Usuario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RNF-20</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debe proporcionar retroalimentación visual inmediata ante acciones del usuario para confirmar que la operación fue procesada</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 de carga (spinner) en operaciones que tarden &gt; 300ms
Mensaje de éxito/error visible por ≥ 3 segundos tras cada operación
Validación de formularios en tiempo real sin esperar envío</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Componente Spinner.tsx para estados de carga. Toast.tsx para notificaciones. Validación de formularios con react-hook-form y zod. Estados loading en botones (disabled durante petición)</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 — Spinner, Toast y validación en tiempo real activos</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8. REQUISITOS DE COMPATIBILIDAD</w:t>
      </w:r>
    </w:p>
    <w:p/>
    <w:p>
      <w:pPr>
        <w:pStyle w:val="Heading2"/>
        <w:spacing w:after="120" w:before="240"/>
      </w:pPr>
      <w:r>
        <w:rPr>
          <w:rFonts w:ascii="Arial" w:cs="Arial" w:eastAsia="Arial" w:hAnsi="Arial"/>
          <w:b/>
          <w:bCs/>
          <w:color w:val="2E75B6"/>
          <w:sz w:val="26"/>
          <w:szCs w:val="26"/>
        </w:rPr>
        <w:t xml:space="preserve">RNF-21: Soporte de Navegadores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RNF-21</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Compatibilidad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 aplicación web debe funcionar correctamente en los navegadores modernos más utilizados</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Navegadores Soportados</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Google Chrome v110+
Microsoft Edge v110+
Mozilla Firefox v110+
Brave Browser (basado en Chromium)</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React 18 con soporte para navegadores modernos. Vite con configuración de transpilación automática. CSS con prefijos de compatibilidad gestionados por Autoprefixer (postcss.config.js)</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 — Compatible con todos los navegadores basados en Chromium y Firefox moderno</w:t>
            </w:r>
          </w:p>
        </w:tc>
      </w:tr>
    </w:tbl>
    <w:p/>
    <w:p>
      <w:pPr>
        <w:pStyle w:val="Heading2"/>
        <w:spacing w:after="120" w:before="240"/>
      </w:pPr>
      <w:r>
        <w:rPr>
          <w:rFonts w:ascii="Arial" w:cs="Arial" w:eastAsia="Arial" w:hAnsi="Arial"/>
          <w:b/>
          <w:bCs/>
          <w:color w:val="2E75B6"/>
          <w:sz w:val="26"/>
          <w:szCs w:val="26"/>
        </w:rPr>
        <w:t xml:space="preserve">RNF-22: Compatibilidad con Node.js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ID</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RNF-22</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Categoría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Compatibilidad</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Descripción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backend debe ejecutarse en versiones LTS de Node.js para garantizar estabilidad y soporte a largo plazo</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Métrica</w:t>
            </w:r>
          </w:p>
        </w:tc>
        <w:tc>
          <w:tcPr>
            <w:tcW w:type="dxa" w:w="7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Versión mínima: Node.js v18 LTS
Versiones probadas: v18.x, v20.x, v22.x
Sistemas operativos: Windows 10+, Ubuntu 20.04+, macOS 12+</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Implementación</w:t>
            </w:r>
          </w:p>
        </w:tc>
        <w:tc>
          <w:tcPr>
            <w:tcW w:type="dxa" w:w="7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proyecto usa sintaxis ES2020 compatible con Node.js v18+. CommonJS (require/module.exports) para máxima compatibilidad en el backend</w:t>
            </w:r>
          </w:p>
        </w:tc>
      </w:tr>
      <w:tr>
        <w:tc>
          <w:tcPr>
            <w:tcW w:type="dxa" w:w="20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720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 — Probado en Node.js v24.14.1 (Windows)</w:t>
            </w:r>
          </w:p>
        </w:tc>
      </w:tr>
    </w:tbl>
    <w:p>
      <w:r>
        <w:br w:type="page"/>
      </w:r>
    </w:p>
    <w:p>
      <w:pPr>
        <w:pStyle w:val="Heading1"/>
        <w:pBdr>
          <w:bottom w:val="single" w:color="2E75B6" w:sz="8"/>
        </w:pBdr>
        <w:spacing w:after="160" w:before="320"/>
      </w:pPr>
      <w:r>
        <w:rPr>
          <w:rFonts w:ascii="Arial" w:cs="Arial" w:eastAsia="Arial" w:hAnsi="Arial"/>
          <w:b/>
          <w:bCs/>
          <w:color w:val="1E3A5F"/>
          <w:sz w:val="32"/>
          <w:szCs w:val="32"/>
        </w:rPr>
        <w:t xml:space="preserve">9. RESUMEN DE CUMPLIMIENTO</w:t>
      </w:r>
    </w:p>
    <w:p>
      <w:pPr>
        <w:spacing w:after="80" w:before="60"/>
        <w:jc w:val="both"/>
      </w:pPr>
      <w:r>
        <w:rPr>
          <w:rFonts w:ascii="Arial" w:cs="Arial" w:eastAsia="Arial" w:hAnsi="Arial"/>
          <w:color w:val="000000"/>
          <w:sz w:val="22"/>
          <w:szCs w:val="22"/>
        </w:rPr>
        <w:t xml:space="preserve">La siguiente tabla consolida el estado de cumplimiento de todos los Requisitos No Funcionales del SGOHA:</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RNF-01</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Tiempo de respuesta API ≤ 2s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RNF-02</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Generación de horarios ≤ 60s</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RNF-03</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Carga del frontend ≤ 3s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RNF-04</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Soporte 50 usuarios concurrentes</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Diseñado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RNF-05</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Autenticación JWT 8h</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RNF-06</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Hash bcrypt factor 12</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RNF-07</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Headers HTTP de seguridad</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RNF-08</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Rate limiting 100 req/15min</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RNF-09</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Expiración sesión 30 min</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RNF-10</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Arquitectura desacoplada</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RNF-11</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 MongoDB</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Diseñado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RNF-12</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Módulos CSP extensibles</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Escalabilidad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RNF-13</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Manejo elegante de errores</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RNF-14</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 estado del sistema</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RNF-15</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Cobertura pruebas ≥ 70%</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92% líneas</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RNF-16</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Separación de responsabilidades</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RNF-17</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Variables de entorno</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RNF-18</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Interfaz responsiva</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RNF-19</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Tema claro/oscuro</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RNF-20</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Retroalimentación visual</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Implementado</w:t>
            </w:r>
          </w:p>
        </w:tc>
      </w:tr>
      <w:t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RNF-21</w:t>
            </w:r>
          </w:p>
        </w:tc>
        <w:tc>
          <w:tcPr>
            <w:tcW w:type="dxa" w:w="4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Soporte Chrome/Edge/Firefox</w:t>
            </w:r>
          </w:p>
        </w:tc>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Compatibilidad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RNF-22</w:t>
            </w:r>
          </w:p>
        </w:tc>
        <w:tc>
          <w:tcPr>
            <w:tcW w:type="dxa" w:w="49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Compatibilidad Node.js v18+</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Compatibilidad</w:t>
            </w:r>
          </w:p>
        </w:tc>
        <w:tc>
          <w:tcPr>
            <w:tcW w:type="dxa" w:w="1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Cumplido</w:t>
            </w:r>
          </w:p>
        </w:tc>
      </w:tr>
      <w:tr>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4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22 Requisitos No Funcionales</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 Categorías</w:t>
            </w:r>
          </w:p>
        </w:tc>
        <w:tc>
          <w:tcPr>
            <w:tcW w:type="dxa" w:w="1400"/>
            <w:tcBorders>
              <w:top w:val="single" w:color="70AD47" w:sz="4"/>
              <w:left w:val="single" w:color="70AD47" w:sz="4"/>
              <w:bottom w:val="single" w:color="70AD47" w:sz="4"/>
              <w:right w:val="single" w:color="70AD47" w:sz="4"/>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22/22 ✓</w:t>
            </w:r>
          </w:p>
        </w:tc>
      </w:tr>
    </w:tbl>
    <w:p/>
    <w:p/>
    <w:p>
      <w:pPr>
        <w:pBdr>
          <w:top w:val="single" w:color="2E75B6" w:sz="6"/>
        </w:pBdr>
        <w:spacing w:before="480"/>
        <w:jc w:val="center"/>
      </w:pPr>
      <w:r>
        <w:rPr>
          <w:rFonts w:ascii="Arial" w:cs="Arial" w:eastAsia="Arial" w:hAnsi="Arial"/>
          <w:i/>
          <w:iCs/>
          <w:color w:val="595959"/>
          <w:sz w:val="18"/>
          <w:szCs w:val="18"/>
        </w:rPr>
        <w:t xml:space="preserve">Universidad Continental — Taller de Investigación 2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120"/>
    </w:pPr>
    <w:r>
      <w:rPr>
        <w:rFonts w:ascii="Arial" w:cs="Arial" w:eastAsia="Arial" w:hAnsi="Arial"/>
        <w:color w:val="595959"/>
        <w:sz w:val="16"/>
        <w:szCs w:val="16"/>
      </w:rPr>
      <w:t xml:space="preserve">Universidad Continental | Taller de Investigación 2 | 2025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pPr>
    <w:r>
      <w:rPr>
        <w:rFonts w:ascii="Arial" w:cs="Arial" w:eastAsia="Arial" w:hAnsi="Arial"/>
        <w:color w:val="595959"/>
        <w:sz w:val="16"/>
        <w:szCs w:val="16"/>
      </w:rPr>
      <w:t xml:space="preserve">Requisitos No Funcionales — Sistema de Generación Óptima de Horarios Académicos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2026-04-27T18:23:32.842Z</dcterms:created>
  <dcterms:modified xsi:type="dcterms:W3CDTF">2026-04-27T18:23:32.843Z</dcterms:modified>
</cp:coreProperties>
</file>

<file path=docProps/custom.xml><?xml version="1.0" encoding="utf-8"?>
<Properties xmlns="http://schemas.openxmlformats.org/officeDocument/2006/custom-properties" xmlns:vt="http://schemas.openxmlformats.org/officeDocument/2006/docPropsVTypes"/>
</file>