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iq2zinnhh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DE LA VISIÓN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aftsu45xo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declaración de la visión del proyecto define de manera clara y concisa el propósito, el valor y el alcance del sistema a desarrollar. Este documento orienta al equipo y a los stakeholders sobre el objetivo final del proyecto y los beneficios que se esperan alcanzar.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1vtuvzqfq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Visión del proyecto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aplicación web inteligente que permita generar horarios académicos óptimos de manera automatizada, considerando múltiples restricciones académicas, operativas y contextuales, con el fin de mejorar la eficiencia en la planificación académica, reducir conflictos y optimizar el uso de recursos en instituciones educativas.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4yi1viaee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Valor del proyecto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aportará valor a los stakeholders mediante: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significativa del tiempo de generación de horarios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Disminución de conflictos entre cursos, docentes y aulas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organización académica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del uso de recursos institucionales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o4og63f53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Alcance de la visión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está orientado a instituciones educativas que requieren optimizar su proceso de planificación académica mediante el uso de tecnología.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gestionar información académica y generar horarios automatizados de forma eficiente.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76vzbtgx8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Métricas de éxito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visión del proyecto se considerará cumplida si: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reduce el tiempo de generación de horarios en al menos un 50%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minimizan los conflictos de horarios en un alto porcentaje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logran utilizar el sistema de manera efectiva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c1v9jh8ev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visión del proyecto establece un objetivo claro y alineado con las necesidades del entorno educativo, orientando el desarrollo hacia una solución eficiente, innovadora y de alto impacto.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