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5726"/>
          <w:sz w:val="56"/>
        </w:rPr>
        <w:t>Verificación del Sistema y Diagramas</w:t>
      </w:r>
    </w:p>
    <w:p>
      <w:pPr>
        <w:jc w:val="center"/>
      </w:pPr>
      <w:r>
        <w:rPr>
          <w:color w:val="5F7064"/>
          <w:sz w:val="30"/>
        </w:rPr>
        <w:t>SoporteDesk INIA — Base de datos, backend y flujos por módulo</w:t>
      </w:r>
    </w:p>
    <w:p/>
    <w:p>
      <w:pPr>
        <w:jc w:val="center"/>
      </w:pPr>
      <w:r>
        <w:rPr>
          <w:i/>
          <w:color w:val="5F7064"/>
          <w:sz w:val="22"/>
        </w:rPr>
        <w:t>30 de julio de 2026 — verificación en vivo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2A5726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87"/>
            <w:shd w:val="clear" w:color="auto" w:fill="2A572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Alcance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Base de datos ssti, backend Spring Boot, frontend Angular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Método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Consultas en vivo a la base de datos, compilación, suite de tests, arranque real de la aplicación, pruebas HTTP directas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Contexto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Incluye los cambios de la fase de normalización de base de datos y los cambios adicionales implementados con asistencia de Codex (30-jul-2026)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Alcance de la verificación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Se marca 'verificado en profundidad' solo donde se probó el flujo real; el resto se marca 'verificado por evidencia indirecta' (tests + arranque + enrutamiento en vivo)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 de la verificación</w:t>
      </w:r>
    </w:p>
    <w:p>
      <w:r>
        <w:rPr>
          <w:b w:val="0"/>
          <w:i w:val="0"/>
          <w:sz w:val="21"/>
        </w:rPr>
        <w:t>Se verificó el sistema completo desde tres ángulos: el estado real de la base de datos (consultada en vivo, no desde memoria), la salud del backend (compilación, suite de tests, y un arranque real de la aplicación) y la salud del frontend (compilación). Adicionalmente se hizo una revisión de código de los cambios más recientes (sincronización VPN/Equipos hacia el esquema normalizado) y se probaron endpoints en vivo contra una instancia ya en ejecución.</w:t>
      </w:r>
    </w:p>
    <w:p>
      <w:pPr>
        <w:pStyle w:val="Heading3"/>
      </w:pPr>
      <w:r>
        <w:t>Resultado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A5726"/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417"/>
            <w:shd w:val="clear" w:color="auto" w:fill="2A5726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5669"/>
            <w:shd w:val="clear" w:color="auto" w:fill="2A5726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Base de datos (ssti)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OK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54 tablas verificadas por conteo real; 56 FKs consistentes; 3 secuencias de IDs sincronizadas sin riesgo de colisión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Backend — compilación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OK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mvn compile sin errores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Backend — tests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OK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264 de 264 tests pasan (0 fallos, 0 errores)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Backend — arranque real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OK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Arrancó completo (JPA, ambos datasources, seguridad); solo se detuvo por conflicto de puerto con una instancia ya activa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Backend — instancia en ejecución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OK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Instancia activa en el puerto 8080 responde correctamente (401 en endpoints protegidos sin token, no 500)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OK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ng build sin errores</w:t>
            </w:r>
          </w:p>
        </w:tc>
      </w:tr>
    </w:tbl>
    <w:p/>
    <w:p>
      <w:pPr>
        <w:pStyle w:val="Heading3"/>
      </w:pPr>
      <w:r>
        <w:t>Hallazgos que quedan abiertos (de la revisión de código, sección 6)</w:t>
      </w:r>
    </w:p>
    <w:p>
      <w:pPr>
        <w:pStyle w:val="ListBullet"/>
      </w:pPr>
      <w:r>
        <w:t>Bug confirmado: VpnNormalizedSyncService.upsertSnapshot() escribe el mismo valor (AD Office) en titular_sede y titular_dependencia -- ninguno de los dos correcto.</w:t>
      </w:r>
    </w:p>
    <w:p>
      <w:pPr>
        <w:pStyle w:val="ListBullet"/>
      </w:pPr>
      <w:r>
        <w:t>Riesgo de diseño: la sincronización hacia las tablas normalizadas corre dentro de la misma transacción que la operación real -- una falla en el espejo podría revertir una solicitud VPN o un enriquecimiento de equipo real.</w:t>
      </w:r>
    </w:p>
    <w:p>
      <w:r>
        <w:br w:type="page"/>
      </w:r>
    </w:p>
    <w:p>
      <w:pPr>
        <w:pStyle w:val="Heading1"/>
      </w:pPr>
      <w:r>
        <w:t>2. Diagrama entidad-relación de la base de datos (estado actual)</w:t>
      </w:r>
    </w:p>
    <w:p>
      <w:r>
        <w:rPr>
          <w:b w:val="0"/>
          <w:i w:val="0"/>
          <w:sz w:val="21"/>
        </w:rPr>
        <w:t>Generado consultando en vivo INFORMATION_SCHEMA, sys.foreign_keys y sys.sequences de ssti el 30-jul-2026 -- no es un diagrama de diseño, es el esquema real tal como quedó después de la normalización y los cambios de hoy.</w:t>
      </w:r>
    </w:p>
    <w:p>
      <w:r>
        <w:drawing>
          <wp:inline xmlns:a="http://schemas.openxmlformats.org/drawingml/2006/main" xmlns:pic="http://schemas.openxmlformats.org/drawingml/2006/picture">
            <wp:extent cx="6120000" cy="4418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1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64"/>
          <w:sz w:val="18"/>
        </w:rPr>
        <w:t>Figura 1 — Entidades y relaciones reales de ssti. Línea punteada = referencia lógica cross-motor (GLPI en MySQL, GestionTI_INIA), sin FK física.</w:t>
      </w:r>
    </w:p>
    <w:p>
      <w:pPr>
        <w:pStyle w:val="Heading3"/>
      </w:pPr>
      <w:r>
        <w:t>Notas de lectura</w:t>
      </w:r>
    </w:p>
    <w:p>
      <w:pPr>
        <w:pStyle w:val="ListBullet"/>
      </w:pPr>
      <w:r>
        <w:t>PERSONA es el eje: 643 filas, une identidad AD (AD_CUENTA), organización (PERSONA_ASIGNACION), equipos (EQUIPO_ASIGNACION) y VPN (VPN_SOLICITUD).</w:t>
      </w:r>
    </w:p>
    <w:p>
      <w:pPr>
        <w:pStyle w:val="ListBullet"/>
      </w:pPr>
      <w:r>
        <w:t>VPN (la tabla operativa, 424 filas) todavía no tiene FK física hacia PERSONA -- la relación "aun sin FK (30% resuelto)" indica cuántas solicitudes ya resuelven persona_id vs. cuántas siguen esperando reconciliación manual.</w:t>
      </w:r>
    </w:p>
    <w:p>
      <w:pPr>
        <w:pStyle w:val="ListBullet"/>
      </w:pPr>
      <w:r>
        <w:t>EQUIPO_ASIGNACION cubre 999 de 999 equipos activos de GLPI (cobertura completa) pero solo 5 tienen enriquecimiento manual (EQUIPOS_ENRICHMENT) -- el resto está en estado PENDIENTE.</w:t>
      </w:r>
    </w:p>
    <w:p>
      <w:r>
        <w:br w:type="page"/>
      </w:r>
    </w:p>
    <w:p>
      <w:pPr>
        <w:pStyle w:val="Heading1"/>
      </w:pPr>
      <w:r>
        <w:t>3. Estado operativo por módulo</w:t>
      </w:r>
    </w:p>
    <w:p>
      <w:r>
        <w:rPr>
          <w:b w:val="0"/>
          <w:i w:val="0"/>
          <w:sz w:val="21"/>
        </w:rPr>
        <w:t>"Verificado en profundidad" significa que se probó el flujo real (tests dedicados + revisión de código + para VPN/Equipos, prueba en vivo). "Verificado por evidencia indirecta" significa que el módulo tiene tests dedicados que pasan y la aplicación arrancó con ese módulo cargado, pero no se ejerció el flujo de negocio manualmente en esta sesión.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A5726"/>
          </w:tcPr>
          <w:p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1984"/>
            <w:shd w:val="clear" w:color="auto" w:fill="2A5726"/>
          </w:tcPr>
          <w:p>
            <w:r/>
            <w:r>
              <w:rPr>
                <w:b/>
                <w:color w:val="FFFFFF"/>
                <w:sz w:val="19"/>
              </w:rPr>
              <w:t>Nivel de verificación</w:t>
            </w:r>
          </w:p>
        </w:tc>
        <w:tc>
          <w:tcPr>
            <w:tcW w:type="dxa" w:w="5102"/>
            <w:shd w:val="clear" w:color="auto" w:fill="2A5726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Autenticación y sesión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JwtServiceTest, JwtAuthFilterTest, CustomUserDetailsServiceTest, AuthControllerIT pasan; login en vivo devuelve 401 ante credenciales invalidas (no 500)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Dashboard general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DashboardServiceTest (11 tests) pasa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Usuarios del sistema y permisos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Arranca correctamente con UserDetailsService configurado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Usuarios de red y AD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UsuarioRedContratoServiceTest, UsuarioRedContratoRepositoryTest pasan; depende de LDAP/AD, no verificado en esta sesión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Correos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En profundidad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CorreoServiceTest (8 tests) pasa; confirmado por diseño que consulta GestionTI_INIA en vivo, sin necesitar persona local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Equipos e inventario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En profundidad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EquipoServiceTest (15), EquipoEnrichmentServiceTest (7), EquipoEvidenciaServiceTest (6) pasan; equipo_asignacion sincronizado 999/999 con GLPI; revisión de código del sync nuevo (sección 6)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VPN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En profundidad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VpnServiceTest (39 tests) pasa; migración incremental verificada (97/424); revisión de código encontró 1 bug y 1 riesgo de diseño (sección 6)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Impresoras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ImpresoraServiceTest (17), ImpresoraIntervencionServiceTest (10) pasan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WiFi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WifiServiceTest (4 tests) pasa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Licencias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LicenciaServiceTest (10), LicenciaCredentialConverterTest (5) pasan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Herramientas y órdenes de servicio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Arranca correctamente; no tiene suite de tests dedicada visible en esta corrida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Catálogos (sedes/dependencias/etc.)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En profundidad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SedeControllerIT, DependenciaControllerIT, SubdependenciaControllerIT pasan; enriquecidos con datos de Fase 1 (ubigeo, tipo_unidad, jerarquía padre/hijo), verificado columna por columna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Auditoría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MovimientoAuditoriaControllerIT pasa; movimientos_auditoria creció de 866 a 1,195 filas durante la sesión (evidencia de uso real)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Eventos en tiempo real (SSE)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Evidencia indirecta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realtime.service.spec.ts existe; no se probó una conexión SSE real en esta sesión</w:t>
            </w:r>
          </w:p>
        </w:tc>
      </w:tr>
    </w:tbl>
    <w:p/>
    <w:p>
      <w:r>
        <w:br w:type="page"/>
      </w:r>
    </w:p>
    <w:p>
      <w:pPr>
        <w:pStyle w:val="Heading1"/>
      </w:pPr>
      <w:r>
        <w:t>4. Diagramas de flujo por módulo</w:t>
      </w:r>
    </w:p>
    <w:p>
      <w:r>
        <w:rPr>
          <w:b w:val="0"/>
          <w:i w:val="0"/>
          <w:sz w:val="21"/>
        </w:rPr>
        <w:t>Diagramas generados a partir de docs/revision-flujos-sistema.md (revisión de rutas Angular, guardas, controladores REST y reglas de autorización), renderizados como imagen para este documento. Se agregó una nota de verificación a cada uno.</w:t>
      </w:r>
    </w:p>
    <w:p>
      <w:pPr>
        <w:pStyle w:val="Heading2"/>
      </w:pPr>
      <w:r>
        <w:t>Flujo general del sistema</w:t>
      </w:r>
    </w:p>
    <w:p>
      <w:r>
        <w:drawing>
          <wp:inline xmlns:a="http://schemas.openxmlformats.org/drawingml/2006/main" xmlns:pic="http://schemas.openxmlformats.org/drawingml/2006/picture">
            <wp:extent cx="5580000" cy="4313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33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 Autenticación y sesión</w:t>
      </w:r>
    </w:p>
    <w:p>
      <w:r>
        <w:drawing>
          <wp:inline xmlns:a="http://schemas.openxmlformats.org/drawingml/2006/main" xmlns:pic="http://schemas.openxmlformats.org/drawingml/2006/picture">
            <wp:extent cx="2374028" cy="6479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028" cy="64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FF3DC"/>
      </w:pPr>
      <w:r>
        <w:rPr>
          <w:i/>
          <w:color w:val="8A6200"/>
          <w:sz w:val="19"/>
        </w:rPr>
        <w:t>Nota de verificación: Login en vivo probado: credenciales inválidas devuelven 401 correctamente.</w:t>
      </w:r>
    </w:p>
    <w:p/>
    <w:p>
      <w:pPr>
        <w:pStyle w:val="Heading2"/>
      </w:pPr>
      <w:r>
        <w:t>2. Dashboard general</w:t>
      </w:r>
    </w:p>
    <w:p>
      <w:r>
        <w:drawing>
          <wp:inline xmlns:a="http://schemas.openxmlformats.org/drawingml/2006/main" xmlns:pic="http://schemas.openxmlformats.org/drawingml/2006/picture">
            <wp:extent cx="5580000" cy="1884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846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Usuarios del sistema y permisos</w:t>
      </w:r>
    </w:p>
    <w:p>
      <w:r>
        <w:drawing>
          <wp:inline xmlns:a="http://schemas.openxmlformats.org/drawingml/2006/main" xmlns:pic="http://schemas.openxmlformats.org/drawingml/2006/picture">
            <wp:extent cx="5580000" cy="3875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Usuarios de red y Active Directory</w:t>
      </w:r>
    </w:p>
    <w:p>
      <w:r>
        <w:drawing>
          <wp:inline xmlns:a="http://schemas.openxmlformats.org/drawingml/2006/main" xmlns:pic="http://schemas.openxmlformats.org/drawingml/2006/picture">
            <wp:extent cx="5580000" cy="2384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8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FF3DC"/>
      </w:pPr>
      <w:r>
        <w:rPr>
          <w:i/>
          <w:color w:val="8A6200"/>
          <w:sz w:val="19"/>
        </w:rPr>
        <w:t>Nota de verificación: Depende de LDAP/AD activo; no verificado en esta sesión.</w:t>
      </w:r>
    </w:p>
    <w:p/>
    <w:p>
      <w:pPr>
        <w:pStyle w:val="Heading2"/>
      </w:pPr>
      <w:r>
        <w:t>4.1 Contratos de usuarios de red</w:t>
      </w:r>
    </w:p>
    <w:p>
      <w:r>
        <w:drawing>
          <wp:inline xmlns:a="http://schemas.openxmlformats.org/drawingml/2006/main" xmlns:pic="http://schemas.openxmlformats.org/drawingml/2006/picture">
            <wp:extent cx="3704051" cy="647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4051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Correos</w:t>
      </w:r>
    </w:p>
    <w:p>
      <w:r>
        <w:drawing>
          <wp:inline xmlns:a="http://schemas.openxmlformats.org/drawingml/2006/main" xmlns:pic="http://schemas.openxmlformats.org/drawingml/2006/picture">
            <wp:extent cx="5580000" cy="29066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6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FF3DC"/>
      </w:pPr>
      <w:r>
        <w:rPr>
          <w:i/>
          <w:color w:val="8A6200"/>
          <w:sz w:val="19"/>
        </w:rPr>
        <w:t>Nota de verificación: Confirmado por diseño: consulta GestionTI_INIA en vivo, sin tabla local — decisión tomada explícitamente en esta sesión de trabajo.</w:t>
      </w:r>
    </w:p>
    <w:p/>
    <w:p>
      <w:pPr>
        <w:pStyle w:val="Heading2"/>
      </w:pPr>
      <w:r>
        <w:t>6. Equipos e inventario</w:t>
      </w:r>
    </w:p>
    <w:p>
      <w:r>
        <w:drawing>
          <wp:inline xmlns:a="http://schemas.openxmlformats.org/drawingml/2006/main" xmlns:pic="http://schemas.openxmlformats.org/drawingml/2006/picture">
            <wp:extent cx="5580000" cy="34054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FF3DC"/>
      </w:pPr>
      <w:r>
        <w:rPr>
          <w:i/>
          <w:color w:val="8A6200"/>
          <w:sz w:val="19"/>
        </w:rPr>
        <w:t>Nota de verificación: El paso 'Sincronizar asignación normalizada' es el EquipoAsignacionSyncService revisado en la sección 6 — funciona, corre dentro de la misma transacción que el guardado (ver riesgo de diseño).</w:t>
      </w:r>
    </w:p>
    <w:p/>
    <w:p>
      <w:pPr>
        <w:pStyle w:val="Heading2"/>
      </w:pPr>
      <w:r>
        <w:t>7. VPN — estados de la solicitud</w:t>
      </w:r>
    </w:p>
    <w:p>
      <w:r>
        <w:drawing>
          <wp:inline xmlns:a="http://schemas.openxmlformats.org/drawingml/2006/main" xmlns:pic="http://schemas.openxmlformats.org/drawingml/2006/picture">
            <wp:extent cx="3971925" cy="4867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867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VPN — flujo operativo</w:t>
      </w:r>
    </w:p>
    <w:p>
      <w:r>
        <w:drawing>
          <wp:inline xmlns:a="http://schemas.openxmlformats.org/drawingml/2006/main" xmlns:pic="http://schemas.openxmlformats.org/drawingml/2006/picture">
            <wp:extent cx="5580000" cy="21006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0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FF3DC"/>
      </w:pPr>
      <w:r>
        <w:rPr>
          <w:i/>
          <w:color w:val="8A6200"/>
          <w:sz w:val="19"/>
        </w:rPr>
        <w:t>Nota de verificación: El paso 'Sincronización normalizada' es VpnNormalizedSyncService — tiene un bug confirmado (titular_sede/titular_dependencia) y el mismo riesgo de transacción compartida (sección 6).</w:t>
      </w:r>
    </w:p>
    <w:p/>
    <w:p>
      <w:pPr>
        <w:pStyle w:val="Heading2"/>
      </w:pPr>
      <w:r>
        <w:t>8. Impresoras</w:t>
      </w:r>
    </w:p>
    <w:p>
      <w:r>
        <w:drawing>
          <wp:inline xmlns:a="http://schemas.openxmlformats.org/drawingml/2006/main" xmlns:pic="http://schemas.openxmlformats.org/drawingml/2006/picture">
            <wp:extent cx="5580000" cy="2022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2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WiFi</w:t>
      </w:r>
    </w:p>
    <w:p>
      <w:r>
        <w:drawing>
          <wp:inline xmlns:a="http://schemas.openxmlformats.org/drawingml/2006/main" xmlns:pic="http://schemas.openxmlformats.org/drawingml/2006/picture">
            <wp:extent cx="5580000" cy="2973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39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Licencias</w:t>
      </w:r>
    </w:p>
    <w:p>
      <w:r>
        <w:drawing>
          <wp:inline xmlns:a="http://schemas.openxmlformats.org/drawingml/2006/main" xmlns:pic="http://schemas.openxmlformats.org/drawingml/2006/picture">
            <wp:extent cx="5580000" cy="48007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00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Herramientas y órdenes de servicio</w:t>
      </w:r>
    </w:p>
    <w:p>
      <w:r>
        <w:drawing>
          <wp:inline xmlns:a="http://schemas.openxmlformats.org/drawingml/2006/main" xmlns:pic="http://schemas.openxmlformats.org/drawingml/2006/picture">
            <wp:extent cx="5580000" cy="2911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13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Catálogos</w:t>
      </w:r>
    </w:p>
    <w:p>
      <w:r>
        <w:drawing>
          <wp:inline xmlns:a="http://schemas.openxmlformats.org/drawingml/2006/main" xmlns:pic="http://schemas.openxmlformats.org/drawingml/2006/picture">
            <wp:extent cx="5580000" cy="16063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FF3DC"/>
      </w:pPr>
      <w:r>
        <w:rPr>
          <w:i/>
          <w:color w:val="8A6200"/>
          <w:sz w:val="19"/>
        </w:rPr>
        <w:t>Nota de verificación: Sedes/Dependencias/Subdependencias ahora incluyen los campos de la Fase 1 (ubigeo, tipo_unidad, jerarquía padre/hijo) -- ver diagrama ER, sección 2.</w:t>
      </w:r>
    </w:p>
    <w:p/>
    <w:p>
      <w:pPr>
        <w:pStyle w:val="Heading2"/>
      </w:pPr>
      <w:r>
        <w:t>13. Auditoría</w:t>
      </w:r>
    </w:p>
    <w:p>
      <w:r>
        <w:drawing>
          <wp:inline xmlns:a="http://schemas.openxmlformats.org/drawingml/2006/main" xmlns:pic="http://schemas.openxmlformats.org/drawingml/2006/picture">
            <wp:extent cx="4660905" cy="647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5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Eventos en tiempo real</w:t>
      </w:r>
    </w:p>
    <w:p>
      <w:r>
        <w:drawing>
          <wp:inline xmlns:a="http://schemas.openxmlformats.org/drawingml/2006/main" xmlns:pic="http://schemas.openxmlformats.org/drawingml/2006/picture">
            <wp:extent cx="5580000" cy="34412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FF3DC"/>
      </w:pPr>
      <w:r>
        <w:rPr>
          <w:i/>
          <w:color w:val="8A6200"/>
          <w:sz w:val="19"/>
        </w:rPr>
        <w:t>Nota de verificación: No se probó una conexión SSE real en esta sesión.</w:t>
      </w:r>
    </w:p>
    <w:p/>
    <w:p>
      <w:r>
        <w:br w:type="page"/>
      </w:r>
    </w:p>
    <w:p>
      <w:pPr>
        <w:pStyle w:val="Heading1"/>
      </w:pPr>
      <w:r>
        <w:t>5. Hallazgos de la revisión de código (sincronización normalizada)</w:t>
      </w:r>
    </w:p>
    <w:p>
      <w:r>
        <w:rPr>
          <w:b w:val="0"/>
          <w:i w:val="0"/>
          <w:sz w:val="21"/>
        </w:rPr>
        <w:t>Revisión de VpnNormalizedSyncService.java y EquipoAsignacionSyncService.java, implementados hoy con asistencia de Codex. El backend compila y los 264 tests pasan; estos hallazgos no rompen nada hoy, pero son defectos reales que conviene corregir antes de que el módulo de Equipos/VPN dependa por completo de las tablas normalizadas.</w:t>
      </w:r>
    </w:p>
    <w:p>
      <w:pPr>
        <w:pStyle w:val="Heading3"/>
      </w:pPr>
      <w:r>
        <w:t>5.1 Bug confirmado: campos de ubicación incorrectos en el snapshot de VPN</w:t>
      </w:r>
    </w:p>
    <w:p>
      <w:r>
        <w:rPr>
          <w:b w:val="0"/>
          <w:i w:val="0"/>
          <w:sz w:val="21"/>
        </w:rPr>
        <w:t>VpnNormalizedSyncService.upsertSnapshot() escribe vpn.getAdOffice() tanto en titular_sede como en titular_dependencia -- mismo valor repetido en dos columnas distintas, y ninguna es la fuente correcta (deberían salir de titular_sede_id / titular_dependencia_id vía dbo.sedes / dbo.dependencias). Afecta a toda sincronización nueva desde hoy.</w:t>
      </w:r>
    </w:p>
    <w:p>
      <w:pPr>
        <w:pStyle w:val="Heading3"/>
      </w:pPr>
      <w:r>
        <w:t>5.2 Riesgo de diseño: el sync espejo puede revertir la operación real</w:t>
      </w:r>
    </w:p>
    <w:p>
      <w:r>
        <w:rPr>
          <w:b w:val="0"/>
          <w:i w:val="0"/>
          <w:sz w:val="21"/>
        </w:rPr>
        <w:t>VpnNormalizedSyncService.sync() y EquipoAsignacionSyncService.sync() corren dentro de la misma transacción @Transactional que el guardado principal, sin try/catch. Si el sync lanza una excepción (por ejemplo, un usuario no encontrado en dbo.usuarios), se revierte también la solicitud VPN o el enriquecimiento de equipo real -- contradice el comentario del propio código, que dice que la operación histórica debe continuar normalmente. Recomendación: envolver la llamada al sync en try/catch con log, para que nunca bloquee la funcionalidad real.</w:t>
      </w:r>
    </w:p>
    <w:p>
      <w:pPr>
        <w:pStyle w:val="Heading3"/>
      </w:pPr>
      <w:r>
        <w:t>5.3 Menor</w:t>
      </w:r>
    </w:p>
    <w:p>
      <w:pPr>
        <w:pStyle w:val="ListBullet"/>
      </w:pPr>
      <w:r>
        <w:t>findPersonaId() usa SELECT TOP 1 sin ORDER BY contra correo_institucional -- con los 3 buzones compartidos conocidos (2 personas cada uno), elige una de las dos sin criterio determinístico en ese caso raro.</w:t>
      </w:r>
    </w:p>
    <w:p>
      <w:pPr>
        <w:pStyle w:val="ListBullet"/>
      </w:pPr>
      <w:r>
        <w:t>No hay tests dedicados para ninguno de los dos servicios de sincronización nuevos.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D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A57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A57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3A4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