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2026-10-23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3a. 小猫伙伴：互动、散步与 CG 收藏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5a. 只整理指定章节，也可以下载 PDF</w:t>
      </w:r>
    </w:p>
    <w:p>
      <w:r>
        <w:t>6. 知识清单：从一章课开始</w:t>
      </w:r>
    </w:p>
    <w:p>
      <w:r>
        <w:t>6a. 学习智能体：直接说出要求，再继续追问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实验报告：按学校格式写好，图片和数据逐项填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23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3a. 小猫伙伴：互动、散步与 CG 收藏</w:t>
      </w:r>
    </w:p>
    <w:p>
      <w:r>
        <w:t>1. 点击右下角小猫，展开互动面板。可以摸摸、喂点心、逗毛球、听它撒娇；这些互动不需要配置 API。</w:t>
      </w:r>
    </w:p>
    <w:p>
      <w:r>
        <w:t>2. 选择“让它散步”，再点击面板右上角 × 收起对话。小猫会沿页面底部爬行；摸摸它、输入文字、处理学习任务或暂停动画时会停下。</w:t>
      </w:r>
    </w:p>
    <w:p>
      <w:r>
        <w:t>3. 点击小猫下方的“♥ CG”，或左侧“小猫互动与 CG”，打开收藏。选择已解锁的图片，用“下一句”阅读小剧情，最后选择自己的回应。按 Esc 或点右上角 × 关闭。</w:t>
      </w:r>
    </w:p>
    <w:p>
      <w:r>
        <w:t>4. 需要专心时选择“收起小猫”；右下角会保留“叫回小猫”按钮。“暂停动画”及系统减少动态效果设置同样适用。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CG 回忆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解锁方法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把阳光留给你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初次见面直接开放，可随时回看。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雨声与小毛球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陪伴好感达到 10；摸摸、喂点心、逗猫、聊天都能积累。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今晚也有星星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好感达到 24，或成功完成 3 次知识清单、助教提问、小测、复习等学习操作。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89320" cy="415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kitten-galle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15：猫咪 CG 收藏与本地小剧情。图片为新制作的插画，尚未解锁的回忆会显示条件。</w:t>
      </w:r>
    </w:p>
    <w:p>
      <w:r>
        <w:drawing>
          <wp:inline xmlns:a="http://schemas.openxmlformats.org/drawingml/2006/main" xmlns:pic="http://schemas.openxmlformats.org/drawingml/2006/picture">
            <wp:extent cx="5989320" cy="4159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kitten-inter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16：小猫互动面板。选择让它散步后收起对话，或暂停动画、收起小猫。</w:t>
      </w:r>
    </w:p>
    <w:p>
      <w:r>
        <w:rPr>
          <w:color w:val="8B6E48"/>
        </w:rPr>
        <w:t>请留意：猫咪互动和固定文字剧情在本机运行，不调用模型、没有配音。好感不会因为离开而减少。进度保存在当前浏览器的本机网站数据中，不在 data 文件夹备份里；清除网站数据、更换浏览器或访问端口时不会自动同步。原有课程材料和学习记录仍保存在 data。学习操作视频主要介绍基础功能。另有小猫互动专门演示，可在 docs 文件夹打开“小猫互动演示.html”，或双击 media 内“小家伙的小家伙-小猫互动演示.mp4”；视频有中文画面提示、无配音，全程不调用 API。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展开“生成设置（出现截断时查看）”，可以调整首次输出额度，默认 8192 token。DeepSeek 官方接口默认选“快速生成”，请求关闭深度思考；可自行改为深度思考或沿用模型默认模式。其他服务不受这个选项影响。如果模型不接受思考参数，请选“沿用模型默认模式”。部分模型的思考过程也占用输出额度。</w:t>
      </w:r>
    </w:p>
    <w:p>
      <w:r>
        <w:rPr>
          <w:color w:val="8B6E48"/>
        </w:rPr>
        <w:t>请留意：输出被截断或引用位置不合法时，工作台合计最多自动重试一次，可能增加费用。截断重试会提高额度，最高翻倍且不超过 65536 token。请确认重试额度也在模型支持范围内；例如模型最多允许 8192，就将首次额度设置为 4096 或更低。连续截断或引用仍不合法的结果不会保存。每次请求可能需要较长时间，请等待当前操作完成再重试。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5a. 只整理指定章节，也可以下载 PDF</w:t>
      </w:r>
    </w:p>
    <w:p>
      <w:r>
        <w:t>1. 进入知识清单、课程助教或学习智能体等页面，在“学习依据”中勾选目标文件。</w:t>
      </w:r>
    </w:p>
    <w:p>
      <w:r>
        <w:t>2. 展开“限定章节或位置”，把“范围方式”改为“只整理指定章节”，选择目标文件和目录章节。</w:t>
      </w:r>
    </w:p>
    <w:p>
      <w:r>
        <w:t>3. 核对章节名称与起止位置。没有可靠目录时，改用“手动选择页码位置”，分别选择开始和结束位置。</w:t>
      </w:r>
    </w:p>
    <w:p>
      <w:r>
        <w:t>4. 填写主题或具体要求后生成。网页结果上方会标明实际采用的范围。</w:t>
      </w:r>
    </w:p>
    <w:p>
      <w:r>
        <w:t>5. 点击结果旁的“下载 PDF”，保存到电脑。浏览器通常放到“下载”文件夹，可按 Ctrl+J 查看。</w:t>
      </w:r>
    </w:p>
    <w:p>
      <w:r>
        <w:drawing>
          <wp:inline xmlns:a="http://schemas.openxmlformats.org/drawingml/2006/main" xmlns:pic="http://schemas.openxmlformats.org/drawingml/2006/picture">
            <wp:extent cx="5989320" cy="84224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hapter-out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8422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18：只使用第二章，保留网页清单，并提供中文 PDF 下载。</w:t>
      </w:r>
    </w:p>
    <w:p>
      <w:r>
        <w:t>目录依据 PDF 书签、Word 标题样式、PPT 章节标题或文字中的明确章节标题识别。请先核对原文；缺少目录时不会由模型猜测章节边界。PDF 的“第 N 页”是文件物理页序号，可能与正文印刷页码不同；Word 使用段落、表格位置。扫描 PDF 仍需先做 OCR。</w:t>
      </w:r>
    </w:p>
    <w:p>
      <w:r>
        <w:t>限定后只会发送目标文件在所选范围内的文字，不会混入其他已勾选文件。主题用于在范围内聚焦，不能代替章节选择。范围在本次打开页面期间沿用，切换课程会清除；要恢复所有所选材料，切回“所选材料的相关片段”。</w:t>
      </w:r>
    </w:p>
    <w:p>
      <w:r>
        <w:rPr>
          <w:color w:val="8B6E48"/>
        </w:rPr>
        <w:t>请留意：很长的章节仍可能只使用其中的相关片段，页面和 PDF 都会提示未覆盖全部。可以再缩小范围、按小节分批整理。章节检测和生成结果仍需对照课程原文核对。</w:t>
      </w:r>
    </w:p>
    <w:p>
      <w:r>
        <w:t>清单、答疑、小测、概念对照、讲解反馈和报告均可下载 PDF；报告同时保留原有 Word 下载。下载依据已保存结果生成，不再次调用模型。小测 PDF 是练习版，不包含隐藏答案或解析；完成网页作答后在网页查看解析。PDF 是便于阅读的排版，不保留网页动画或学校 Word 模板的复杂格式。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要只整理某章，先按第 5a 节选择章节。在“本次学习主题”写一个小主题，例如“心肌兴奋性”“细胞损伤”“酶活性与控制变量”；也可以留空。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阅读知识点、机制联系和主动回忆问题。点击“加入主动回忆”，把这些问题放入今日复习；需要离线阅读时点击“下载 PDF”。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6a. 学习智能体：直接说出要求，再继续追问</w:t>
      </w:r>
    </w:p>
    <w:p>
      <w:r>
        <w:t>1. 点击左侧“学习智能体”，或首页“把学习任务交给小家伙”的入口。</w:t>
      </w:r>
    </w:p>
    <w:p>
      <w:r>
        <w:t>2. 勾选材料；希望严格限定章节时，可先在范围面板选好。</w:t>
      </w:r>
    </w:p>
    <w:p>
      <w:r>
        <w:t>3. 输入要求，例如“只用这份讲义第二章，整理 5 个核心知识点，再出 2 道题，保留网页结果并提供 PDF”。</w:t>
      </w:r>
    </w:p>
    <w:p>
      <w:r>
        <w:t>4. 如果小家伙询问文件、章节或任务类型，直接在同一个输入框补充。像“帮我复习”这样的宽泛要求，会先询问你想做清单、答疑还是小测。</w:t>
      </w:r>
    </w:p>
    <w:p>
      <w:r>
        <w:t>5. 完成后，点击会话中的结果卡查看相应清单或小测；每张卡都可下载 PDF。小测仍需在网页作答后查看解析。</w:t>
      </w:r>
    </w:p>
    <w:p>
      <w:r>
        <w:t>6. 继续说“再出 1 道题”可以沿用刚才的章节。要取消章节限制，请明确说“改为整份材料”，或新建会话并重新选择范围。</w:t>
      </w:r>
    </w:p>
    <w:p>
      <w:r>
        <w:drawing>
          <wp:inline xmlns:a="http://schemas.openxmlformats.org/drawingml/2006/main" xmlns:pic="http://schemas.openxmlformats.org/drawingml/2006/picture">
            <wp:extent cx="5989320" cy="135050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gent-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350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19：先澄清需求，再整理第二章清单和小测；继续提问时沿用章节。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你可以这样说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智能体可以调用的功能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只整理第二章，给我 5 个知识点和机制联系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知识清单，可补充数量与简洁程度。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解释受体与第二信使的关系，再出 2 道题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课程答疑与小测，每次小测 1～10 题。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比较主动运输和被动运输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两概念对照与辨析练习。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这是我的解释：……，请指出问题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讲解反馈；需要提供自己的实际讲解。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按这份实验指导书准备酶活性实验报告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只生成固定内容，数据、结果和结论由你填写。</w:t>
            </w:r>
          </w:p>
        </w:tc>
      </w:tr>
    </w:tbl>
    <w:p/>
    <w:p>
      <w:r>
        <w:t>每次最多安排 3 个学习任务。它会理解要求并选择已有学习功能；不能联网搜索、操作电脑或执行任意程序。某项任务失败时，已完成的结果仍可保留和下载。下载已有 PDF 不需要重新规划或生成。</w:t>
      </w:r>
    </w:p>
    <w:p>
      <w:r>
        <w:t>会话按课程保存在本机 data 中。刷新或下次启动后，可在“当前课程的会话”选择旧记录继续；新建会话会保留旧记录。切换课程后只显示该课程的会话。普通输入草稿不会在刷新后恢复。</w:t>
      </w:r>
    </w:p>
    <w:p>
      <w:r>
        <w:rPr>
          <w:color w:val="8B6E48"/>
        </w:rPr>
        <w:t>请留意：智能体的任务规划和各项内容生成可能分别调用你配置的 API，服务商按其规则计费；自动重试也可能增加费用。目录、最近对话、相关材料文字和你的要求会发送给该 API。不要在要求中填写密钥或个人敏感资料。当前自动化验证使用模拟 API，真实模型对自然语言的理解和医学内容质量仍需自行核对。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实验报告：按学校格式写好，图片和数据逐项填</w:t>
      </w:r>
    </w:p>
    <w:p>
      <w:r>
        <w:t>1. 在“课程材料”先上传正式实验指导书，用途选“实验材料”；学校格式文件另选“报告模板”上传，使用 DOCX。</w:t>
      </w:r>
    </w:p>
    <w:p>
      <w:r>
        <w:t>2. 点击“实验报告”，在“学习依据”只勾选与本次实验有关的材料。不要将示例报告当作本次真实观察记录。</w:t>
      </w:r>
    </w:p>
    <w:p>
      <w:r>
        <w:t>3. 填写实验名称、选择学校模板；没有模板时使用“目的和要求／内容和原理／主要仪器设备／结果与分析／讨论、心得”的五栏结构。</w:t>
      </w:r>
    </w:p>
    <w:p>
      <w:r>
        <w:t>4. 可展开“填写封面信息”，填入课程名称、姓名、学号等；未提供的信息留空，不沿用模板的旧学生信息。还可填写补充格式与内容要求。</w:t>
      </w:r>
    </w:p>
    <w:p>
      <w:r>
        <w:t>5. 点击“生成报告与实验学习卡”。核对网页中的每个章节、每张图片框和原始数据记录表。</w:t>
      </w:r>
    </w:p>
    <w:p>
      <w:r>
        <w:t>6. 点击“下载 Word”，在 Word/WPS 中向相应图框插入本人本次照片，填写每个【填写：……】标记，并核对实际操作条件。</w:t>
      </w:r>
    </w:p>
    <w:p>
      <w:r>
        <w:t>7. PDF 是便于阅读的内容版；需要与学校 Word 一样的分页和版式时，在 Word/WPS 中打开报告后“另存为 PDF”。</w:t>
      </w:r>
    </w:p>
    <w:p>
      <w:r>
        <w:drawing>
          <wp:inline xmlns:a="http://schemas.openxmlformats.org/drawingml/2006/main" xmlns:pic="http://schemas.openxmlformats.org/drawingml/2006/picture">
            <wp:extent cx="5989320" cy="55110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51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8：选择模板、补充要求，可展开填写封面信息。</w:t>
      </w:r>
    </w:p>
    <w:p>
      <w:r>
        <w:drawing>
          <wp:inline xmlns:a="http://schemas.openxmlformats.org/drawingml/2006/main" xmlns:pic="http://schemas.openxmlformats.org/drawingml/2006/picture">
            <wp:extent cx="5989320" cy="50427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042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9：结果与分析栏目给出原始记录表、图片框与理论分析。模型返回为模拟示例。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材料中明确列出的仪器与试剂、步骤和注意事项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本人本次实验照片、实际倍率、通道或染色信息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有依据的理论分析、方法比较、误差机制与结论句式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分析和结论中标注的实际现象、判断与支持程度</w:t>
            </w:r>
          </w:p>
        </w:tc>
      </w:tr>
    </w:tbl>
    <w:p/>
    <w:p>
      <w:r>
        <w:t>例如显微观察报告会分别列出微管、纤毛、线粒体等需要的照片，并写清图片对象、拍摄通道、图注及倍率填写位置。原始数据表按观察对象或分组生成，每个单元格只留具体填写标记。教学规定的浓度、时间可以写在方法中，不作为本次测量结果。</w:t>
      </w:r>
    </w:p>
    <w:p>
      <w:r>
        <w:rPr>
          <w:color w:val="8B6E48"/>
        </w:rPr>
        <w:t>请留意：理论分析和讨论会先写好，依赖实际观察的地方保留具体填空，不生成“本次已成功观察到……”之类未经提供的结果，也不代编个人经历。原文没有的事实须补充材料。正式提交前核对教师要求及学校允许的 AI 使用范围。旧报告记录保持原样，需要重新生成才能获得新版内容。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可直接识别“实验目的和要求（必填）”“实验内容和原理”“主要仪器设备”“实验结果与分析”“讨论、心得”等标题，也支持示例中的七栏结构和表格内的章节栏。按章节填入时会替换旧正文、旧表格与示例照片，保留封面图、章节顺序、页面设置。占位符模板保留原文字版式，复杂图表位置以文字标记呈现。</w:t>
      </w:r>
    </w:p>
    <w:p>
      <w:r>
        <w:t>不能识别章节的模板或非 DOCX 模板会在生成前提示，不再静默切换成其他格式。可以另存为 DOCX、加入支持的标题或使用下载的标准模板。模板只约束格式，不把模板里的旧结果和旧个人信息发送给生成模型。请最终检查换页、表格空间与学校格式；原模板文件不会被覆盖。</w:t>
      </w:r>
    </w:p>
    <w:p>
      <w:r>
        <w:t>在“学习智能体”中生成报告时，也可在输入框上方选择“生成实验报告时使用的模板”；未选时使用五栏标准结构。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生成学习内容时提示模型输出仍被截断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本次生成未完成、不会保存。到 API 设置展开“生成设置”，DeepSeek 优先选择“快速生成”；按模型允许范围调整首次输出额度。工作台最多提高额度自动重试一次。仍失败时减少题目数量或缩小材料范围。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不接受当前请求参数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首次输出额度及自动重试额度可能超出模型限制，请按服务商说明调低。若 DeepSeek 旧模型不接受思考参数，可将生成方式改为“沿用模型默认模式”，保存后再试。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模型引用的来源仍不在本次提供的材料片段中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程序会尝试让模型重新生成；与截断重试合计最多一次，仍不合法的结果不会保存。先更新到最新版并重启，再指定一个较小的学习主题，或更换模型。已有材料无需重新上传。来源位置存在也不代表医学结论一定正确，仍需点开原文核对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8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