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59" w:lineRule="auto"/>
        <w:ind w:left="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Tugas </w:t>
      </w: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1418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Syahri Ghifari Maulidi - 0110222217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Teknik Informatika, STT Terpadu Nurul Fikri, Depok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u w:val="none"/>
          <w:rtl w:val="0"/>
        </w:rPr>
        <w:t xml:space="preserve">syah22217ti@student.nurul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fikri.ac.id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59" w:lineRule="auto"/>
        <w:ind w:left="1418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Laporan ini adalah latihan mandiri yang harus dikerjakan dalam kurun waktu tertentu, di dalamnya menjelaskan apa yang harus dilakukan dan dikerjakan.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Import Panda and Matplotlib.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29150" cy="895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pandas digunakan untuk membaca dan mengolah data dalam format CSV. Dataset day.csv dibaca dan disimpan ke dalam variabel 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Membagi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</w:rPr>
        <w:drawing>
          <wp:inline distB="114300" distT="114300" distL="114300" distR="114300">
            <wp:extent cx="5943600" cy="116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Fungsi train_test_split dari sklearn membagi dataset menjadi dua bagian. Sebanyak 80% data untuk training dan 20% data untuk testing. random_state=42 digunakan agar pembagian data selalu konsisten (tidak berubah-ubah).Dari data Training, diambil lagi 10% untuk Validation. Validation digunakan sebagai data uji coba sebelum model diterapkan ke data Testing.</w:t>
      </w:r>
    </w:p>
    <w:p w:rsidR="00000000" w:rsidDel="00000000" w:rsidP="00000000" w:rsidRDefault="00000000" w:rsidRPr="00000000" w14:paraId="0000000E">
      <w:pPr>
        <w:pStyle w:val="Heading2"/>
        <w:spacing w:after="0" w:line="276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nryqer4kjtt8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2.1 Jumlah data dan pemanggilan data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76825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Menampilkan jumlah data pada setiap bagian (Training, Validation, Testing). Sebuah dictionary yang menunjukkan jumlah data per kategori. Untuk membuktikan dataset memang berhasil dibagi, ditampilkan 5 baris teratas dari setiap set. Tiga tabel yang masing-masing berisi data Training, Validation, dan Testing.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162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49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460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531" w:top="2268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>MediaServiceImageTags</vt:lpwstr>
  </property>
  <property fmtid="{D5CDD505-2E9C-101B-9397-08002B2CF9AE}" pid="4" name="_SourceUrl">
    <vt:lpwstr>_SourceUrl</vt:lpwstr>
  </property>
  <property fmtid="{D5CDD505-2E9C-101B-9397-08002B2CF9AE}" pid="5" name="_SharedFileIndex">
    <vt:lpwstr>_SharedFileIndex</vt:lpwstr>
  </property>
  <property fmtid="{D5CDD505-2E9C-101B-9397-08002B2CF9AE}" pid="6" name="ComplianceAssetId">
    <vt:lpwstr>ComplianceAssetId</vt:lpwstr>
  </property>
  <property fmtid="{D5CDD505-2E9C-101B-9397-08002B2CF9AE}" pid="7" name="_ExtendedDescription">
    <vt:lpwstr>_ExtendedDescription</vt:lpwstr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>TriggerFlowInfo</vt:lpwstr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