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发明专利请求书 —— 录入对照表</w:t>
      </w:r>
    </w:p>
    <w:p>
      <w:r>
        <w:rPr>
          <w:rFonts w:eastAsia="宋体"/>
          <w:b/>
          <w:sz w:val="22"/>
        </w:rPr>
        <w:t>发明名称：一种链下登记册向链上数字对象的投影方法和装置</w:t>
      </w:r>
    </w:p>
    <w:p>
      <w:r>
        <w:rPr>
          <w:rFonts w:eastAsia="宋体"/>
          <w:b/>
          <w:sz w:val="22"/>
        </w:rPr>
        <w:t>加粗＝已确定，照抄即可。只有标【需填】的七项需要你查一次证照。请求事项已按建议预选，理由见文末。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一、发明人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国籍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【需填】按身份证件填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身份证件号码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是否请求不公布姓名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其他发明人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无（如实际另有，请补）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二、申请人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申请人类型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单位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名称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长颈鹿云科技（深圳）有限公司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统一社会信用代码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【需填】见营业执照，18 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注册国家或地区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中国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地址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【需填】见营业执照「住所」栏，逐字照抄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邮政编码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联系人姓名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叶文浩（已代为指定；可改）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联系电话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电子邮箱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经常居所或营业所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在中国内地有 —— 强制代理不适用，可自行提交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三、专利代理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是否委托代理机构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自行提交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代理机构／代理师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不填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四、请求事项（已代为决定）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是否请求提前公布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否（默认）—— 不请求实审，提前公布无程序上的好处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是否同时请求实质审查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本申请目的是优先权，实审可在申请日起 3 年内再定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是否请求费减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备案通过→是（填备案号）；未通过→否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要求优先权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不要求（本申请本身即将来主张优先权的在先申请）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不丧失新颖性宽限期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不主张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是否涉及遗传资源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不涉及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是否请求优先审查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需推荐意见，暂不办理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五、申请文件与页数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权利要求书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18 项，约 4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[0001]–[0090]，约 12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说明书摘要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约 1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4 幅，4 页（JPG，300 dpi 黑白线条）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摘要附图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图 2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页数如何填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电子申请一般由系统按上传文件自动生成；若须手填，以打印稿页脚末页号为准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六、四项请求事项为什么这么选</w:t>
      </w:r>
    </w:p>
    <w:p>
      <w:r>
        <w:rPr>
          <w:rFonts w:eastAsia="宋体"/>
          <w:b w:val="0"/>
          <w:sz w:val="22"/>
        </w:rPr>
        <w:t>1. 本申请的目的是优先权，用以在 12 个月内向 PCT 或外国提出申请。据此，实质审查不必现在请求——实审可在申请日起 3 年内提出，现在缴纳实审费是为一项可能永远不需要的审查买单。</w:t>
      </w:r>
    </w:p>
    <w:p>
      <w:r>
        <w:rPr>
          <w:rFonts w:eastAsia="宋体"/>
          <w:b w:val="0"/>
          <w:sz w:val="22"/>
        </w:rPr>
        <w:t>2. 不请求实审，提前公布也就没有程序上的好处；不请求提前公布还保留了在公布前撤回的可能，零成本。</w:t>
      </w:r>
    </w:p>
    <w:p>
      <w:r>
        <w:rPr>
          <w:rFonts w:eastAsia="宋体"/>
          <w:b w:val="0"/>
          <w:sz w:val="22"/>
        </w:rPr>
        <w:t>3. 因此费减一栏不再牵动实审一栏：实审费不在申请日起两个月内到期，其减缴可在缴费期限届满日两个半月之前另行提出。费减只按今日备案结果决定。</w:t>
      </w:r>
    </w:p>
    <w:p>
      <w:r>
        <w:rPr>
          <w:rFonts w:eastAsia="宋体"/>
          <w:b w:val="0"/>
          <w:sz w:val="22"/>
        </w:rPr>
        <w:t>4. 真正起决定作用的期限是「申请日 ＋ 12 个月」。逾期则优先权失效，本次申请的全部意义随之落空。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七、向外国申请前的保密审查</w:t>
      </w:r>
    </w:p>
    <w:p>
      <w:r>
        <w:rPr>
          <w:rFonts w:eastAsia="宋体"/>
          <w:b/>
          <w:sz w:val="22"/>
        </w:rPr>
        <w:t>依《专利法》第十九条，在中国完成的发明向外国申请专利前须经国家知识产权局保密审查。若走 PCT 且以国家知识产权局为受理局，提交时视为同时提出保密审查请求，无需单独办理；若走巴黎途径直接向某国申请，则必须事先单独提出，漏办的后果是该发明在中国不授予专利权。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 w:val="0"/>
          <w:sz w:val="22"/>
        </w:rPr>
        <w:t>单位盖章：________________          日期：________________</w:t>
      </w:r>
    </w:p>
    <w:sectPr w:rsidR="00FC693F" w:rsidRPr="0006063C" w:rsidSect="00034616"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