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权　利　要　求　书</w:t>
      </w:r>
    </w:p>
    <w:p>
      <w:r>
        <w:rPr>
          <w:b w:val="0"/>
          <w:sz w:val="24"/>
        </w:rPr>
      </w:r>
    </w:p>
    <w:p>
      <w:r>
        <w:rPr>
          <w:b w:val="0"/>
          <w:sz w:val="24"/>
        </w:rPr>
      </w:r>
    </w:p>
    <w:p>
      <w:pPr>
        <w:ind w:firstLine="480"/>
      </w:pPr>
      <w:r>
        <w:rPr>
          <w:b w:val="0"/>
          <w:sz w:val="24"/>
        </w:rPr>
        <w:t>1. 一种链下登记册向非同质化通证的投影方法,由部署于区块链上的合约执行,所述合约管理符合非同质化通证接口的通证,其特征在于,所述方法包括:</w:t>
      </w:r>
    </w:p>
    <w:p>
      <w:pPr>
        <w:ind w:firstLine="480"/>
      </w:pPr>
      <w:r>
        <w:rPr>
          <w:b w:val="0"/>
          <w:sz w:val="24"/>
        </w:rPr>
        <w:t>S1 为每个通证维护一条只增的登记条目序列,每条登记条目至少包含记录承诺、前序承诺、登记引用、持有人地址、版本号、生效时刻和被覆盖时刻,其中首条登记条目的版本号为 1 且其前序承诺为零值;所述记录承诺为对所述链下登记册在该条目处的内容的承诺值,所述登记引用为所述链下登记册对该条目自身记录的定位符且不被所述合约解释;</w:t>
      </w:r>
    </w:p>
    <w:p>
      <w:pPr>
        <w:ind w:firstLine="480"/>
      </w:pPr>
      <w:r>
        <w:rPr>
          <w:b w:val="0"/>
          <w:sz w:val="24"/>
        </w:rPr>
        <w:t>S2 对所述登记条目序列施加下述四项写入不变量,违反任一项即拒绝写入:</w:t>
      </w:r>
    </w:p>
    <w:p>
      <w:pPr>
        <w:ind w:firstLine="480"/>
      </w:pPr>
      <w:r>
        <w:rPr>
          <w:b w:val="0"/>
          <w:sz w:val="24"/>
        </w:rPr>
        <w:t>S2-1 被追加的登记条目的版本号等于前一条登记条目的版本号加一,且其前序承诺等于前一条登记条目的记录承诺;</w:t>
      </w:r>
    </w:p>
    <w:p>
      <w:pPr>
        <w:ind w:firstLine="480"/>
      </w:pPr>
      <w:r>
        <w:rPr>
          <w:b w:val="0"/>
          <w:sz w:val="24"/>
        </w:rPr>
        <w:t>S2-2 追加时将前一条登记条目的被覆盖时刻置为被追加的登记条目的生效时刻,并将被追加的登记条目的被覆盖时刻置为零值;</w:t>
      </w:r>
    </w:p>
    <w:p>
      <w:pPr>
        <w:ind w:firstLine="480"/>
      </w:pPr>
      <w:r>
        <w:rPr>
          <w:b w:val="0"/>
          <w:sz w:val="24"/>
        </w:rPr>
        <w:t>S2-3 被追加的登记条目的生效时刻严格大于前一条登记条目的生效时刻;</w:t>
      </w:r>
    </w:p>
    <w:p>
      <w:pPr>
        <w:ind w:firstLine="480"/>
      </w:pPr>
      <w:r>
        <w:rPr>
          <w:b w:val="0"/>
          <w:sz w:val="24"/>
        </w:rPr>
        <w:t>S2-4 被追加的登记条目的记录承诺在同一通证的所述登记条目序列内未曾出现;</w:t>
      </w:r>
    </w:p>
    <w:p>
      <w:pPr>
        <w:ind w:firstLine="480"/>
      </w:pPr>
      <w:r>
        <w:rPr>
          <w:b w:val="0"/>
          <w:sz w:val="24"/>
        </w:rPr>
        <w:t>且所述登记条目不被覆写、删除、重排或跳号;</w:t>
      </w:r>
    </w:p>
    <w:p>
      <w:pPr>
        <w:ind w:firstLine="480"/>
      </w:pPr>
      <w:r>
        <w:rPr>
          <w:b w:val="0"/>
          <w:sz w:val="24"/>
        </w:rPr>
        <w:t>S3 响应于结算开启请求,校验请求方为该通证的结算权限主体、结算标识非零且当前未被占用、起始快照承诺非零、以及截止时刻严格晚于当前区块时间戳且二者之差不超过结算期上限;校验通过后写入一条状态为开启的结算记录,将其开启时刻置为当前区块时间戳,并将该通证标记为存在未闭合缺口;</w:t>
      </w:r>
    </w:p>
    <w:p>
      <w:pPr>
        <w:ind w:firstLine="480"/>
      </w:pPr>
      <w:r>
        <w:rPr>
          <w:b w:val="0"/>
          <w:sz w:val="24"/>
        </w:rPr>
        <w:t>S4 响应于任意账户提交的、携带记录承诺、登记引用、生效时刻与证明数据的准入请求,由所述合约执行下述验证,且不以所述请求的提交方地址、中继白名单或任何账户的签名作为验证依据:</w:t>
      </w:r>
    </w:p>
    <w:p>
      <w:pPr>
        <w:ind w:firstLine="480"/>
      </w:pPr>
      <w:r>
        <w:rPr>
          <w:b w:val="0"/>
          <w:sz w:val="24"/>
        </w:rPr>
        <w:t>S4-1 自所述证明数据解析出远端高度、远端区块哈希、远端状态根、成员路径索引、兄弟节点序列与见证签名集合;</w:t>
      </w:r>
    </w:p>
    <w:p>
      <w:pPr>
        <w:ind w:firstLine="480"/>
      </w:pPr>
      <w:r>
        <w:rPr>
          <w:b w:val="0"/>
          <w:sz w:val="24"/>
        </w:rPr>
        <w:t>S4-2 按预定的类型化结构,对由当前链标识、所述合约的地址、通证标识、所述结算标识、所述结算记录中的预期持有人、所述结算记录中的起始快照承诺、前一条登记条目的记录承诺、本次记录承诺、本次登记引用、下一版本号与本次生效时刻构成的字段全集计算叶节点摘要;</w:t>
      </w:r>
    </w:p>
    <w:p>
      <w:pPr>
        <w:ind w:firstLine="480"/>
      </w:pPr>
      <w:r>
        <w:rPr>
          <w:b w:val="0"/>
          <w:sz w:val="24"/>
        </w:rPr>
        <w:t>S4-3 以第一标签字节为前缀计算叶节点、以不同于所述第一标签字节的第二标签字节为前缀计算内部节点,沿所述成员路径逐层归并得到根值,并在归并结束时要求所述成员路径索引的剩余位全部为零且所述根值等于所述远端状态根,否则判定成员证明不成立;</w:t>
      </w:r>
    </w:p>
    <w:p>
      <w:pPr>
        <w:ind w:firstLine="480"/>
      </w:pPr>
      <w:r>
        <w:rPr>
          <w:b w:val="0"/>
          <w:sz w:val="24"/>
        </w:rPr>
        <w:t>S4-4 以包含所述当前链标识与所述合约地址的域分隔符,对包含远端登记册标识、所述远端高度、所述远端区块哈希、所述远端状态根与见证人集合承诺的类型化结构计算终局性摘要,并要求所述见证签名集合中不少于门限数量的签名可恢复出互不相同且均属于见证人集合的地址;</w:t>
      </w:r>
    </w:p>
    <w:p>
      <w:pPr>
        <w:ind w:firstLine="480"/>
      </w:pPr>
      <w:r>
        <w:rPr>
          <w:b w:val="0"/>
          <w:sz w:val="24"/>
        </w:rPr>
        <w:t>S4-5 要求所述远端高度严格大于该通证已消费的最近远端高度;</w:t>
      </w:r>
    </w:p>
    <w:p>
      <w:pPr>
        <w:ind w:firstLine="480"/>
      </w:pPr>
      <w:r>
        <w:rPr>
          <w:b w:val="0"/>
          <w:sz w:val="24"/>
        </w:rPr>
        <w:t>S4-6 要求由所述终局性摘要与所述叶节点摘要导出的证明标识未被消费过;</w:t>
      </w:r>
    </w:p>
    <w:p>
      <w:pPr>
        <w:ind w:firstLine="480"/>
      </w:pPr>
      <w:r>
        <w:rPr>
          <w:b w:val="0"/>
          <w:sz w:val="24"/>
        </w:rPr>
        <w:t>S5 在 S4 的各项验证全部通过时,于同一笔交易内原子地执行:标记所述证明标识为已消费、将所述最近远端高度更新为所述远端高度、按 S2 追加登记条目、将所述缺口的状态置为已准入并清除该通证的未闭合缺口标记;上述任一步骤失败则回滚本次交易的全部效果;</w:t>
      </w:r>
    </w:p>
    <w:p>
      <w:pPr>
        <w:ind w:firstLine="480"/>
      </w:pPr>
      <w:r>
        <w:rPr>
          <w:b w:val="0"/>
          <w:sz w:val="24"/>
        </w:rPr>
        <w:t>S6 对外提供时刻解析:对给定通证与给定时刻,返回生效区间覆盖所述给定时刻的登记条目及该条目的持有人地址;并对外提供终局性判定:当且仅当所述给定时刻不早于首条登记条目的生效时刻、且严格早于最新登记条目的生效时刻时判定所述给定时刻为终局,其余情形判定为非终局;</w:t>
      </w:r>
    </w:p>
    <w:p>
      <w:pPr>
        <w:ind w:firstLine="480"/>
      </w:pPr>
      <w:r>
        <w:rPr>
          <w:b w:val="0"/>
          <w:sz w:val="24"/>
        </w:rPr>
        <w:t>S7 在所述缺口开启期间,不阻断该通证依所述非同质化通证接口进行的转让,且不因所述转让改变所述登记条目序列,亦不由所述非同质化通证接口的当前所有者推断所述持有人地址。</w:t>
      </w:r>
    </w:p>
    <w:p>
      <w:r>
        <w:rPr>
          <w:b w:val="0"/>
          <w:sz w:val="24"/>
        </w:rPr>
      </w:r>
    </w:p>
    <w:p>
      <w:pPr>
        <w:ind w:firstLine="480"/>
      </w:pPr>
      <w:r>
        <w:rPr>
          <w:b w:val="0"/>
          <w:sz w:val="24"/>
        </w:rPr>
        <w:t>2. 根据权利要求 1 所述的方法,其特征在于,S4 还包括:要求本次生效时刻不大于当前区块时间戳与预设前向上界之和;当本次生效时刻超出该和时拒绝准入。</w:t>
      </w:r>
    </w:p>
    <w:p>
      <w:r>
        <w:rPr>
          <w:b w:val="0"/>
          <w:sz w:val="24"/>
        </w:rPr>
      </w:r>
    </w:p>
    <w:p>
      <w:pPr>
        <w:ind w:firstLine="480"/>
      </w:pPr>
      <w:r>
        <w:rPr>
          <w:b w:val="0"/>
          <w:sz w:val="24"/>
        </w:rPr>
        <w:t>3. 根据权利要求 1 所述的方法,其特征在于,还包括争议判定步骤:当所述通证上存在未闭合缺口、且该缺口的开启时刻不晚于给定时刻时,判定所述给定时刻为被争议;所述方法还对外提供未闭合缺口查询,在不存在未闭合缺口时返回零值;所述被争议的判定与 S6 中的终局性判定彼此独立,且终局性判定不以是否存在未闭合缺口为条件。</w:t>
      </w:r>
    </w:p>
    <w:p>
      <w:r>
        <w:rPr>
          <w:b w:val="0"/>
          <w:sz w:val="24"/>
        </w:rPr>
      </w:r>
    </w:p>
    <w:p>
      <w:pPr>
        <w:ind w:firstLine="480"/>
      </w:pPr>
      <w:r>
        <w:rPr>
          <w:b w:val="0"/>
          <w:sz w:val="24"/>
        </w:rPr>
        <w:t>4. 根据权利要求 1 所述的方法,其特征在于,S3 中允许所述预期持有人等于该通证当前的确认持有人,由此准入的登记条目为确认性条目,该确认性条目使其生效时刻之前的、原本非终局的时刻依 S6 的判定转为终局。</w:t>
      </w:r>
    </w:p>
    <w:p>
      <w:r>
        <w:rPr>
          <w:b w:val="0"/>
          <w:sz w:val="24"/>
        </w:rPr>
      </w:r>
    </w:p>
    <w:p>
      <w:pPr>
        <w:ind w:firstLine="480"/>
      </w:pPr>
      <w:r>
        <w:rPr>
          <w:b w:val="0"/>
          <w:sz w:val="24"/>
        </w:rPr>
        <w:t>5. 根据权利要求 1 所述的方法,其特征在于,S3 还包括:当所述通证上已存在未闭合缺口时,将该已存在的缺口的状态置为已被覆盖并使其不能再被准入,随后写入新的结算记录,且所述覆盖不改变所述登记条目序列。</w:t>
      </w:r>
    </w:p>
    <w:p>
      <w:r>
        <w:rPr>
          <w:b w:val="0"/>
          <w:sz w:val="24"/>
        </w:rPr>
      </w:r>
    </w:p>
    <w:p>
      <w:pPr>
        <w:ind w:firstLine="480"/>
      </w:pPr>
      <w:r>
        <w:rPr>
          <w:b w:val="0"/>
          <w:sz w:val="24"/>
        </w:rPr>
        <w:t>6. 根据权利要求 1 所述的方法,其特征在于,还包括取消步骤:仅所述结算记录中记载的发起方可请求取消处于开启状态的缺口,且仅在当前区块时间戳严格晚于该缺口的截止时刻时准许;截止时刻之前的取消请求被拒绝;取消不改变所述登记条目序列,亦不使任何时刻由非终局转为终局。</w:t>
      </w:r>
    </w:p>
    <w:p>
      <w:r>
        <w:rPr>
          <w:b w:val="0"/>
          <w:sz w:val="24"/>
        </w:rPr>
      </w:r>
    </w:p>
    <w:p>
      <w:pPr>
        <w:ind w:firstLine="480"/>
      </w:pPr>
      <w:r>
        <w:rPr>
          <w:b w:val="0"/>
          <w:sz w:val="24"/>
        </w:rPr>
        <w:t>7. 根据权利要求 1 所述的方法,其特征在于,所述结算权限主体经由一个对外的查询接口暴露,该接口以通证标识与账户地址为入参并返回该账户是否为该通证的结算权限主体,对不存在的通证报错回退;所述结算权限主体不由所述非同质化通证接口的当前所有者派生。</w:t>
      </w:r>
    </w:p>
    <w:p>
      <w:r>
        <w:rPr>
          <w:b w:val="0"/>
          <w:sz w:val="24"/>
        </w:rPr>
      </w:r>
    </w:p>
    <w:p>
      <w:pPr>
        <w:ind w:firstLine="480"/>
      </w:pPr>
      <w:r>
        <w:rPr>
          <w:b w:val="0"/>
          <w:sz w:val="24"/>
        </w:rPr>
        <w:t>8. 根据权利要求 1 所述的方法,其特征在于,所述链下登记册的内容不被写入所述区块链,所述区块链上仅承载所述记录承诺与所述登记引用;所述持有人的身份信息存在于由所述登记引用定位的所述链下登记册的记录之中。</w:t>
      </w:r>
    </w:p>
    <w:p>
      <w:r>
        <w:rPr>
          <w:b w:val="0"/>
          <w:sz w:val="24"/>
        </w:rPr>
      </w:r>
    </w:p>
    <w:p>
      <w:pPr>
        <w:ind w:firstLine="480"/>
      </w:pPr>
      <w:r>
        <w:rPr>
          <w:b w:val="0"/>
          <w:sz w:val="24"/>
        </w:rPr>
        <w:t>9. 根据权利要求 1 所述的方法,其特征在于,所述合约对外声明一个非零且在部署后不可变更的远端登记册标识,以及一个非零且在部署后不可变更的验证配置标识,所述验证配置标识指代所述合约所接受的远端终局性证明规则、成员证明算法、见证人集合演化规则、规范化编码与哈希函数的集合。</w:t>
      </w:r>
    </w:p>
    <w:p>
      <w:r>
        <w:rPr>
          <w:b w:val="0"/>
          <w:sz w:val="24"/>
        </w:rPr>
      </w:r>
    </w:p>
    <w:p>
      <w:pPr>
        <w:ind w:firstLine="480"/>
      </w:pPr>
      <w:r>
        <w:rPr>
          <w:b w:val="0"/>
          <w:sz w:val="24"/>
        </w:rPr>
        <w:t>10. 根据权利要求 1 所述的方法,其特征在于,S4-4 中所述签名的恢复还包括:拒绝 s 值位于椭圆曲线阶的高半区间的签名;并要求所述见证签名集合中逐一恢复出的签名人地址按数值严格递增排列,从而同一签名人不被重复计入所述门限数量。</w:t>
      </w:r>
    </w:p>
    <w:p>
      <w:r>
        <w:rPr>
          <w:b w:val="0"/>
          <w:sz w:val="24"/>
        </w:rPr>
      </w:r>
    </w:p>
    <w:p>
      <w:pPr>
        <w:ind w:firstLine="480"/>
      </w:pPr>
      <w:r>
        <w:rPr>
          <w:b w:val="0"/>
          <w:sz w:val="24"/>
        </w:rPr>
        <w:t>11. 根据权利要求 1 所述的方法,其特征在于,所述生效时刻、所述被覆盖时刻、所述开启时刻、所述截止时刻与所述给定时刻均为自 Unix 纪元起的秒计数,与所述区块时间戳为同一尺度,使所述链下登记册的时刻与所述区块链的时刻可直接比较。</w:t>
      </w:r>
    </w:p>
    <w:p>
      <w:r>
        <w:rPr>
          <w:b w:val="0"/>
          <w:sz w:val="24"/>
        </w:rPr>
      </w:r>
    </w:p>
    <w:p>
      <w:pPr>
        <w:ind w:firstLine="480"/>
      </w:pPr>
      <w:r>
        <w:rPr>
          <w:b w:val="0"/>
          <w:sz w:val="24"/>
        </w:rPr>
        <w:t>12. 根据权利要求 1 所述的方法,其特征在于,还包括事件发出步骤:写入首条登记条目时发出登记初始化事件;每次按 S2 追加登记条目时发出条目覆盖事件,其中携带通证标识、版本号、本次记录承诺、前序承诺、持有人地址与生效时刻;开启、完成、取消与覆盖缺口时分别发出对应的结算事件。</w:t>
      </w:r>
    </w:p>
    <w:p>
      <w:r>
        <w:rPr>
          <w:b w:val="0"/>
          <w:sz w:val="24"/>
        </w:rPr>
      </w:r>
    </w:p>
    <w:p>
      <w:pPr>
        <w:ind w:firstLine="480"/>
      </w:pPr>
      <w:r>
        <w:rPr>
          <w:b w:val="0"/>
          <w:sz w:val="24"/>
        </w:rPr>
        <w:t>13. 根据权利要求 1 所述的方法,其特征在于,所述合约经由接口探测标准分别声明第一接口标识与第二接口标识,所述第一接口标识对应包含 S1、S2、S6 的投影接口,所述第二接口标识对应包含 S3 至 S5 的结算接口,且所述合约不声明其未满足其全部要求的接口标识。</w:t>
      </w:r>
    </w:p>
    <w:p>
      <w:r>
        <w:rPr>
          <w:b w:val="0"/>
          <w:sz w:val="24"/>
        </w:rPr>
      </w:r>
    </w:p>
    <w:p>
      <w:pPr>
        <w:ind w:firstLine="480"/>
      </w:pPr>
      <w:r>
        <w:rPr>
          <w:b w:val="0"/>
          <w:sz w:val="24"/>
        </w:rPr>
        <w:t>14. 根据权利要求 1 或 3 所述的方法,其特征在于,还包括向外部合约提供彼此独立的三项查询结果,分别为:给定时刻的确认持有人、所述给定时刻是否终局、所述给定时刻是否被争议;所述三项查询结果不被合并为单一返回值。</w:t>
      </w:r>
    </w:p>
    <w:p>
      <w:r>
        <w:rPr>
          <w:b w:val="0"/>
          <w:sz w:val="24"/>
        </w:rPr>
      </w:r>
    </w:p>
    <w:p>
      <w:pPr>
        <w:ind w:firstLine="480"/>
      </w:pPr>
      <w:r>
        <w:rPr>
          <w:b w:val="0"/>
          <w:sz w:val="24"/>
        </w:rPr>
        <w:t>15. 一种链下登记册向非同质化通证的投影装置,其特征在于,包括:</w:t>
      </w:r>
    </w:p>
    <w:p>
      <w:pPr>
        <w:ind w:firstLine="480"/>
      </w:pPr>
      <w:r>
        <w:rPr>
          <w:b w:val="0"/>
          <w:sz w:val="24"/>
        </w:rPr>
        <w:t>条目维护模块,配置为执行权利要求 1 中的 S1 与 S2;</w:t>
      </w:r>
    </w:p>
    <w:p>
      <w:pPr>
        <w:ind w:firstLine="480"/>
      </w:pPr>
      <w:r>
        <w:rPr>
          <w:b w:val="0"/>
          <w:sz w:val="24"/>
        </w:rPr>
        <w:t>缺口管理模块,配置为执行权利要求 1 中的 S3;</w:t>
      </w:r>
    </w:p>
    <w:p>
      <w:pPr>
        <w:ind w:firstLine="480"/>
      </w:pPr>
      <w:r>
        <w:rPr>
          <w:b w:val="0"/>
          <w:sz w:val="24"/>
        </w:rPr>
        <w:t>证明验证模块,配置为执行权利要求 1 中的 S4;</w:t>
      </w:r>
    </w:p>
    <w:p>
      <w:pPr>
        <w:ind w:firstLine="480"/>
      </w:pPr>
      <w:r>
        <w:rPr>
          <w:b w:val="0"/>
          <w:sz w:val="24"/>
        </w:rPr>
        <w:t>原子写入模块,配置为执行权利要求 1 中的 S5;</w:t>
      </w:r>
    </w:p>
    <w:p>
      <w:pPr>
        <w:ind w:firstLine="480"/>
      </w:pPr>
      <w:r>
        <w:rPr>
          <w:b w:val="0"/>
          <w:sz w:val="24"/>
        </w:rPr>
        <w:t>查询模块,配置为执行权利要求 1 中的 S6;</w:t>
      </w:r>
    </w:p>
    <w:p>
      <w:pPr>
        <w:ind w:firstLine="480"/>
      </w:pPr>
      <w:r>
        <w:rPr>
          <w:b w:val="0"/>
          <w:sz w:val="24"/>
        </w:rPr>
        <w:t>转让处理模块,配置为执行权利要求 1 中的 S7。</w:t>
      </w:r>
    </w:p>
    <w:p>
      <w:r>
        <w:rPr>
          <w:b w:val="0"/>
          <w:sz w:val="24"/>
        </w:rPr>
      </w:r>
    </w:p>
    <w:p>
      <w:pPr>
        <w:ind w:firstLine="480"/>
      </w:pPr>
      <w:r>
        <w:rPr>
          <w:b w:val="0"/>
          <w:sz w:val="24"/>
        </w:rPr>
        <w:t>16. 根据权利要求 15 所述的装置,其特征在于,所述各模块由部署于所述区块链上的智能合约字节码实现,所述登记条目序列、所述结算记录、所述最近远端高度与所述已消费证明标识保存于所述智能合约的持久化存储之中。</w:t>
      </w:r>
    </w:p>
    <w:p>
      <w:r>
        <w:rPr>
          <w:b w:val="0"/>
          <w:sz w:val="24"/>
        </w:rPr>
      </w:r>
    </w:p>
    <w:p>
      <w:pPr>
        <w:ind w:firstLine="480"/>
      </w:pPr>
      <w:r>
        <w:rPr>
          <w:b w:val="0"/>
          <w:sz w:val="24"/>
        </w:rPr>
        <w:t>17. 一种电子设备,其特征在于,包括处理器和存储器,所述存储器存储有可被所述处理器执行的指令,所述指令被所述处理器执行时实现权利要求 1 至 14 中任一项所述的方法。</w:t>
      </w:r>
    </w:p>
    <w:p>
      <w:r>
        <w:rPr>
          <w:b w:val="0"/>
          <w:sz w:val="24"/>
        </w:rPr>
      </w:r>
    </w:p>
    <w:p>
      <w:pPr>
        <w:ind w:firstLine="480"/>
      </w:pPr>
      <w:r>
        <w:rPr>
          <w:b w:val="0"/>
          <w:sz w:val="24"/>
        </w:rPr>
        <w:t>18. 一种计算机可读存储介质,其特征在于,其上存储有计算机程序,所述计算机程序被处理器执行时实现权利要求 1 至 14 中任一项所述的方法。</w:t>
      </w:r>
    </w:p>
    <w:sectPr w:rsidR="00FC693F" w:rsidRPr="0006063C" w:rsidSect="00034616">
      <w:footerReference w:type="default" r:id="rId9"/>
      <w:pgSz w:w="11906" w:h="16838"/>
      <w:pgMar w:top="1417"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