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说　明　书　摘　要</w:t>
      </w:r>
    </w:p>
    <w:p>
      <w:r>
        <w:rPr>
          <w:b w:val="0"/>
          <w:sz w:val="24"/>
        </w:rPr>
      </w:r>
    </w:p>
    <w:p>
      <w:pPr>
        <w:ind w:firstLine="480"/>
      </w:pPr>
      <w:r>
        <w:rPr>
          <w:b w:val="0"/>
          <w:sz w:val="24"/>
        </w:rPr>
        <w:t>本发明公开一种链下登记册向非同质化通证的投影方法和装置。合约为每个通证维护只增条目序列,条目含记录承诺、前序承诺、登记引用、持有人与生效区间,并施加四项不变量:版本递增并链接前序承诺;前条区间由新条目生效时刻闭合;生效时刻严格递增;记录承诺在通证内唯一。由此任意过去时刻恰解析出唯一确认持有人,且当且仅当该时刻早于最新条目生效时刻且不早于首条生效时刻时为终局。条目仅在通过以下验证后准入:证明绑定链标识、合约地址、通证与结算标识、持有人、快照、前后承诺与生效时刻;加标签且索引耗尽的成员证明;域分隔门限见证;远端高度递增且证明未重放;验证与写入原子完成。提交者不被信任,待定期间转让不阻断。</w:t>
      </w:r>
    </w:p>
    <w:p>
      <w:pPr>
        <w:ind w:firstLine="480"/>
      </w:pPr>
      <w:r>
        <w:rPr>
          <w:b w:val="0"/>
          <w:sz w:val="24"/>
        </w:rPr>
        <w:t>摘要附图:图 2</w:t>
      </w:r>
    </w:p>
    <w:sectPr w:rsidR="00FC693F" w:rsidRPr="0006063C" w:rsidSect="00034616">
      <w:footerReference w:type="default" r:id="rId9"/>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