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发明专利请求书 —— 待填信息表</w:t>
      </w:r>
    </w:p>
    <w:p>
      <w:r>
        <w:rPr>
          <w:b/>
          <w:sz w:val="22"/>
        </w:rPr>
        <w:t>发明名称:一种链下登记册向非同质化通证的投影方法和装置</w:t>
      </w:r>
    </w:p>
    <w:p>
      <w:r>
        <w:rPr>
          <w:b w:val="0"/>
          <w:sz w:val="22"/>
        </w:rPr>
        <w:t>加粗项为已确定,无需再填。空白项与标【待填】项须由申请人核对后填写。填妥后连同 提交件/ 下四份文件在电子申请系统中录入,或交代理机构。</w:t>
      </w:r>
    </w:p>
    <w:p>
      <w:r>
        <w:rPr>
          <w:b w:val="0"/>
          <w:sz w:val="22"/>
        </w:rPr>
      </w:r>
    </w:p>
    <w:p>
      <w:r>
        <w:rPr>
          <w:b/>
          <w:sz w:val="24"/>
        </w:rPr>
        <w:t>一、发明人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第一发明人 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叶文浩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国籍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身份证件号码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是否请求不公布姓名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☐ 是   ☑ 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其他发明人(姓名/国籍/证件号)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如无则留空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二、申请人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申请人类型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单位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名称(须与营业执照全称逐字一致)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长颈鹿云科技(深圳)有限公司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统一社会信用代码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注册国家或地区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中国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地址(须与营业执照住所一致)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邮政编码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联系人姓名(不委托代理机构时必填)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联系电话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电子邮箱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在中国内地是否有经常居所或营业所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有 —— 故《专利法》第十八条的强制代理不适用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三、专利代理(本案非强制,可留空)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是否委托代理机构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☐ 是   ☐ 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代理机构名称 / 代码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不委托则留空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专利代理师姓名 / 执业证号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不委托则留空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四、请求事项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是否请求提前公布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☐ 是   ☐ 否(默认自申请日起 18 个月公布)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是否同时请求实质审查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☐ 是   ☐ 否(可在申请日起 3 年内提出)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是否请求费减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☐ 是(企业须上年度应纳税所得额低于 100 万元且已备案,备案号 ______)   ☐ 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要求优先权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☐ 不要求(本案默认)   ☐ 要求:在先申请号/申请日/受理机构 ______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不丧失新颖性宽限期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☐ 不主张(本案默认,理由见检索报告 §5.4)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遗传资源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不涉及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五、申请文件页数(排版定稿后填写)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权利要求书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说明书摘要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说明书附图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4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b w:val="0"/>
                <w:sz w:val="20"/>
              </w:rPr>
              <w:t>摘要附图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b/>
                <w:sz w:val="20"/>
              </w:rPr>
              <w:t>图 2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六、已经解决的两件事(不必再确认)</w:t>
      </w:r>
    </w:p>
    <w:p>
      <w:r>
        <w:rPr>
          <w:b w:val="0"/>
          <w:sz w:val="22"/>
        </w:rPr>
        <w:t>1. 权属:发明人为自然人叶文浩,申请人为长颈鹿云科技(深圳)有限公司,即按职务发明由单位持有申请权,自洽。单位内部应有劳动关系或权属约定作为依据备查,但请求书本身不需要就此作声明。</w:t>
      </w:r>
    </w:p>
    <w:p>
      <w:r>
        <w:rPr>
          <w:b w:val="0"/>
          <w:sz w:val="22"/>
        </w:rPr>
        <w:t>2. 代理强制:申请人是在深圳注册的中国法人,在中国内地有营业所,《专利法》第十八条不适用,可以自行提交。</w:t>
      </w:r>
    </w:p>
    <w:p>
      <w:r>
        <w:rPr>
          <w:b w:val="0"/>
          <w:sz w:val="22"/>
        </w:rPr>
      </w:r>
    </w:p>
    <w:p>
      <w:r>
        <w:rPr>
          <w:b/>
          <w:sz w:val="24"/>
        </w:rPr>
        <w:t>七、唯一还会致命的一项</w:t>
      </w:r>
    </w:p>
    <w:p>
      <w:r>
        <w:rPr>
          <w:b w:val="0"/>
          <w:sz w:val="22"/>
        </w:rPr>
        <w:t>本申请的申请日必须早于以下任何一项:向 ethereum/ERCs 提交提案 PR、在 Ethereum Magicians 论坛发帖、以 CC0 公开参考实现。三者都是《专利法》第二十二条意义上的公开,且都不属于第二十四条可主张宽限期的三种情形。任一先行发生,新颖性即不可挽回地丧失。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单位盖章:________________          日期:________________</w:t>
      </w:r>
    </w:p>
    <w:sectPr w:rsidR="00FC693F" w:rsidRPr="0006063C" w:rsidSect="00034616"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