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sz w:val="28"/>
        </w:rPr>
        <w:t>权 利 要 求 书</w:t>
      </w:r>
    </w:p>
    <w:p/>
    <w:p>
      <w:pPr>
        <w:ind w:firstLine="480"/>
      </w:pPr>
      <w:r>
        <w:rPr>
          <w:rFonts w:ascii="SimSun" w:hAnsi="SimSun" w:eastAsia="SimSun"/>
          <w:b w:val="0"/>
          <w:sz w:val="24"/>
        </w:rPr>
        <w:t>1. 一种链外数据源事实的无人值守出具系统，其特征在于：包括数据源准入单元（10）、新鲜性判定单元（20）、内容边界校验单元（30）、校验器有效性验证单元（40）、签名出具单元（50）以及出具留痕单元（60）；</w:t>
      </w:r>
    </w:p>
    <w:p>
      <w:pPr>
        <w:ind w:firstLine="480"/>
      </w:pPr>
      <w:r>
        <w:rPr>
          <w:rFonts w:ascii="SimSun" w:hAnsi="SimSun" w:eastAsia="SimSun"/>
          <w:b w:val="0"/>
          <w:sz w:val="24"/>
        </w:rPr>
        <w:t>所述数据源准入单元（10）用于接收待出具的事实数据及其来源标识，向来源注册表查询该来源标识的登记状态与撤销状态，并根据查询结果为已登记且未被撤销，将所述待出具的事实数据送至新鲜性判定单元（20）；查询结果为未登记或已被撤销的，终止本次出具；</w:t>
      </w:r>
    </w:p>
    <w:p>
      <w:pPr>
        <w:ind w:firstLine="480"/>
      </w:pPr>
      <w:r>
        <w:rPr>
          <w:rFonts w:ascii="SimSun" w:hAnsi="SimSun" w:eastAsia="SimSun"/>
          <w:b w:val="0"/>
          <w:sz w:val="24"/>
        </w:rPr>
        <w:t>所述新鲜性判定单元（20）用于获取所述来源标识所声明的有效期，将所述待出具的事实数据的取得时刻与当前时刻之差和所述有效期进行比对，比对结果中所述差值大于所述有效期的，终止本次出具；比对结果为不大于的，对本次待出具的内容计算内容承诺，将所述内容承诺与已出具承诺集合进行查重，查重结果为已存在的终止本次出具，查重结果为不存在的，将所述内容承诺与本次出具所许可的效果相绑定，并送至内容边界校验单元（30）；</w:t>
      </w:r>
    </w:p>
    <w:p>
      <w:pPr>
        <w:ind w:firstLine="480"/>
      </w:pPr>
      <w:r>
        <w:rPr>
          <w:rFonts w:ascii="SimSun" w:hAnsi="SimSun" w:eastAsia="SimSun"/>
          <w:b w:val="0"/>
          <w:sz w:val="24"/>
        </w:rPr>
        <w:t>所述内容边界校验单元（30）设有至少两个校验器，分别为类别校验器与必需性校验器；所述类别校验器用于按预设的禁止结论类别集合，对所述待出具的内容的结构化字段集合逐项进行归类检测，所述禁止结论类别集合至少包括关于主体的合规判定类别，以及估值、价格、收益、信用与适当性结论类别；所述必需性校验器用于按预设的必需性标准，对所述待出具的内容进行必需性检测，仅保留验证所述事实数据所必需的承诺与引用，剔除所述链外数据源的记录原文；所述类别校验器与所述必需性校验器的判定对象均为所述待出具的内容的语义属性，所述判定不以将运算结果与预置的固定输出进行等值比对的方式作出；检测结果为所述待出具的内容归入所述禁止结论类别集合中的任一类别、或含有所述记录原文的，终止本次出具；检测结果为均不含有的，送至校验器有效性验证单元（40）；</w:t>
      </w:r>
    </w:p>
    <w:p>
      <w:pPr>
        <w:ind w:firstLine="480"/>
      </w:pPr>
      <w:r>
        <w:rPr>
          <w:rFonts w:ascii="SimSun" w:hAnsi="SimSun" w:eastAsia="SimSun"/>
          <w:b w:val="0"/>
          <w:sz w:val="24"/>
        </w:rPr>
        <w:t>所述校验器有效性验证单元（40）用于为所述内容边界校验单元（30）中的每一校验器配置一个规范反例，所述规范反例为该校验器按其判定标准应当拒绝的输入；并用于在本次出具的运行过程之内、而非在所述系统的启动过程中，以所述规范反例调用对应的校验器并采集其返回结果，将所述返回结果与预期的拒绝结果进行比对，比对结果为不一致的，将该校验器标记为失效，并终止由该失效校验器所守护的本次出具，且不终止所述系统的其余出具；比对结果为一致的，送至签名出具单元（50）；</w:t>
      </w:r>
    </w:p>
    <w:p>
      <w:pPr>
        <w:ind w:firstLine="480"/>
      </w:pPr>
      <w:r>
        <w:rPr>
          <w:rFonts w:ascii="SimSun" w:hAnsi="SimSun" w:eastAsia="SimSun"/>
          <w:b w:val="0"/>
          <w:sz w:val="24"/>
        </w:rPr>
        <w:t>所述签名出具单元（50）用于在数据源准入单元（10）、新鲜性判定单元（20）、内容边界校验单元（30）与校验器有效性验证单元（40）的判定结果均为通过时，以所述系统的私钥对所述内容承诺进行签名并对外发送；</w:t>
      </w:r>
    </w:p>
    <w:p>
      <w:pPr>
        <w:ind w:firstLine="480"/>
      </w:pPr>
      <w:r>
        <w:rPr>
          <w:rFonts w:ascii="SimSun" w:hAnsi="SimSun" w:eastAsia="SimSun"/>
          <w:b w:val="0"/>
          <w:sz w:val="24"/>
        </w:rPr>
        <w:t>所述出具留痕单元（60）用于记录本次出具中各单元的判定结果、所述规范反例的调用结果以及所采用的校验器的代码版本标识，并将该记录与所述内容承诺相关联后存入留痕存储。</w:t>
      </w:r>
    </w:p>
    <w:p>
      <w:pPr>
        <w:ind w:firstLine="480"/>
      </w:pPr>
      <w:r>
        <w:rPr>
          <w:rFonts w:ascii="SimSun" w:hAnsi="SimSun" w:eastAsia="SimSun"/>
          <w:b w:val="0"/>
          <w:sz w:val="24"/>
        </w:rPr>
        <w:t>2. 根据权利要求 1 所述的系统，其特征在于，所述签名出具单元（50）还用于：在数据源准入单元（10）、新鲜性判定单元（20）、内容边界校验单元（30）与校验器有效性验证单元（40）的判定结果中任一为不通过时不调用签名，且不生成表示降级、部分成立或失败原因的经签名结果；向调用方返回的信息中不含所述系统的私钥所生成的任何签名值，亦不含所述链外数据源的记录原文。</w:t>
      </w:r>
    </w:p>
    <w:p>
      <w:pPr>
        <w:ind w:firstLine="480"/>
      </w:pPr>
      <w:r>
        <w:rPr>
          <w:rFonts w:ascii="SimSun" w:hAnsi="SimSun" w:eastAsia="SimSun"/>
          <w:b w:val="0"/>
          <w:sz w:val="24"/>
        </w:rPr>
        <w:t>3. 根据权利要求 1 所述的系统，其特征在于，还包括变更授权单元（70）；所述变更授权单元（70）用于判断本次出具是否将改变所述系统对外承诺的状态，判断结果为将改变的，获取绑定于本次内容承诺的批准记录，将所述批准记录中的批准主体数量与预设的批准主体数量下限进行比对，并对各批准主体的标识进行互异性检测；比对结果小于所述下限、或互异性检测不通过的，终止本次出具。</w:t>
      </w:r>
    </w:p>
    <w:p>
      <w:pPr>
        <w:ind w:firstLine="480"/>
      </w:pPr>
      <w:r>
        <w:rPr>
          <w:rFonts w:ascii="SimSun" w:hAnsi="SimSun" w:eastAsia="SimSun"/>
          <w:b w:val="0"/>
          <w:sz w:val="24"/>
        </w:rPr>
        <w:t>4. 根据权利要求 1 所述的系统，其特征在于，所述校验器有效性验证单元（40）还用于为每一校验器配置一个规范正例，所述规范正例为该校验器按其判定标准应当通过的输入；以所述规范正例调用对应的校验器并采集其返回结果，返回结果不为通过的，同样将该校验器标记为失效。</w:t>
      </w:r>
    </w:p>
    <w:p>
      <w:pPr>
        <w:ind w:firstLine="480"/>
      </w:pPr>
      <w:r>
        <w:rPr>
          <w:rFonts w:ascii="SimSun" w:hAnsi="SimSun" w:eastAsia="SimSun"/>
          <w:b w:val="0"/>
          <w:sz w:val="24"/>
        </w:rPr>
        <w:t>5. 根据权利要求 1 或 4 所述的系统，其特征在于，所述校验器有效性验证单元（40）在每一次出具的运行过程中均执行一次所述规范反例的调用；两次相邻出具之间，所述校验器的失效标记不被继承。</w:t>
      </w:r>
    </w:p>
    <w:p>
      <w:pPr>
        <w:ind w:firstLine="480"/>
      </w:pPr>
      <w:r>
        <w:rPr>
          <w:rFonts w:ascii="SimSun" w:hAnsi="SimSun" w:eastAsia="SimSun"/>
          <w:b w:val="0"/>
          <w:sz w:val="24"/>
        </w:rPr>
        <w:t>6. 根据权利要求 1 所述的系统，其特征在于，所述内容边界校验单元（30）的所述禁止结论类别集合以可配置的类别表的形式存储，所述类别表的每一表项至少包含类别标识、该类别的判别字段集合与该类别所对应的规范反例的引用；所述校验器有效性验证单元（40）依据所述引用取得对应的规范反例。</w:t>
      </w:r>
    </w:p>
    <w:p>
      <w:pPr>
        <w:ind w:firstLine="480"/>
      </w:pPr>
      <w:r>
        <w:rPr>
          <w:rFonts w:ascii="SimSun" w:hAnsi="SimSun" w:eastAsia="SimSun"/>
          <w:b w:val="0"/>
          <w:sz w:val="24"/>
        </w:rPr>
        <w:t>7. 根据权利要求 1 所述的系统，其特征在于，所述数据源准入单元（10）、新鲜性判定单元（20）、内容边界校验单元（30）与校验器有效性验证单元（40）按固定次序被依次调用，所述系统不提供绕过其中任一单元而到达签名出具单元（50）的调用路径。</w:t>
      </w:r>
    </w:p>
    <w:p>
      <w:pPr>
        <w:ind w:firstLine="480"/>
      </w:pPr>
      <w:r>
        <w:rPr>
          <w:rFonts w:ascii="SimSun" w:hAnsi="SimSun" w:eastAsia="SimSun"/>
          <w:b w:val="0"/>
          <w:sz w:val="24"/>
        </w:rPr>
        <w:t>8. 根据权利要求 1 所述的系统，其特征在于，所述必需性校验器所保留的承诺与引用中，所述引用为所述链外数据源对其自身记录的定位符，所述系统不对该定位符所指向的记录原文作出解释，亦不将该记录原文纳入所述待出具的内容。</w:t>
      </w:r>
    </w:p>
    <w:p>
      <w:pPr>
        <w:ind w:firstLine="480"/>
      </w:pPr>
      <w:r>
        <w:rPr>
          <w:rFonts w:ascii="SimSun" w:hAnsi="SimSun" w:eastAsia="SimSun"/>
          <w:b w:val="0"/>
          <w:sz w:val="24"/>
        </w:rPr>
        <w:t>9. 根据权利要求 1 所述的系统，其特征在于，所述链外数据源为其记录内容依约定或依法不得公开的登记类数据源，所述系统持有对所述链外数据源的读取权限。</w:t>
      </w:r>
    </w:p>
    <w:p>
      <w:pPr>
        <w:ind w:firstLine="480"/>
      </w:pPr>
      <w:r>
        <w:rPr>
          <w:rFonts w:ascii="SimSun" w:hAnsi="SimSun" w:eastAsia="SimSun"/>
          <w:b w:val="0"/>
          <w:sz w:val="24"/>
        </w:rPr>
        <w:t>10. 根据权利要求 1 所述的系统，其特征在于，所述出具留痕单元（60）所记录的代码版本标识为所述内容边界校验单元（30）与所述校验器有效性验证单元（40）的可执行代码的摘要值；所述留痕存储为只增存储，其中已写入的记录不被覆写或删除。</w:t>
      </w:r>
    </w:p>
    <w:p>
      <w:pPr>
        <w:ind w:firstLine="480"/>
      </w:pPr>
      <w:r>
        <w:rPr>
          <w:rFonts w:ascii="SimSun" w:hAnsi="SimSun" w:eastAsia="SimSun"/>
          <w:b w:val="0"/>
          <w:sz w:val="24"/>
        </w:rPr>
        <w:t>11. 根据权利要求 1 至 10 中任一项所述的系统，其特征在于，所述系统在无人工介入的条件下完成自接收所述事实数据至发送所述签名或终止本次出具的全过程。</w:t>
      </w:r>
    </w:p>
    <w:p>
      <w:pPr>
        <w:ind w:firstLine="480"/>
      </w:pPr>
      <w:r>
        <w:rPr>
          <w:rFonts w:ascii="SimSun" w:hAnsi="SimSun" w:eastAsia="SimSun"/>
          <w:b w:val="0"/>
          <w:sz w:val="24"/>
        </w:rPr>
        <w:t>12. 一种链外数据源事实的无人值守出具方法，其特征在于，由权利要求 1 至 11 中任一项所述的系统执行，包括：</w:t>
      </w:r>
    </w:p>
    <w:p>
      <w:pPr>
        <w:ind w:firstLine="480"/>
      </w:pPr>
      <w:r>
        <w:rPr>
          <w:rFonts w:ascii="SimSun" w:hAnsi="SimSun" w:eastAsia="SimSun"/>
          <w:b w:val="0"/>
          <w:sz w:val="24"/>
        </w:rPr>
        <w:t>T1 由所述数据源准入单元（10）接收待出具的事实数据及其来源标识，查询该来源标识的登记状态与撤销状态，查询结果为未登记或已被撤销的，终止本次出具；</w:t>
      </w:r>
    </w:p>
    <w:p>
      <w:pPr>
        <w:ind w:firstLine="480"/>
      </w:pPr>
      <w:r>
        <w:rPr>
          <w:rFonts w:ascii="SimSun" w:hAnsi="SimSun" w:eastAsia="SimSun"/>
          <w:b w:val="0"/>
          <w:sz w:val="24"/>
        </w:rPr>
        <w:t>T2 由所述新鲜性判定单元（20）将所述事实数据的取得时刻与当前时刻之差和所述来源标识声明的有效期进行比对，所述差值大于所述有效期的，终止本次出具；否则计算内容承诺、查重，并将所述内容承诺与本次出具所许可的效果相绑定；</w:t>
      </w:r>
    </w:p>
    <w:p>
      <w:pPr>
        <w:ind w:firstLine="480"/>
      </w:pPr>
      <w:r>
        <w:rPr>
          <w:rFonts w:ascii="SimSun" w:hAnsi="SimSun" w:eastAsia="SimSun"/>
          <w:b w:val="0"/>
          <w:sz w:val="24"/>
        </w:rPr>
        <w:t>T3 由所述内容边界校验单元（30）的类别校验器按禁止结论类别集合对待出具内容的结构化字段集合逐项归类检测，由必需性校验器进行必需性检测并剔除所述链外数据源的记录原文，二者的判定对象均为所述内容的语义属性，且不以与预置固定输出的等值比对方式作出；任一检测结果为不通过的，终止本次出具；</w:t>
      </w:r>
    </w:p>
    <w:p>
      <w:pPr>
        <w:ind w:firstLine="480"/>
      </w:pPr>
      <w:r>
        <w:rPr>
          <w:rFonts w:ascii="SimSun" w:hAnsi="SimSun" w:eastAsia="SimSun"/>
          <w:b w:val="0"/>
          <w:sz w:val="24"/>
        </w:rPr>
        <w:t>T4 由所述校验器有效性验证单元（40）在本次出具的运行过程之内，以各校验器对应的规范反例调用该校验器，返回结果不为拒绝的，将该校验器标记为失效并终止由其守护的本次出具，且不终止所述系统的其余出具；</w:t>
      </w:r>
    </w:p>
    <w:p>
      <w:pPr>
        <w:ind w:firstLine="480"/>
      </w:pPr>
      <w:r>
        <w:rPr>
          <w:rFonts w:ascii="SimSun" w:hAnsi="SimSun" w:eastAsia="SimSun"/>
          <w:b w:val="0"/>
          <w:sz w:val="24"/>
        </w:rPr>
        <w:t>T5 由所述签名出具单元（50）在 T1 至 T4 的判定结果均为通过时，以所述系统的私钥对所述内容承诺签名并对外发送；</w:t>
      </w:r>
    </w:p>
    <w:p>
      <w:pPr>
        <w:ind w:firstLine="480"/>
      </w:pPr>
      <w:r>
        <w:rPr>
          <w:rFonts w:ascii="SimSun" w:hAnsi="SimSun" w:eastAsia="SimSun"/>
          <w:b w:val="0"/>
          <w:sz w:val="24"/>
        </w:rPr>
        <w:t>T6 由所述出具留痕单元（60）记录 T1 至 T5 的判定结果、所述规范反例的调用结果与所采用的校验器的代码版本标识，并与所述内容承诺相关联后存入留痕存储。</w:t>
      </w:r>
    </w:p>
    <w:p>
      <w:pPr>
        <w:ind w:firstLine="480"/>
      </w:pPr>
      <w:r>
        <w:rPr>
          <w:rFonts w:ascii="SimSun" w:hAnsi="SimSun" w:eastAsia="SimSun"/>
          <w:b w:val="0"/>
          <w:sz w:val="24"/>
        </w:rPr>
        <w:t>13. 根据权利要求 12 所述的方法，其特征在于，T5 中在 T1 至 T4 的判定结果中任一为不通过时不调用签名，且不生成表示降级、部分成立或失败原因的经签名结果。</w:t>
      </w:r>
    </w:p>
    <w:p>
      <w:pPr>
        <w:ind w:firstLine="480"/>
      </w:pPr>
      <w:r>
        <w:rPr>
          <w:rFonts w:ascii="SimSun" w:hAnsi="SimSun" w:eastAsia="SimSun"/>
          <w:b w:val="0"/>
          <w:sz w:val="24"/>
        </w:rPr>
        <w:t>14. 一种电子设备，其特征在于，包括处理器和存储器，所述存储器存储有可被所述处理器执行的指令，所述指令被所述处理器执行时实现权利要求 12 或 13 所述的方法。</w:t>
      </w:r>
    </w:p>
    <w:p>
      <w:pPr>
        <w:ind w:firstLine="480"/>
      </w:pPr>
      <w:r>
        <w:rPr>
          <w:rFonts w:ascii="SimSun" w:hAnsi="SimSun" w:eastAsia="SimSun"/>
          <w:b w:val="0"/>
          <w:sz w:val="24"/>
        </w:rPr>
        <w:t>15. 一种计算机可读存储介质，其特征在于，其上存储有计算机程序，所述计算机程序被处理器执行时实现权利要求 12 或 13 所述的方法。</w:t>
      </w:r>
    </w:p>
    <w:sectPr w:rsidR="00FC693F" w:rsidRPr="0006063C" w:rsidSect="00034616">
      <w:footerReference w:type="default" r:id="rId9"/>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