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SimHei" w:hAnsi="SimHei" w:eastAsia="SimHei"/>
          <w:b/>
          <w:sz w:val="28"/>
        </w:rPr>
        <w:t>说 明 书 摘 要</w:t>
      </w:r>
    </w:p>
    <w:p/>
    <w:p>
      <w:pPr>
        <w:ind w:firstLine="480"/>
      </w:pPr>
      <w:r>
        <w:rPr>
          <w:rFonts w:ascii="SimSun" w:hAnsi="SimSun" w:eastAsia="SimSun"/>
          <w:b w:val="0"/>
          <w:sz w:val="24"/>
        </w:rPr>
        <w:t>本发明公开一种链外数据源事实的无人值守出具系统及方法。系统含数据源准入、新鲜性判定、内容边界校验、校验器有效性验证、签名出具与出具留痕六个单元。内容边界校验单元设类别校验器与必需性校验器，前者按可配置的禁止结论类别集合对待出具内容的结构化字段逐项归类，后者剔除数据源记录原文；二者判定对象均为内容的语义属性，不以与预置固定输出等值比对的方式作出。校验器有效性验证单元为每一校验器配置规范反例，在本次出具的运行过程内以该反例调用校验器，返回不为拒绝的标记为失效并终止其守护的本次出具，不终止其余出具。四单元均通过，签名出具单元才对内容承诺签名。由此内容越界在签名前被拦下，校验器退化在当次即被发现。</w:t>
      </w:r>
    </w:p>
    <w:p>
      <w:pPr>
        <w:ind w:firstLine="480"/>
      </w:pPr>
      <w:r>
        <w:rPr>
          <w:rFonts w:ascii="SimSun" w:hAnsi="SimSun" w:eastAsia="SimSun"/>
          <w:b w:val="0"/>
          <w:sz w:val="24"/>
        </w:rPr>
        <w:t>摘要附图：图 1</w:t>
      </w:r>
    </w:p>
    <w:sectPr w:rsidR="00FC693F" w:rsidRPr="0006063C" w:rsidSect="00034616">
      <w:footerReference w:type="default" r:id="rId9"/>
      <w:pgSz w:w="11906" w:h="16838"/>
      <w:pgMar w:top="1417" w:right="850" w:bottom="85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SimSun" w:hAnsi="SimSun" w:eastAsia="SimSu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