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发明专利请求书 —— 待填信息表</w:t>
      </w:r>
    </w:p>
    <w:p>
      <w:r>
        <w:rPr>
          <w:b/>
          <w:sz w:val="22"/>
        </w:rPr>
        <w:t>发明名称:一种链下登记册向非同质化通证的投影方法和装置</w:t>
      </w:r>
    </w:p>
    <w:p>
      <w:r>
        <w:rPr>
          <w:b w:val="0"/>
          <w:sz w:val="22"/>
        </w:rPr>
        <w:t>填表说明:本表所列各项均为请求书必填内容,本项目无法代为确定,须由申请人核对后填写。填妥后连同 提交件/ 下的四份文件一并交代理机构,或据以在电子申请系统中录入。</w:t>
      </w:r>
    </w:p>
    <w:p>
      <w:r>
        <w:rPr>
          <w:b w:val="0"/>
          <w:sz w:val="22"/>
        </w:rPr>
      </w:r>
    </w:p>
    <w:p>
      <w:r>
        <w:rPr>
          <w:b/>
          <w:sz w:val="24"/>
        </w:rPr>
        <w:t>一、发明人(必须是自然人;只能是对实质性特点作出创造性贡献的人)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第一发明人 中文姓名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第一发明人 国籍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第一发明人 身份证件号码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是否请求不公布姓名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☐ 是   ☐ 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其他发明人(姓名/国籍/证件号)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二、申请人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申请人类型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☐ 个人   ☐ 单位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名称或姓名(须与营业执照/证件一致)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统一社会信用代码 或 身份证件号码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国籍 / 注册国家或地区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详细地址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邮政编码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联系人姓名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联系电话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电子邮箱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在中国内地是否有经常居所或营业所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☐ 有   ☐ 无(若无则必须委托代理机构)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三、专利代理(若上表末项为「无」,此栏必填)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代理机构名称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代理机构代码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专利代理师姓名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执业证号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四、请求事项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是否请求提前公布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☐ 是   ☐ 否(默认自申请日起 18 个月公布)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是否同时请求实质审查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☐ 是   ☐ 否(可在申请日起 3 年内提出)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是否请求费减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☐ 是(需已完成费减备案,备案号:______)   ☐ 否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要求优先权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☐ 不要求(本案默认)   ☐ 要求:在先申请号/申请日/受理机构 ______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不丧失新颖性宽限期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☐ 不主张(本案默认,理由见检索报告 §5.4)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遗传资源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不涉及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五、申请文件页数(排版定稿后填写)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项目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填写内容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权利要求书 页数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说明书 页数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说明书摘要 页数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1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说明书附图 页数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4</w:t>
            </w:r>
          </w:p>
        </w:tc>
      </w:tr>
      <w:tr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摘要附图</w:t>
            </w:r>
          </w:p>
        </w:tc>
        <w:tc>
          <w:tcPr>
            <w:tcW w:type="dxa" w:w="4961"/>
          </w:tcPr>
          <w:p>
            <w:r/>
            <w:r>
              <w:rPr>
                <w:rFonts w:eastAsia="宋体"/>
                <w:sz w:val="20"/>
              </w:rPr>
              <w:t>图 2</w:t>
            </w:r>
          </w:p>
        </w:tc>
      </w:tr>
    </w:tbl>
    <w:p>
      <w:r>
        <w:rPr>
          <w:b w:val="0"/>
          <w:sz w:val="22"/>
        </w:rPr>
      </w:r>
    </w:p>
    <w:p>
      <w:r>
        <w:rPr>
          <w:b/>
          <w:sz w:val="24"/>
        </w:rPr>
        <w:t>六、提交前必须确认的三件事</w:t>
      </w:r>
    </w:p>
    <w:p>
      <w:r>
        <w:rPr>
          <w:b w:val="0"/>
          <w:sz w:val="22"/>
        </w:rPr>
        <w:t>1. 权属:本发明是否为职务发明?若系执行本单位任务或主要利用本单位物质技术条件完成,申请权归单位,不能以个人名义申请。</w:t>
      </w:r>
    </w:p>
    <w:p>
      <w:r>
        <w:rPr>
          <w:b w:val="0"/>
          <w:sz w:val="22"/>
        </w:rPr>
        <w:t>2. 顺序:本申请的申请日必须早于向 ethereum/ERCs 提交提案、在 Ethereum Magicians 发帖、以 CC0 公开参考实现中的任何一项。三者均不能主张宽限期。</w:t>
      </w:r>
    </w:p>
    <w:p>
      <w:r>
        <w:rPr>
          <w:b w:val="0"/>
          <w:sz w:val="22"/>
        </w:rPr>
        <w:t>3. 代理强制:申请人在中国内地无经常居所或营业所的,依《专利法》第十八条必须委托专利代理机构办理。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签署:________________          日期:________________</w:t>
      </w:r>
    </w:p>
    <w:sectPr w:rsidR="00FC693F" w:rsidRPr="0006063C" w:rsidSect="00034616">
      <w:pgSz w:w="11906" w:h="16838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