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说　明　书</w:t>
      </w:r>
    </w:p>
    <w:p>
      <w:pPr>
        <w:jc w:val="center"/>
      </w:pPr>
      <w:r>
        <w:rPr>
          <w:b/>
          <w:sz w:val="28"/>
        </w:rPr>
        <w:t>一种基于链下登记簿的数据凭证映射方法及系统</w:t>
      </w:r>
    </w:p>
    <w:p>
      <w:r>
        <w:rPr>
          <w:b w:val="0"/>
          <w:sz w:val="24"/>
        </w:rPr>
      </w:r>
    </w:p>
    <w:p>
      <w:pPr>
        <w:ind w:firstLine="480"/>
      </w:pPr>
      <w:r>
        <w:rPr>
          <w:b w:val="0"/>
          <w:sz w:val="24"/>
        </w:rPr>
        <w:t>发明名称：一种基于链下登记簿的数据凭证映射方法及系统</w:t>
      </w:r>
    </w:p>
    <w:p>
      <w:r>
        <w:rPr>
          <w:b w:val="0"/>
          <w:sz w:val="24"/>
        </w:rPr>
      </w:r>
    </w:p>
    <w:p>
      <w:r>
        <w:rPr>
          <w:b/>
          <w:sz w:val="24"/>
        </w:rPr>
        <w:t>技术领域</w:t>
      </w:r>
    </w:p>
    <w:p>
      <w:pPr>
        <w:ind w:firstLine="480"/>
      </w:pPr>
      <w:r>
        <w:rPr>
          <w:b w:val="0"/>
          <w:sz w:val="24"/>
        </w:rPr>
        <w:t>本发明涉及区块链数据处理技术领域，具体涉及一种将链外维护的权属登记簿映射到区块链数据凭证上、并使任意过去时刻的确认权属人唯一可解析、其终局性可判定的数据处理方法、装置、电子设备和计算机可读存储介质。</w:t>
      </w:r>
    </w:p>
    <w:p>
      <w:r>
        <w:rPr>
          <w:b w:val="0"/>
          <w:sz w:val="24"/>
        </w:rPr>
      </w:r>
    </w:p>
    <w:p>
      <w:r>
        <w:rPr>
          <w:b/>
          <w:sz w:val="24"/>
        </w:rPr>
        <w:t>背景技术</w:t>
      </w:r>
    </w:p>
    <w:p>
      <w:pPr>
        <w:ind w:firstLine="480"/>
      </w:pPr>
      <w:r>
        <w:rPr>
          <w:b w:val="0"/>
          <w:sz w:val="24"/>
        </w:rPr>
        <w:t>在以实物标的、不动产、许可权、登记权利等链外标的为对象的链上映射应用中，标的的权属由一个链外登记簿记载，链上则以一个数据凭证表示对该标的的可转移归属。本文所称数据凭证，指链上一个具有唯一标识、记录其当前归属并可将该归属转移给他人的数据单元；它不因本文的使用而成为任何交易工具，本发明也不涉及其定价、撮合、清偿或任何交易安排。登记簿的更新由登记方按其自身流程完成，与区块链的出块过程互不同步：一次链下过户完成登记的时刻，总是晚于其在登记簿上被指定的生效时刻，也与链上凭证转移的时刻不重合。</w:t>
      </w:r>
    </w:p>
    <w:p>
      <w:pPr>
        <w:ind w:firstLine="480"/>
      </w:pPr>
      <w:r>
        <w:rPr>
          <w:b w:val="0"/>
          <w:sz w:val="24"/>
        </w:rPr>
        <w:t>该异步性带来四个尚未被现有技术解决的问题：</w:t>
      </w:r>
    </w:p>
    <w:p>
      <w:pPr>
        <w:ind w:firstLine="480"/>
      </w:pPr>
      <w:r>
        <w:rPr>
          <w:b w:val="0"/>
          <w:sz w:val="24"/>
        </w:rPr>
        <w:t>其一，过去时刻的确认权属人不可唯一解析。链上仅有 ownerOf 一个所有权概念，它记录的是可转移归属的当前归属，不是登记簿确认的权属人。当某项权利的条款把权利人锚定在一个已经过去的记录时刻上时（例如按某一时刻的登记名册确定应享有某项权利的主体），链上无法回答“该时刻登记簿确认的权属人是谁”。</w:t>
      </w:r>
    </w:p>
    <w:p>
      <w:pPr>
        <w:ind w:firstLine="480"/>
      </w:pPr>
      <w:r>
        <w:rPr>
          <w:b w:val="0"/>
          <w:sz w:val="24"/>
        </w:rPr>
        <w:t>其二，答案是否还会变不可判定。即便某种实现把链下报告写到链上，由于登记簿的条目在其生效时刻之后才到达链上，一条后到的条目可能携带一个更早的生效时刻，从而追改先前已经给出的答案。任何依赖该答案行事的第三方，无法判断自己拿到的是已经不会再变的答案，还是随时可能被覆盖的临时答案。</w:t>
      </w:r>
    </w:p>
    <w:p>
      <w:pPr>
        <w:ind w:firstLine="480"/>
      </w:pPr>
      <w:r>
        <w:rPr>
          <w:b w:val="0"/>
          <w:sz w:val="24"/>
        </w:rPr>
        <w:t>其三，现有规避手段以牺牲可用性为代价。工程上通行的做法是在链下登记完成之前冻结凭证转移。这既中止了该凭证本可继续进行的转移，又使得任何记录时刻落在冻结区间内的权利彻底无法行使；而且冻结方无法向与其没有任何关系的第三方场所说明冻结的原因与边界。</w:t>
      </w:r>
    </w:p>
    <w:p>
      <w:pPr>
        <w:ind w:firstLine="480"/>
      </w:pPr>
      <w:r>
        <w:rPr>
          <w:b w:val="0"/>
          <w:sz w:val="24"/>
        </w:rPr>
        <w:t>其四，依赖单方报告且不可被无关第三方核验。登记簿的内容通常不能公开（涉及个人身份信息、商业秘密，或不属于登记方可披露的范围），因此必然存在一个替登记簿作出陈述的一方。现有做法把该陈述作为一次孤立的报告接受：它不与该来源此前的陈述发生任何绑定，不排除对同一时刻作出两次互相矛盾的陈述，事后也无法由无关第三方追问“在某时刻究竟被声称了什么”。</w:t>
      </w:r>
    </w:p>
    <w:p>
      <w:pPr>
        <w:ind w:firstLine="480"/>
      </w:pPr>
      <w:r>
        <w:rPr>
          <w:b w:val="0"/>
          <w:sz w:val="24"/>
        </w:rPr>
        <w:t>现有的相关技术各自只触及上述问题的一部分：基于链上检查点的历史投票权查询技术（如以太坊 ERC-5805 与 ERC-6372）以链本身为真值来源，因而明确要求过去值不可变，其前提与链外登记簿的异步到达直接冲突；基于证明的跨链消息验证技术（如 ERC-7965/ERC-7786）只证明单条消息被包含于某一远端状态，不构造可按时刻解析的权属历史；面向实物或权利标的的数据凭证化标准（如 ERC-3643）校验的是接收方资格，不保存时间索引的持有历史；以哈希承诺链下法律文件的方案（如 ERC-6065）则明文假定存在一个受信任方负责维持链上状态与链下标的一致；链上储备登记类方案（如 ERC-8332）虽已识别到链下操作存在延迟，但仅以一个 PENDING 状态标志加以标注，其全部查询接口只回答当前状态。</w:t>
      </w:r>
    </w:p>
    <w:p>
      <w:pPr>
        <w:ind w:firstLine="480"/>
      </w:pPr>
      <w:r>
        <w:rPr>
          <w:b w:val="0"/>
          <w:sz w:val="24"/>
        </w:rPr>
        <w:t>此外，在通用数据管理领域，已知有同时记录两个时间维度的做法：一条记录既标明它在所记载的事实世界中何时开始生效，也标明它何时被写入系统，并据此支持“某一时刻的数据状态是什么”的查询。该类做法的一项核心能力是允许向生效时间的过去写入——即写入一条生效时间早于其自身写入时间、甚至早于序列中已有记录的记录——并以复制原序列、以更正后的记录替换原记录、再重放该序列的方式重建一条更正后的历史，使更正后的历史看起来自始正确。</w:t>
      </w:r>
    </w:p>
    <w:p>
      <w:pPr>
        <w:ind w:firstLine="480"/>
      </w:pPr>
      <w:r>
        <w:rPr>
          <w:b w:val="0"/>
          <w:sz w:val="24"/>
        </w:rPr>
        <w:t>该类做法不能解决本发明所面对的问题，原因有二。其一，它以由系统自身决定写入的集中式环境为前提，不涉及链所不控制的外部登记簿、不可信的提交者，也不涉及凭远端终局状态的成员证明准入。其二，也是更根本的一点：正因为它允许向生效时间的过去写入，任何过去时刻的答案都可能被此后写入的记录改写，因而在其框架内不存在、也不可能存在“某过去时刻的答案是否还会改变”的判据。 而这恰是依赖该答案行事的第三方最需要知道的事实。</w:t>
      </w:r>
    </w:p>
    <w:p>
      <w:pPr>
        <w:ind w:firstLine="480"/>
      </w:pPr>
      <w:r>
        <w:rPr>
          <w:b w:val="0"/>
          <w:sz w:val="24"/>
        </w:rPr>
        <w:t>因此，现有技术中缺少这样一种方案：在链不控制登记簿、条目迟于其生效时刻到达、且过去答案可能被追改的前提下，仍使任意过去时刻恰好解析出一个确认权属人，并使该答案是否还会改变成为可判定的事实，同时全程不阻断凭证转移，且条目的准入不依赖任何被信任的提交者。</w:t>
      </w:r>
    </w:p>
    <w:p>
      <w:r>
        <w:rPr>
          <w:b w:val="0"/>
          <w:sz w:val="24"/>
        </w:rPr>
      </w:r>
    </w:p>
    <w:p>
      <w:r>
        <w:rPr>
          <w:b/>
          <w:sz w:val="24"/>
        </w:rPr>
        <w:t>发明内容</w:t>
      </w:r>
    </w:p>
    <w:p>
      <w:r>
        <w:rPr>
          <w:b w:val="0"/>
          <w:sz w:val="24"/>
        </w:rPr>
      </w:r>
    </w:p>
    <w:p>
      <w:r>
        <w:rPr>
          <w:b/>
          <w:sz w:val="24"/>
        </w:rPr>
        <w:t>一、发明目的与要解决的技术问题</w:t>
      </w:r>
    </w:p>
    <w:p>
      <w:pPr>
        <w:ind w:firstLine="480"/>
      </w:pPr>
      <w:r>
        <w:rPr>
          <w:b w:val="0"/>
          <w:sz w:val="24"/>
        </w:rPr>
        <w:t>本发明的目的在于提供一种基于链下登记簿的数据凭证映射方法及系统，以解决背景技术中的四个技术问题，即：在链外登记簿与链上凭证异步的条件下，（1） 使任意过去时刻的确认权属人唯一可解析；（2） 使该答案的终局性可判定；（3） 使上述两点在不阻断凭证转移的前提下达成；（4） 使条目的准入不依赖提交者的诚实，并使与登记方无关系的第三方能够独立核验。</w:t>
      </w:r>
    </w:p>
    <w:p>
      <w:r>
        <w:rPr>
          <w:b w:val="0"/>
          <w:sz w:val="24"/>
        </w:rPr>
      </w:r>
    </w:p>
    <w:p>
      <w:r>
        <w:rPr>
          <w:b/>
          <w:sz w:val="24"/>
        </w:rPr>
        <w:t>二、技术方案</w:t>
      </w:r>
    </w:p>
    <w:p>
      <w:pPr>
        <w:ind w:firstLine="480"/>
      </w:pPr>
      <w:r>
        <w:rPr>
          <w:b w:val="0"/>
          <w:sz w:val="24"/>
        </w:rPr>
        <w:t>本发明的核心技术构思是：登记簿对自身作出的每一次变更，天然携带一个唯一的身份——该变更取得效力的时刻，以及该变更发生时登记簿内容的承诺值。本发明把该身份转化为链上的一条只增的、可按时刻解析的条目序列，并以四项写入不变量约束该序列，使“某时刻的确认权属人”成为一个恰好有一个解的问题，同时使“该解是否还会变”退化为一次数值比较。</w:t>
      </w:r>
    </w:p>
    <w:p>
      <w:pPr>
        <w:ind w:firstLine="480"/>
      </w:pPr>
      <w:r>
        <w:rPr>
          <w:b w:val="0"/>
          <w:sz w:val="24"/>
        </w:rPr>
        <w:t>具体地，本发明采用的技术方案包括以下方面。</w:t>
      </w:r>
    </w:p>
    <w:p>
      <w:pPr>
        <w:ind w:firstLine="480"/>
      </w:pPr>
      <w:r>
        <w:rPr>
          <w:b w:val="0"/>
          <w:sz w:val="24"/>
        </w:rPr>
        <w:t>（一） 条目序列与四项写入不变量。 合约为每个凭证维护一条只增的登记条目序列。每条登记条目包含记录承诺、前序承诺、登记引用、权属人地址、版本号、生效时刻与被覆盖时刻。首条条目的版本号为 1 且前序承诺为零值。追加条目时施加四项不变量：①版本号为前一条加一，且前序承诺等于前一条的记录承诺；②将前一条的被覆盖时刻置为本条的生效时刻，本条的被覆盖时刻置零，即区间由登记簿的生效时刻闭合，而不是由链上得知该变更的时刻闭合；③本条的生效时刻严格大于前一条的生效时刻；④本条的记录承诺在同一凭证的序列内未曾出现。条目不得被覆写、删除、重排或跳号。</w:t>
      </w:r>
    </w:p>
    <w:p>
      <w:pPr>
        <w:ind w:firstLine="480"/>
      </w:pPr>
      <w:r>
        <w:rPr>
          <w:b w:val="0"/>
          <w:sz w:val="24"/>
        </w:rPr>
        <w:t>不变量③与④是“唯一解”成立的最小条件：若允许两条条目共享同一生效时刻，则该时刻有两个答案；若允许承诺在同一凭证内重复，则两条无法相互区分的条目无法被解析。</w:t>
      </w:r>
    </w:p>
    <w:p>
      <w:pPr>
        <w:ind w:firstLine="480"/>
      </w:pPr>
      <w:r>
        <w:rPr>
          <w:b w:val="0"/>
          <w:sz w:val="24"/>
        </w:rPr>
        <w:t>（二） 终局性由一次比较判定。 由不变量③直接可得：任何将来被准入的条目，其生效时刻必然严格大于当前最新条目的生效时刻，因而不可能覆盖任何已经早于最新条目生效时刻的时刻。于是，当且仅当给定时刻不早于首条条目的生效时刻、且严格早于最新条目的生效时刻时，该时刻为终局。位于最新条目生效时刻及其之后的时刻仍然可解析，但其解是临时的，可能被后到的条目覆盖。该判定为常数时间，且不依赖是否存在未闭合的窗口。</w:t>
      </w:r>
    </w:p>
    <w:p>
      <w:pPr>
        <w:ind w:firstLine="480"/>
      </w:pPr>
      <w:r>
        <w:rPr>
          <w:b w:val="0"/>
          <w:sz w:val="24"/>
        </w:rPr>
        <w:t>（三） 待定窗口与争议时刻。 合约为每个凭证提供至多一个“待定窗口”，用以标示一次变更正在进行但尚未准入。开启窗口时校验：请求方为该凭证的核定权限主体、核定标识非零且未被占用、起始快照承诺非零、截止时刻晚于当前区块时刻且其间隔不超过核定期上限。窗口记录其开启时刻。当某凭证上存在一个开启时刻不晚于给定时刻的未闭合窗口时，该给定时刻被判定为被争议。被争议与非终局是两个不同的事实：前者说明此刻有一次变更正在飞行中，后者说明该时刻的答案在原理上仍可被覆盖。</w:t>
      </w:r>
    </w:p>
    <w:p>
      <w:pPr>
        <w:ind w:firstLine="480"/>
      </w:pPr>
      <w:r>
        <w:rPr>
          <w:b w:val="0"/>
          <w:sz w:val="24"/>
        </w:rPr>
        <w:t>（四） 核定权限主体与 ownerOf 解耦并可读。 谁有权推进映射（开启窗口），与谁持有可转移归属，是两个不同的问题。本发明要求合约通过一个查询接口把前者暴露为第三方可读的事实，而不是隐含在实现内部；并且不由 ownerOf 派生该权限——若由 ownerOf 派生，则登记方将无法把自己已经完成的登记变更记入链上，而任意购得凭证的一方将获得无限期挂起窗口的能力。</w:t>
      </w:r>
    </w:p>
    <w:p>
      <w:pPr>
        <w:ind w:firstLine="480"/>
      </w:pPr>
      <w:r>
        <w:rPr>
          <w:b w:val="0"/>
          <w:sz w:val="24"/>
        </w:rPr>
        <w:t>（五） 凭远端终局状态的成员证明准入，提交者不可信。 任意账户均可提交准入请求；合约不以请求方地址、中继白名单或任何账户签名作为验证依据。验证包括：①按预定类型化结构，由链标识、本合约地址、凭证标识、核定标识、预期权属人、起始快照承诺、前序承诺、本次记录承诺、登记引用、下一版本号与生效时刻计算叶节点摘要——即证明被绑定到这一组字段的全集，任一字段被单独篡改都将使证明不成立；②以第一标签字节前缀计算叶节点、以不同于第一标签字节的第二标签字节前缀计算内部节点，沿成员路径逐层归并至根值，并在归并结束时要求路径索引的剩余位全为零，以排除同一根值下存在多组“（索引，兄弟节点）”均可通过的情形；③以包含链标识与合约地址的域分隔符，对包含远端登记簿标识、远端高度、远端区块哈希、远端状态根与见证人集合承诺的类型化结构计算终局性摘要，并要求不少于门限数量、互不相同且属于见证人集合的地址可由签名恢复；④远端高度严格大于该凭证已消费的最近远端高度；⑤由终局性摘要与叶节点摘要导出的证明标识未被消费。</w:t>
      </w:r>
    </w:p>
    <w:p>
      <w:pPr>
        <w:ind w:firstLine="480"/>
      </w:pPr>
      <w:r>
        <w:rPr>
          <w:b w:val="0"/>
          <w:sz w:val="24"/>
        </w:rPr>
        <w:t>（六） 原子准入。 上述验证全部通过时，于同一个事务内原子地完成：标记证明标识已消费、更新最近远端高度、按不变量追加条目、闭合窗口并发出事件；任一步骤失败则回滚本事务的全部效果，从而不存在“证明已被接受但映射尚未推进”的中间区间。</w:t>
      </w:r>
    </w:p>
    <w:p>
      <w:pPr>
        <w:ind w:firstLine="480"/>
      </w:pPr>
      <w:r>
        <w:rPr>
          <w:b w:val="0"/>
          <w:sz w:val="24"/>
        </w:rPr>
        <w:t>（七） 转移不被阻断。 窗口开启期间，凭证依数据凭证转移接口进行的普通转移不被阻断，ownerOf 立即变动；同时，合约不得由 ownerOf 推断确认权属人，也不得因普通转移而改变条目序列。映射只能经由前述凭证明的准入而改变。</w:t>
      </w:r>
    </w:p>
    <w:p>
      <w:pPr>
        <w:ind w:firstLine="480"/>
      </w:pPr>
      <w:r>
        <w:rPr>
          <w:b w:val="0"/>
          <w:sz w:val="24"/>
        </w:rPr>
        <w:t>（八） 三个事实分别暴露。 合约对外提供三项彼此独立的查询：给定时刻的确认权属人；该时刻是否终局；该时刻是否被争议。三者不被合并为一个返回值，因为不同的权利条款需要其中不同的项：一项针对过去记录时刻主张的权利需要前两项；一项发生在当下且不可重复的行使无法等待终局（当下时刻永远不终局），它能够看到的是第三项。本发明只提供这三项事实，不规定任何权利在拿到这三项事实后应当如何处置——该处置由权利自身的条款决定。</w:t>
      </w:r>
    </w:p>
    <w:p>
      <w:r>
        <w:rPr>
          <w:b w:val="0"/>
          <w:sz w:val="24"/>
        </w:rPr>
      </w:r>
    </w:p>
    <w:p>
      <w:r>
        <w:rPr>
          <w:b/>
          <w:sz w:val="24"/>
        </w:rPr>
        <w:t>三、关于本发明所施加的两项禁止：代价与由此换得的性质</w:t>
      </w:r>
    </w:p>
    <w:p>
      <w:pPr>
        <w:ind w:firstLine="480"/>
      </w:pPr>
      <w:r>
        <w:rPr>
          <w:b w:val="0"/>
          <w:sz w:val="24"/>
        </w:rPr>
        <w:t>本发明的技术方案包含两项禁止。它们不是无损的整理性约束，而是以放弃某些既有能力为代价换取特定性质的取舍。此处逐项说明代价与换得的性质，以免被误读为可有可无的实现细节。</w:t>
      </w:r>
    </w:p>
    <w:p>
      <w:r>
        <w:rPr>
          <w:b w:val="0"/>
          <w:sz w:val="24"/>
        </w:rPr>
      </w:r>
    </w:p>
    <w:p>
      <w:r>
        <w:rPr>
          <w:b/>
          <w:sz w:val="24"/>
        </w:rPr>
        <w:t>（一） 禁止向生效时间的过去写入</w:t>
      </w:r>
    </w:p>
    <w:p>
      <w:pPr>
        <w:ind w:firstLine="480"/>
      </w:pPr>
      <w:r>
        <w:rPr>
          <w:b w:val="0"/>
          <w:sz w:val="24"/>
        </w:rPr>
        <w:t>禁止的内容。 不变量③要求被追加条目的生效时刻严格大于前一条条目的生效时刻。其直接后果是：登记簿在某个已过去的生效时刻上的记载一旦被映射上链，就不能再被改写；即使该记载有误，也只能由一条生效时刻更晚的新条目将其覆盖，而不能在原位更正，更不能补插一条生效时刻更早的条目。</w:t>
      </w:r>
    </w:p>
    <w:p>
      <w:pPr>
        <w:ind w:firstLine="480"/>
      </w:pPr>
      <w:r>
        <w:rPr>
          <w:b w:val="0"/>
          <w:sz w:val="24"/>
        </w:rPr>
        <w:t>代价之一：失去追溯更正能力。 前述已知的双时态做法允许向生效时间的过去写入，并以复制序列、替换记录、重放的方式重建历史。本发明放弃这一能力。</w:t>
      </w:r>
    </w:p>
    <w:p>
      <w:pPr>
        <w:ind w:firstLine="480"/>
      </w:pPr>
      <w:r>
        <w:rPr>
          <w:b w:val="0"/>
          <w:sz w:val="24"/>
        </w:rPr>
        <w:t>代价之二：错误留在记录上。 一个自相矛盾或出错的来源，其矛盾不能被抹掉，只能被后续条目覆盖，历史中会同时存在出错的条目与其后的更正条目。</w:t>
      </w:r>
    </w:p>
    <w:p>
      <w:pPr>
        <w:ind w:firstLine="480"/>
      </w:pPr>
      <w:r>
        <w:rPr>
          <w:b w:val="0"/>
          <w:sz w:val="24"/>
        </w:rPr>
        <w:t>代价之三：某些迟到的登记将永久无法入账。 设登记簿在时刻 t1 作出一次变更，而本链直到 t3 才得知；若在此期间已有一条生效时刻为 t2 的条目被准入，且 t1 &lt; t2 &lt; t3，则 t1 处的那次变更再也不能进入该凭证的映射。这是一个不可恢复的后果，本发明不掩饰它。</w:t>
      </w:r>
    </w:p>
    <w:p>
      <w:pPr>
        <w:ind w:firstLine="480"/>
      </w:pPr>
      <w:r>
        <w:rPr>
          <w:b w:val="0"/>
          <w:sz w:val="24"/>
        </w:rPr>
        <w:t>换得的性质之一：终局性成为可判定的事实，且判定为常数时间。 由不变量③，任何将来被准入的条目其生效时刻必然严格大于当前最新条目的生效时刻，因而不可能覆盖任何已经早于最新条目生效时刻的时刻。于是“该时刻的答案是否还会改变”退化为与最新条目生效时刻的一次比较，不需遍历历史，不需等待任何超时。</w:t>
      </w:r>
    </w:p>
    <w:p>
      <w:pPr>
        <w:ind w:firstLine="480"/>
      </w:pPr>
      <w:r>
        <w:rPr>
          <w:b w:val="0"/>
          <w:sz w:val="24"/>
        </w:rPr>
        <w:t>换得的性质之二，也是关键的一条：若不施加该禁止，该判据在原理上不存在。 论证如下。设允许某条后到的条目携带早于最新条目的生效时刻。则对任意过去时刻 t，总存在一条尚未到达的条目，其生效时刻可能落在 t 之前并覆盖 t 处的答案；于是不存在任何 t 可被判定为“其答案不再改变”，终局性谓词恒为假。唯一的替代是引入一个人为约定的等待期限，以“过了该期限即视为不再改变”代替判定，但那是一个约定，不是由记录自身导出的事实，并且在登记簿确实迟到超过该期限时会给出错误的结论。 因此不变量③不是对方案的优化，而是终局性判据得以存在的必要条件。</w:t>
      </w:r>
    </w:p>
    <w:p>
      <w:pPr>
        <w:ind w:firstLine="480"/>
      </w:pPr>
      <w:r>
        <w:rPr>
          <w:b w:val="0"/>
          <w:sz w:val="24"/>
        </w:rPr>
        <w:t>换得的性质之三：该判据可被无关第三方独立复算。 判定只依赖链上已有的两个数值——首条条目的生效时刻与最新条目的生效时刻。与登记方没有任何关系的第三方可以自行计算，不需要信任任何一方的声明，也不需要向登记方查询。</w:t>
      </w:r>
    </w:p>
    <w:p>
      <w:pPr>
        <w:ind w:firstLine="480"/>
      </w:pPr>
      <w:r>
        <w:rPr>
          <w:b w:val="0"/>
          <w:sz w:val="24"/>
        </w:rPr>
        <w:t>为什么这一取舍在本发明的应用场景中是值得的。 被映射的是权属记录，其消费方是与登记方没有关系的第三方。他们需要的是“这个答案会不会变”这一确定性，而不是“历史看起来自始正确”这一外观。对权属而言，一个已被依赖过的答案在事后被改写，比一个留在记录上的错误更有害：依据先前答案已经完成的行为无法被撤回。这与具体实施方式中关于“一个已经完成的行使不受此后被准入的条目的影响”的记载，是同一件事的两面。</w:t>
      </w:r>
    </w:p>
    <w:p>
      <w:r>
        <w:rPr>
          <w:b w:val="0"/>
          <w:sz w:val="24"/>
        </w:rPr>
      </w:r>
    </w:p>
    <w:p>
      <w:r>
        <w:rPr>
          <w:b/>
          <w:sz w:val="24"/>
        </w:rPr>
        <w:t>（二） 禁止在待定期间阻断转移</w:t>
      </w:r>
    </w:p>
    <w:p>
      <w:pPr>
        <w:ind w:firstLine="480"/>
      </w:pPr>
      <w:r>
        <w:rPr>
          <w:b w:val="0"/>
          <w:sz w:val="24"/>
        </w:rPr>
        <w:t>禁止的内容。 窗口开启期间，凭证依数据凭证转移接口进行的普通转移不被阻断；同时，合约不得由该接口的当前所有者推断确认权属人，也不得因普通转移而改变条目序列。</w:t>
      </w:r>
    </w:p>
    <w:p>
      <w:pPr>
        <w:ind w:firstLine="480"/>
      </w:pPr>
      <w:r>
        <w:rPr>
          <w:b w:val="0"/>
          <w:sz w:val="24"/>
        </w:rPr>
        <w:t>代价。 链上因此并存两个不一致的所有权概念：可转移归属与确认权属人。消费方必须自行判断该读哪一个，而把可转移归属误当作确认权属人是最容易发生的集成错误——因为按时刻取条目在两种情形下都会返回一个答案，不会报错。本发明以另行暴露终局性判定与窗口查询来降低该风险，但不能消除它。</w:t>
      </w:r>
    </w:p>
    <w:p>
      <w:pPr>
        <w:ind w:firstLine="480"/>
      </w:pPr>
      <w:r>
        <w:rPr>
          <w:b w:val="0"/>
          <w:sz w:val="24"/>
        </w:rPr>
        <w:t>换得的性质。 其一，该凭证在整个待定区间内可继续转移，不必为了记录的确定性而中止本可继续进行的转移；其二，记录时刻落在待定区间内的权利仍然可以被解析到唯一的确认权属人，而在以冻结规避该问题的做法中，这类权利被彻底破坏。</w:t>
      </w:r>
    </w:p>
    <w:p>
      <w:pPr>
        <w:ind w:firstLine="480"/>
      </w:pPr>
      <w:r>
        <w:rPr>
          <w:b w:val="0"/>
          <w:sz w:val="24"/>
        </w:rPr>
        <w:t>两者为何能同时成立。 在把可转移归属与确认权属人合并为单一概念的方案中，二者不能同时成立：要么冻结转移以保证记录正确，要么放任转移而使记录失真。本发明把它们显式分为两个并存的概念并各自暴露，冻结因而不再是保证记录正确的必要手段。</w:t>
      </w:r>
    </w:p>
    <w:p>
      <w:r>
        <w:rPr>
          <w:b w:val="0"/>
          <w:sz w:val="24"/>
        </w:rPr>
      </w:r>
    </w:p>
    <w:p>
      <w:r>
        <w:rPr>
          <w:b/>
          <w:sz w:val="24"/>
        </w:rPr>
        <w:t>四、有益效果</w:t>
      </w:r>
    </w:p>
    <w:p>
      <w:pPr>
        <w:ind w:firstLine="480"/>
      </w:pPr>
      <w:r>
        <w:rPr>
          <w:b w:val="0"/>
          <w:sz w:val="24"/>
        </w:rPr>
        <w:t>与现有技术相比，本发明具有以下有益效果：</w:t>
      </w:r>
    </w:p>
    <w:p>
      <w:pPr>
        <w:ind w:firstLine="480"/>
      </w:pPr>
      <w:r>
        <w:rPr>
          <w:b w:val="0"/>
          <w:sz w:val="24"/>
        </w:rPr>
        <w:t>（1） 任意过去时刻恰好解析出一个确认权属人。 由不变量①至④共同保证，在链不控制登记簿、条目迟到的前提下仍然成立，而无需假设链是真值来源。</w:t>
      </w:r>
    </w:p>
    <w:p>
      <w:pPr>
        <w:ind w:firstLine="480"/>
      </w:pPr>
      <w:r>
        <w:rPr>
          <w:b w:val="0"/>
          <w:sz w:val="24"/>
        </w:rPr>
        <w:t>（2） 终局性可判定且为常数时间。 判定退化为与最新条目生效时刻的一次比较，不需遍历历史，也不需等待任何超时。相较于现有以“当前状态标志”标注链下延迟的方案，本发明给出的是一个可被无关第三方独立复算的判据。</w:t>
      </w:r>
    </w:p>
    <w:p>
      <w:pPr>
        <w:ind w:firstLine="480"/>
      </w:pPr>
      <w:r>
        <w:rPr>
          <w:b w:val="0"/>
          <w:sz w:val="24"/>
        </w:rPr>
        <w:t>（3） 不牺牲可转移性。 凭证在整个待定区间内继续转移，不存在冻结；记录时刻落在待定区间内的权利仍然可以被解析到唯一的确认权属人。</w:t>
      </w:r>
    </w:p>
    <w:p>
      <w:pPr>
        <w:ind w:firstLine="480"/>
      </w:pPr>
      <w:r>
        <w:rPr>
          <w:b w:val="0"/>
          <w:sz w:val="24"/>
        </w:rPr>
        <w:t>（4） 提交者不可信，准入不可被单方伪造。 由于证明绑定到链标识、合约地址、凭证标识、核定标识、权属人、起始快照、前后承诺、版本号与生效时刻的全集，并需通过门限见证与成员证明，任何单个提交者无法伪造或改写一次准入；由于远端高度严格递增与证明消费标记，一份证明无法被重放。</w:t>
      </w:r>
    </w:p>
    <w:p>
      <w:pPr>
        <w:ind w:firstLine="480"/>
      </w:pPr>
      <w:r>
        <w:rPr>
          <w:b w:val="0"/>
          <w:sz w:val="24"/>
        </w:rPr>
        <w:t>（5） 矛盾被留痕而非被覆盖。 由于条目只增且承诺在凭证内唯一，一个自相矛盾的来源会把矛盾留在记录上，而不是把先前的陈述抹掉；与登记方没有任何关系的第三方可以在事后看到这一点。</w:t>
      </w:r>
    </w:p>
    <w:p>
      <w:pPr>
        <w:ind w:firstLine="480"/>
      </w:pPr>
      <w:r>
        <w:rPr>
          <w:b w:val="0"/>
          <w:sz w:val="24"/>
        </w:rPr>
        <w:t>（6） 登记簿内容不上链。 链上只承载承诺值与登记引用，不承载记录本身，因而适用于内容不宜或不能公开的登记簿；有权读取登记簿的一方可凭登记引用定位该承诺所承诺的记录。</w:t>
      </w:r>
    </w:p>
    <w:p>
      <w:pPr>
        <w:ind w:firstLine="480"/>
      </w:pPr>
      <w:r>
        <w:rPr>
          <w:b w:val="0"/>
          <w:sz w:val="24"/>
        </w:rPr>
        <w:t>需要说明的是，本发明并不消除“必须有一方替登记簿作出陈述”这一事实——不能上链的数据必然由能够看到它的一方来断言；本发明改变的是该断言被赋予的自由度：断言进入每个凭证唯一的只增顺序，两条断言不能共享一个生效时刻，任何一条不能被重放，任意过去时刻都可以在很久以后被重新检查。</w:t>
      </w:r>
    </w:p>
    <w:p>
      <w:r>
        <w:rPr>
          <w:b w:val="0"/>
          <w:sz w:val="24"/>
        </w:rPr>
      </w:r>
    </w:p>
    <w:p>
      <w:r>
        <w:rPr>
          <w:b/>
          <w:sz w:val="24"/>
        </w:rPr>
        <w:t>附图说明</w:t>
      </w:r>
    </w:p>
    <w:p>
      <w:pPr>
        <w:ind w:firstLine="480"/>
      </w:pPr>
      <w:r>
        <w:rPr>
          <w:b w:val="0"/>
          <w:sz w:val="24"/>
        </w:rPr>
        <w:t>图 1 为本发明实施例提供的系统结构示意图；</w:t>
      </w:r>
    </w:p>
    <w:p>
      <w:pPr>
        <w:ind w:firstLine="480"/>
      </w:pPr>
      <w:r>
        <w:rPr>
          <w:b w:val="0"/>
          <w:sz w:val="24"/>
        </w:rPr>
        <w:t>图 2 为本发明实施例中登记条目序列与生效区间的示意图，并示出终局区间与非终局区间的分界；</w:t>
      </w:r>
    </w:p>
    <w:p>
      <w:pPr>
        <w:ind w:firstLine="480"/>
      </w:pPr>
      <w:r>
        <w:rPr>
          <w:b w:val="0"/>
          <w:sz w:val="24"/>
        </w:rPr>
        <w:t>图 3 为本发明实施例中待定窗口的状态迁移图；</w:t>
      </w:r>
    </w:p>
    <w:p>
      <w:pPr>
        <w:ind w:firstLine="480"/>
      </w:pPr>
      <w:r>
        <w:rPr>
          <w:b w:val="0"/>
          <w:sz w:val="24"/>
        </w:rPr>
        <w:t>图 4 为本发明实施例提供的映射处理方法的流程图。</w:t>
      </w:r>
    </w:p>
    <w:p>
      <w:r>
        <w:rPr>
          <w:b w:val="0"/>
          <w:sz w:val="24"/>
        </w:rPr>
      </w:r>
    </w:p>
    <w:p>
      <w:r>
        <w:rPr>
          <w:b/>
          <w:sz w:val="24"/>
        </w:rPr>
        <w:t>具体实施方式</w:t>
      </w:r>
    </w:p>
    <w:p>
      <w:pPr>
        <w:ind w:firstLine="480"/>
      </w:pPr>
      <w:r>
        <w:rPr>
          <w:b w:val="0"/>
          <w:sz w:val="24"/>
        </w:rPr>
        <w:t>下面结合附图对本发明的具体实施方式作进一步说明。所述实施例用于解释本发明，而非限定本发明的保护范围。</w:t>
      </w:r>
    </w:p>
    <w:p>
      <w:r>
        <w:rPr>
          <w:b w:val="0"/>
          <w:sz w:val="24"/>
        </w:rPr>
      </w:r>
    </w:p>
    <w:p>
      <w:r>
        <w:rPr>
          <w:b/>
          <w:sz w:val="24"/>
        </w:rPr>
        <w:t>实施例一：系统结构</w:t>
      </w:r>
    </w:p>
    <w:p>
      <w:pPr>
        <w:ind w:firstLine="480"/>
      </w:pPr>
      <w:r>
        <w:rPr>
          <w:b w:val="0"/>
          <w:sz w:val="24"/>
        </w:rPr>
        <w:t>参见图 1，本实施例的系统包括：</w:t>
      </w:r>
    </w:p>
    <w:p>
      <w:pPr>
        <w:ind w:firstLine="480"/>
      </w:pPr>
      <w:r>
        <w:rPr>
          <w:b w:val="0"/>
          <w:sz w:val="24"/>
        </w:rPr>
        <w:t>链下登记簿（110），为记载标的权属的外部台账，其更新相对于区块链是异步的。其内容不上链。</w:t>
      </w:r>
    </w:p>
    <w:p>
      <w:pPr>
        <w:ind w:firstLine="480"/>
      </w:pPr>
      <w:r>
        <w:rPr>
          <w:b w:val="0"/>
          <w:sz w:val="24"/>
        </w:rPr>
        <w:t>见证方集合（120），由若干持有私钥的见证人组成，对登记簿在某一远端高度上的终局状态（远端状态根）作出签名断言。见证方可以是远端链的轻客户端、一组签名人、登记方自身的密钥，或一段在登记簿上运行的确定性程序；本发明不约束该断言值是如何得出的，只要求对该断言的校验是确定性的且经过域分隔。见证人集合与门限数量由验证配置（140） 固定。</w:t>
      </w:r>
    </w:p>
    <w:p>
      <w:pPr>
        <w:ind w:firstLine="480"/>
      </w:pPr>
      <w:r>
        <w:rPr>
          <w:b w:val="0"/>
          <w:sz w:val="24"/>
        </w:rPr>
        <w:t>提交人（130），为任意账户，负责把证明数据搬运到链上。提交人不被信任：合约不以其地址、白名单或签名作为验证依据。</w:t>
      </w:r>
    </w:p>
    <w:p>
      <w:pPr>
        <w:ind w:firstLine="480"/>
      </w:pPr>
      <w:r>
        <w:rPr>
          <w:b w:val="0"/>
          <w:sz w:val="24"/>
        </w:rPr>
        <w:t>链上合约（150），同时实现数据凭证转移接口与本发明的两组接口，内部包含：条目存储模块（151）、不变量校验模块（152）、窗口管理模块（153）、证明验证模块（154）、时刻解析与终局判定模块（155）。该合约经由接口探测标准分别声明两个接口标识：第一接口标识对应由条目存储模块（151）、不变量校验模块（152） 与时刻解析及终局判定模块（155） 实现的映射接口，第二接口标识对应由窗口管理模块（153） 与证明验证模块（154） 实现的核定接口。二者分别声明，是因为一条映射可以由本实施例之外的方式维持，第三方需要能够分别探测这两组能力。合约不得声明其未满足全部要求的接口标识，否则第三方据以判断的依据即失效。</w:t>
      </w:r>
    </w:p>
    <w:p>
      <w:pPr>
        <w:ind w:firstLine="480"/>
      </w:pPr>
      <w:r>
        <w:rPr>
          <w:b w:val="0"/>
          <w:sz w:val="24"/>
        </w:rPr>
        <w:t>验证配置（140），即验证配置标识所指代的一组规则，包括远端终局性证明规则、轻客户端或见证人集合规则、状态根承诺方式、成员证明算法、见证人集合演化方式、规范化编码与哈希函数。合约以一个非零且不可变的标识对外声明它接受哪一套规则。</w:t>
      </w:r>
    </w:p>
    <w:p>
      <w:pPr>
        <w:ind w:firstLine="480"/>
      </w:pPr>
      <w:r>
        <w:rPr>
          <w:b w:val="0"/>
          <w:sz w:val="24"/>
        </w:rPr>
        <w:t>第三方消费方（160），例如流通场所、钱包、索引服务、或权利分配合约，与登记方之间没有任何关系，只通过合约的公开查询接口获取事实。</w:t>
      </w:r>
    </w:p>
    <w:p>
      <w:r>
        <w:rPr>
          <w:b w:val="0"/>
          <w:sz w:val="24"/>
        </w:rPr>
      </w:r>
    </w:p>
    <w:p>
      <w:r>
        <w:rPr>
          <w:b/>
          <w:sz w:val="24"/>
        </w:rPr>
        <w:t>实施例二：数据结构</w:t>
      </w:r>
    </w:p>
    <w:p>
      <w:pPr>
        <w:ind w:firstLine="480"/>
      </w:pPr>
      <w:r>
        <w:rPr>
          <w:b w:val="0"/>
          <w:sz w:val="24"/>
        </w:rPr>
        <w:t>登记条目结构体的一种实现形式如下（以 Solidity 语法示例，不构成对实现语言的限定）：</w:t>
      </w:r>
    </w:p>
    <w:p>
      <w:pPr>
        <w:spacing w:line="240" w:lineRule="auto"/>
        <w:ind w:firstLine="0"/>
      </w:pPr>
      <w:r>
        <w:rPr>
          <w:rFonts w:ascii="Courier New" w:hAnsi="Courier New" w:eastAsia="Courier New"/>
          <w:b w:val="0"/>
          <w:sz w:val="20"/>
        </w:rPr>
        <w:t>struct RegisterEntry {</w:t>
      </w:r>
    </w:p>
    <w:p>
      <w:pPr>
        <w:spacing w:line="240" w:lineRule="auto"/>
        <w:ind w:firstLine="0"/>
      </w:pPr>
      <w:r>
        <w:rPr>
          <w:rFonts w:ascii="Courier New" w:hAnsi="Courier New" w:eastAsia="Courier New"/>
          <w:b w:val="0"/>
          <w:sz w:val="20"/>
        </w:rPr>
        <w:t xml:space="preserve">    bytes32 recordCommitment;    // 记录承诺，非零</w:t>
      </w:r>
    </w:p>
    <w:p>
      <w:pPr>
        <w:spacing w:line="240" w:lineRule="auto"/>
        <w:ind w:firstLine="0"/>
      </w:pPr>
      <w:r>
        <w:rPr>
          <w:rFonts w:ascii="Courier New" w:hAnsi="Courier New" w:eastAsia="Courier New"/>
          <w:b w:val="0"/>
          <w:sz w:val="20"/>
        </w:rPr>
        <w:t xml:space="preserve">    bytes32 previousCommitment;  // 前序承诺，首条为零</w:t>
      </w:r>
    </w:p>
    <w:p>
      <w:pPr>
        <w:spacing w:line="240" w:lineRule="auto"/>
        <w:ind w:firstLine="0"/>
      </w:pPr>
      <w:r>
        <w:rPr>
          <w:rFonts w:ascii="Courier New" w:hAnsi="Courier New" w:eastAsia="Courier New"/>
          <w:b w:val="0"/>
          <w:sz w:val="20"/>
        </w:rPr>
        <w:t xml:space="preserve">    bytes32 registryReference;   // 登记引用，合约不解释其含义</w:t>
      </w:r>
    </w:p>
    <w:p>
      <w:pPr>
        <w:spacing w:line="240" w:lineRule="auto"/>
        <w:ind w:firstLine="0"/>
      </w:pPr>
      <w:r>
        <w:rPr>
          <w:rFonts w:ascii="Courier New" w:hAnsi="Courier New" w:eastAsia="Courier New"/>
          <w:b w:val="0"/>
          <w:sz w:val="20"/>
        </w:rPr>
        <w:t xml:space="preserve">    address holder;              // 该条目确认的权属人</w:t>
      </w:r>
    </w:p>
    <w:p>
      <w:pPr>
        <w:spacing w:line="240" w:lineRule="auto"/>
        <w:ind w:firstLine="0"/>
      </w:pPr>
      <w:r>
        <w:rPr>
          <w:rFonts w:ascii="Courier New" w:hAnsi="Courier New" w:eastAsia="Courier New"/>
          <w:b w:val="0"/>
          <w:sz w:val="20"/>
        </w:rPr>
        <w:t xml:space="preserve">    uint64  version;             // 版本号，首条为 1</w:t>
      </w:r>
    </w:p>
    <w:p>
      <w:pPr>
        <w:spacing w:line="240" w:lineRule="auto"/>
        <w:ind w:firstLine="0"/>
      </w:pPr>
      <w:r>
        <w:rPr>
          <w:rFonts w:ascii="Courier New" w:hAnsi="Courier New" w:eastAsia="Courier New"/>
          <w:b w:val="0"/>
          <w:sz w:val="20"/>
        </w:rPr>
        <w:t xml:space="preserve">    uint64  effectiveAt;         // 生效时刻</w:t>
      </w:r>
    </w:p>
    <w:p>
      <w:pPr>
        <w:spacing w:line="240" w:lineRule="auto"/>
        <w:ind w:firstLine="0"/>
      </w:pPr>
      <w:r>
        <w:rPr>
          <w:rFonts w:ascii="Courier New" w:hAnsi="Courier New" w:eastAsia="Courier New"/>
          <w:b w:val="0"/>
          <w:sz w:val="20"/>
        </w:rPr>
        <w:t xml:space="preserve">    uint64  supersededAt;        // 被覆盖时刻，最新条目为 0</w:t>
      </w:r>
    </w:p>
    <w:p>
      <w:pPr>
        <w:spacing w:line="240" w:lineRule="auto"/>
        <w:ind w:firstLine="0"/>
      </w:pPr>
      <w:r>
        <w:rPr>
          <w:rFonts w:ascii="Courier New" w:hAnsi="Courier New" w:eastAsia="Courier New"/>
          <w:b w:val="0"/>
          <w:sz w:val="20"/>
        </w:rPr>
        <w:t>}</w:t>
      </w:r>
    </w:p>
    <w:p>
      <w:pPr>
        <w:ind w:firstLine="480"/>
      </w:pPr>
      <w:r>
        <w:rPr>
          <w:b w:val="0"/>
          <w:sz w:val="24"/>
        </w:rPr>
        <w:t>核定记录结构体的一种实现形式如下：</w:t>
      </w:r>
    </w:p>
    <w:p>
      <w:pPr>
        <w:spacing w:line="240" w:lineRule="auto"/>
        <w:ind w:firstLine="0"/>
      </w:pPr>
      <w:r>
        <w:rPr>
          <w:rFonts w:ascii="Courier New" w:hAnsi="Courier New" w:eastAsia="Courier New"/>
          <w:b w:val="0"/>
          <w:sz w:val="20"/>
        </w:rPr>
        <w:t>enum GapStatus { NONE, OPEN, ADMITTED, CANCELLED, SUPERSEDED }</w:t>
      </w:r>
    </w:p>
    <w:p>
      <w:pPr>
        <w:spacing w:line="240" w:lineRule="auto"/>
        <w:ind w:firstLine="0"/>
      </w:pPr>
      <w:r>
        <w:rPr>
          <w:rFonts w:ascii="Courier New" w:hAnsi="Courier New" w:eastAsia="Courier New"/>
          <w:b w:val="0"/>
          <w:sz w:val="20"/>
        </w:rPr>
      </w:r>
    </w:p>
    <w:p>
      <w:pPr>
        <w:spacing w:line="240" w:lineRule="auto"/>
        <w:ind w:firstLine="0"/>
      </w:pPr>
      <w:r>
        <w:rPr>
          <w:rFonts w:ascii="Courier New" w:hAnsi="Courier New" w:eastAsia="Courier New"/>
          <w:b w:val="0"/>
          <w:sz w:val="20"/>
        </w:rPr>
        <w:t>struct Settlement {</w:t>
      </w:r>
    </w:p>
    <w:p>
      <w:pPr>
        <w:spacing w:line="240" w:lineRule="auto"/>
        <w:ind w:firstLine="0"/>
      </w:pPr>
      <w:r>
        <w:rPr>
          <w:rFonts w:ascii="Courier New" w:hAnsi="Courier New" w:eastAsia="Courier New"/>
          <w:b w:val="0"/>
          <w:sz w:val="20"/>
        </w:rPr>
        <w:t xml:space="preserve">    uint256    tokenId;</w:t>
      </w:r>
    </w:p>
    <w:p>
      <w:pPr>
        <w:spacing w:line="240" w:lineRule="auto"/>
        <w:ind w:firstLine="0"/>
      </w:pPr>
      <w:r>
        <w:rPr>
          <w:rFonts w:ascii="Courier New" w:hAnsi="Courier New" w:eastAsia="Courier New"/>
          <w:b w:val="0"/>
          <w:sz w:val="20"/>
        </w:rPr>
        <w:t xml:space="preserve">    address    initiator;</w:t>
      </w:r>
    </w:p>
    <w:p>
      <w:pPr>
        <w:spacing w:line="240" w:lineRule="auto"/>
        <w:ind w:firstLine="0"/>
      </w:pPr>
      <w:r>
        <w:rPr>
          <w:rFonts w:ascii="Courier New" w:hAnsi="Courier New" w:eastAsia="Courier New"/>
          <w:b w:val="0"/>
          <w:sz w:val="20"/>
        </w:rPr>
        <w:t xml:space="preserve">    address    expectedHolder;</w:t>
      </w:r>
    </w:p>
    <w:p>
      <w:pPr>
        <w:spacing w:line="240" w:lineRule="auto"/>
        <w:ind w:firstLine="0"/>
      </w:pPr>
      <w:r>
        <w:rPr>
          <w:rFonts w:ascii="Courier New" w:hAnsi="Courier New" w:eastAsia="Courier New"/>
          <w:b w:val="0"/>
          <w:sz w:val="20"/>
        </w:rPr>
        <w:t xml:space="preserve">    bytes32    snapshotHash;   // 起始快照承诺，非零</w:t>
      </w:r>
    </w:p>
    <w:p>
      <w:pPr>
        <w:spacing w:line="240" w:lineRule="auto"/>
        <w:ind w:firstLine="0"/>
      </w:pPr>
      <w:r>
        <w:rPr>
          <w:rFonts w:ascii="Courier New" w:hAnsi="Courier New" w:eastAsia="Courier New"/>
          <w:b w:val="0"/>
          <w:sz w:val="20"/>
        </w:rPr>
        <w:t xml:space="preserve">    uint64     openedAt;       // 开启时刻，取自区块时间戳</w:t>
      </w:r>
    </w:p>
    <w:p>
      <w:pPr>
        <w:spacing w:line="240" w:lineRule="auto"/>
        <w:ind w:firstLine="0"/>
      </w:pPr>
      <w:r>
        <w:rPr>
          <w:rFonts w:ascii="Courier New" w:hAnsi="Courier New" w:eastAsia="Courier New"/>
          <w:b w:val="0"/>
          <w:sz w:val="20"/>
        </w:rPr>
        <w:t xml:space="preserve">    uint64     deadline;       // 截止时刻</w:t>
      </w:r>
    </w:p>
    <w:p>
      <w:pPr>
        <w:spacing w:line="240" w:lineRule="auto"/>
        <w:ind w:firstLine="0"/>
      </w:pPr>
      <w:r>
        <w:rPr>
          <w:rFonts w:ascii="Courier New" w:hAnsi="Courier New" w:eastAsia="Courier New"/>
          <w:b w:val="0"/>
          <w:sz w:val="20"/>
        </w:rPr>
        <w:t xml:space="preserve">    GapStatus  status;</w:t>
      </w:r>
    </w:p>
    <w:p>
      <w:pPr>
        <w:spacing w:line="240" w:lineRule="auto"/>
        <w:ind w:firstLine="0"/>
      </w:pPr>
      <w:r>
        <w:rPr>
          <w:rFonts w:ascii="Courier New" w:hAnsi="Courier New" w:eastAsia="Courier New"/>
          <w:b w:val="0"/>
          <w:sz w:val="20"/>
        </w:rPr>
        <w:t>}</w:t>
      </w:r>
    </w:p>
    <w:p>
      <w:pPr>
        <w:ind w:firstLine="480"/>
      </w:pPr>
      <w:r>
        <w:rPr>
          <w:b w:val="0"/>
          <w:sz w:val="24"/>
        </w:rPr>
        <w:t>上述各时刻均为自 Unix 纪元起的秒计数，与区块时间戳同一尺度。登记簿的时刻与链上的时刻因此可以直接比较，这是“被争议时刻”判定得以成立的前提。若某登记簿的生效时刻无法表达在该尺度上，则其不适用本发明的接口。</w:t>
      </w:r>
    </w:p>
    <w:p>
      <w:pPr>
        <w:ind w:firstLine="480"/>
      </w:pPr>
      <w:r>
        <w:rPr>
          <w:b w:val="0"/>
          <w:sz w:val="24"/>
        </w:rPr>
        <w:t>登记引用是登记簿对该条目自身记录的定位符。合约从不解释它；有权读取登记簿的一方凭它找到该承诺所承诺的那条记录，而权属人的身份信息即存在于该记录中。链上承载的是引用，而不是身份信息本身。</w:t>
      </w:r>
    </w:p>
    <w:p>
      <w:pPr>
        <w:ind w:firstLine="480"/>
      </w:pPr>
      <w:r>
        <w:rPr>
          <w:b w:val="0"/>
          <w:sz w:val="24"/>
        </w:rPr>
        <w:t>起始快照承诺把一次核定钉在一个起点上，使得为某一起点开启的核定所产生的证明，不能被准入到一个从不同起点开启的核定中。</w:t>
      </w:r>
    </w:p>
    <w:p>
      <w:r>
        <w:rPr>
          <w:b w:val="0"/>
          <w:sz w:val="24"/>
        </w:rPr>
      </w:r>
    </w:p>
    <w:p>
      <w:r>
        <w:rPr>
          <w:b/>
          <w:sz w:val="24"/>
        </w:rPr>
        <w:t>实施例三：开启待定窗口</w:t>
      </w:r>
    </w:p>
    <w:p>
      <w:pPr>
        <w:ind w:firstLine="480"/>
      </w:pPr>
      <w:r>
        <w:rPr>
          <w:b w:val="0"/>
          <w:sz w:val="24"/>
        </w:rPr>
        <w:t>参见图 3 与图 4 的步骤 S410。窗口管理模块（153） 收到开启请求后依次校验：</w:t>
      </w:r>
    </w:p>
    <w:p>
      <w:pPr>
        <w:ind w:firstLine="480"/>
      </w:pPr>
      <w:r>
        <w:rPr>
          <w:b w:val="0"/>
          <w:sz w:val="24"/>
        </w:rPr>
        <w:t>（a） 凭证存在；（b） 请求方满足核定权限主体查询接口的判定；（c） 核定标识非零且当前未被占用；（d） 起始快照承诺非零；（e） 预期权属人地址非零；（f） 截止时刻严格晚于当前区块时间戳；（g） 截止时刻与当前区块时间戳之差不超过核定期上限。</w:t>
      </w:r>
    </w:p>
    <w:p>
      <w:pPr>
        <w:ind w:firstLine="480"/>
      </w:pPr>
      <w:r>
        <w:rPr>
          <w:b w:val="0"/>
          <w:sz w:val="24"/>
        </w:rPr>
        <w:t>校验通过后，若该凭证上已存在一个未闭合窗口，则将该旧窗口置为“已被覆盖”并发出相应事件，且不改变条目序列；随后写入新的核定记录，状态置为“开启”，开启时刻取当前区块时间戳，并把该凭证的未闭合窗口指向新的核定标识。</w:t>
      </w:r>
    </w:p>
    <w:p>
      <w:pPr>
        <w:ind w:firstLine="480"/>
      </w:pPr>
      <w:r>
        <w:rPr>
          <w:b w:val="0"/>
          <w:sz w:val="24"/>
        </w:rPr>
        <w:t>预期权属人等于当前确认权属人是被允许的，由此准入的条目称为确认性条目，其含义为“截至更晚的一个生效时刻，登记簿记载的仍是同一权属人”。确认性条目是权属人长期不变的凭证上“较早时刻得以变为终局”的唯一途径：若不允许确认性条目，则最新条目生效时刻及其之后的时刻将永远不会终局，任何等待终局的处理将无限期等待。</w:t>
      </w:r>
    </w:p>
    <w:p>
      <w:r>
        <w:rPr>
          <w:b w:val="0"/>
          <w:sz w:val="24"/>
        </w:rPr>
      </w:r>
    </w:p>
    <w:p>
      <w:r>
        <w:rPr>
          <w:b/>
          <w:sz w:val="24"/>
        </w:rPr>
        <w:t>实施例四：凭证明的准入</w:t>
      </w:r>
    </w:p>
    <w:p>
      <w:pPr>
        <w:ind w:firstLine="480"/>
      </w:pPr>
      <w:r>
        <w:rPr>
          <w:b w:val="0"/>
          <w:sz w:val="24"/>
        </w:rPr>
        <w:t>参见图 4 的步骤 S420 至 S460。证明验证模块（154） 的处理如下。</w:t>
      </w:r>
    </w:p>
    <w:p>
      <w:pPr>
        <w:ind w:firstLine="480"/>
      </w:pPr>
      <w:r>
        <w:rPr>
          <w:b w:val="0"/>
          <w:sz w:val="24"/>
        </w:rPr>
        <w:t>S420 前置校验。 窗口状态为“开启”；当前区块时间戳不晚于该窗口的截止时刻；记录承诺非零；本次生效时刻严格大于前一条条目的生效时刻；本次生效时刻不超过当前区块时间戳加上前向上界；本次记录承诺在该凭证内未被使用过。</w:t>
      </w:r>
    </w:p>
    <w:p>
      <w:pPr>
        <w:ind w:firstLine="480"/>
      </w:pPr>
      <w:r>
        <w:rPr>
          <w:b w:val="0"/>
          <w:sz w:val="24"/>
        </w:rPr>
        <w:t>其中前向上界的设置理由是：由于生效时刻严格递增，一个远超当前时刻的生效时刻一旦被准入，此后不可能有任何条目超过它，该凭证的映射将被永久终止；故实现应当拒绝超出其配置所允许范围的生效时刻。</w:t>
      </w:r>
    </w:p>
    <w:p>
      <w:pPr>
        <w:ind w:firstLine="480"/>
      </w:pPr>
      <w:r>
        <w:rPr>
          <w:b w:val="0"/>
          <w:sz w:val="24"/>
        </w:rPr>
        <w:t>S430 计算叶节点摘要。 按预定的类型化结构对下列字段整体计算摘要：当前链标识、本合约地址、凭证标识、核定标识、窗口中记录的预期权属人、窗口中记录的起始快照承诺、前一条条目的记录承诺、本次记录承诺、登记引用、下一版本号、本次生效时刻。任一字段被单独改动，所得叶节点摘要即不同，成员证明随之不成立。一种实现形式为：</w:t>
      </w:r>
    </w:p>
    <w:p>
      <w:pPr>
        <w:spacing w:line="240" w:lineRule="auto"/>
        <w:ind w:firstLine="0"/>
      </w:pPr>
      <w:r>
        <w:rPr>
          <w:rFonts w:ascii="Courier New" w:hAnsi="Courier New" w:eastAsia="Courier New"/>
          <w:b w:val="0"/>
          <w:sz w:val="20"/>
        </w:rPr>
        <w:t>bytes32 leafStruct = keccak256(abi.encode(</w:t>
      </w:r>
    </w:p>
    <w:p>
      <w:pPr>
        <w:spacing w:line="240" w:lineRule="auto"/>
        <w:ind w:firstLine="0"/>
      </w:pPr>
      <w:r>
        <w:rPr>
          <w:rFonts w:ascii="Courier New" w:hAnsi="Courier New" w:eastAsia="Courier New"/>
          <w:b w:val="0"/>
          <w:sz w:val="20"/>
        </w:rPr>
        <w:t xml:space="preserve">    REMOTE_ENTRY_LEAF_TYPEHASH,</w:t>
      </w:r>
    </w:p>
    <w:p>
      <w:pPr>
        <w:spacing w:line="240" w:lineRule="auto"/>
        <w:ind w:firstLine="0"/>
      </w:pPr>
      <w:r>
        <w:rPr>
          <w:rFonts w:ascii="Courier New" w:hAnsi="Courier New" w:eastAsia="Courier New"/>
          <w:b w:val="0"/>
          <w:sz w:val="20"/>
        </w:rPr>
        <w:t xml:space="preserve">    block.chainid, address(this), tokenId, settlementId,</w:t>
      </w:r>
    </w:p>
    <w:p>
      <w:pPr>
        <w:spacing w:line="240" w:lineRule="auto"/>
        <w:ind w:firstLine="0"/>
      </w:pPr>
      <w:r>
        <w:rPr>
          <w:rFonts w:ascii="Courier New" w:hAnsi="Courier New" w:eastAsia="Courier New"/>
          <w:b w:val="0"/>
          <w:sz w:val="20"/>
        </w:rPr>
        <w:t xml:space="preserve">    expectedHolder, snapshotHash,</w:t>
      </w:r>
    </w:p>
    <w:p>
      <w:pPr>
        <w:spacing w:line="240" w:lineRule="auto"/>
        <w:ind w:firstLine="0"/>
      </w:pPr>
      <w:r>
        <w:rPr>
          <w:rFonts w:ascii="Courier New" w:hAnsi="Courier New" w:eastAsia="Courier New"/>
          <w:b w:val="0"/>
          <w:sz w:val="20"/>
        </w:rPr>
        <w:t xml:space="preserve">    previousCommitment, recordCommitment, registryReference,</w:t>
      </w:r>
    </w:p>
    <w:p>
      <w:pPr>
        <w:spacing w:line="240" w:lineRule="auto"/>
        <w:ind w:firstLine="0"/>
      </w:pPr>
      <w:r>
        <w:rPr>
          <w:rFonts w:ascii="Courier New" w:hAnsi="Courier New" w:eastAsia="Courier New"/>
          <w:b w:val="0"/>
          <w:sz w:val="20"/>
        </w:rPr>
        <w:t xml:space="preserve">    nextVersion, effectiveAt</w:t>
      </w:r>
    </w:p>
    <w:p>
      <w:pPr>
        <w:spacing w:line="240" w:lineRule="auto"/>
        <w:ind w:firstLine="0"/>
      </w:pPr>
      <w:r>
        <w:rPr>
          <w:rFonts w:ascii="Courier New" w:hAnsi="Courier New" w:eastAsia="Courier New"/>
          <w:b w:val="0"/>
          <w:sz w:val="20"/>
        </w:rPr>
        <w:t>));</w:t>
      </w:r>
    </w:p>
    <w:p>
      <w:pPr>
        <w:spacing w:line="240" w:lineRule="auto"/>
        <w:ind w:firstLine="0"/>
      </w:pPr>
      <w:r>
        <w:rPr>
          <w:rFonts w:ascii="Courier New" w:hAnsi="Courier New" w:eastAsia="Courier New"/>
          <w:b w:val="0"/>
          <w:sz w:val="20"/>
        </w:rPr>
        <w:t>bytes32 leaf = keccak256(abi.encodePacked(LEAF_TAG, leafStruct));</w:t>
      </w:r>
    </w:p>
    <w:p>
      <w:pPr>
        <w:ind w:firstLine="480"/>
      </w:pPr>
      <w:r>
        <w:rPr>
          <w:b w:val="0"/>
          <w:sz w:val="24"/>
        </w:rPr>
        <w:t>S440 成员证明校验。 以第一标签字节（例如 0x00）前缀计算叶节点，以不同于第一标签字节的第二标签字节（例如 0x01）前缀计算内部节点，按路径索引的最低位决定左右次序逐层归并；归并结束后，要求路径索引的剩余位全部为零，并且归并所得的根值等于证明数据中的远端状态根。索引位耗尽这一条件用于排除同一根值下存在多组“（索引，兄弟节点序列）”均能通过的情形。</w:t>
      </w:r>
    </w:p>
    <w:p>
      <w:pPr>
        <w:ind w:firstLine="480"/>
      </w:pPr>
      <w:r>
        <w:rPr>
          <w:b w:val="0"/>
          <w:sz w:val="24"/>
        </w:rPr>
        <w:t>S450 终局性校验。 构造包含名称、版本、链标识与本合约地址的域分隔符，对包含远端登记簿标识、远端高度、远端区块哈希、远端状态根与见证人集合承诺的类型化结构计算终局性摘要；要求签名数量不少于门限值，且逐一恢复出的签名人地址均属于见证人集合、并按地址严格递增排列（从而同一签名人不被重复计数）；签名的 s 值应位于低半区间以排除延展性。域分隔使得为一条链、一份合约产生的签名不能被搬到另一条链或另一份合约上使用。</w:t>
      </w:r>
    </w:p>
    <w:p>
      <w:pPr>
        <w:ind w:firstLine="480"/>
      </w:pPr>
      <w:r>
        <w:rPr>
          <w:b w:val="0"/>
          <w:sz w:val="24"/>
        </w:rPr>
        <w:t>S460 高度与重放校验。 要求本次远端高度严格大于该凭证已消费的最近远端高度；由终局性摘要与叶节点摘要导出证明标识，要求其未被消费过。</w:t>
      </w:r>
    </w:p>
    <w:p>
      <w:pPr>
        <w:ind w:firstLine="480"/>
      </w:pPr>
      <w:r>
        <w:rPr>
          <w:b w:val="0"/>
          <w:sz w:val="24"/>
        </w:rPr>
        <w:t>S470 原子写入。 在同一个事务内依次完成：标记证明标识已消费、更新该凭证的最近远端高度、把前一条条目的被覆盖时刻置为本次生效时刻、标记本次记录承诺已在该凭证内使用、追加新条目、把窗口状态置为“已准入”、清除该凭证的未闭合窗口指向，并发出条目覆盖事件与核定完成事件。任一步骤失败则整个事务回滚。</w:t>
      </w:r>
    </w:p>
    <w:p>
      <w:r>
        <w:rPr>
          <w:b w:val="0"/>
          <w:sz w:val="24"/>
        </w:rPr>
      </w:r>
    </w:p>
    <w:p>
      <w:r>
        <w:rPr>
          <w:b/>
          <w:sz w:val="24"/>
        </w:rPr>
        <w:t>实施例五：取消与覆盖</w:t>
      </w:r>
    </w:p>
    <w:p>
      <w:pPr>
        <w:ind w:firstLine="480"/>
      </w:pPr>
      <w:r>
        <w:rPr>
          <w:b w:val="0"/>
          <w:sz w:val="24"/>
        </w:rPr>
        <w:t>窗口的发起方可以取消一个开启中的窗口，但只能在截止时刻之后。截止时刻之前的取消请求被拒绝，其理由是：截止时刻之前的窗口属于证明——若允许提前取消，发起方可以单方面把一条登记簿已经在远端完成的记录悬置，使该区间的映射永久不可解析。取消不改变条目序列：先前的条目继续有效，因而临时答案回落到窗口开启前被确认的权属人，但该时刻并不因此变为终局——登记簿已经作出、而本链尚未看到的变更，此后仍可被准入。</w:t>
      </w:r>
    </w:p>
    <w:p>
      <w:pPr>
        <w:ind w:firstLine="480"/>
      </w:pPr>
      <w:r>
        <w:rPr>
          <w:b w:val="0"/>
          <w:sz w:val="24"/>
        </w:rPr>
        <w:t>在一个凭证上开启新的核定会覆盖旧的核定。被覆盖的核定不能再被完成，因而为它已经产生的证明随之作废。该性质既是可用性手段（允许纠正一次错误开启），也是一种权力：能够开启核定的一方可以借由不断覆盖而无限期地把窗口挂起，使全部近期时刻保持非终局且被争议。此时映射并没有作出任何错误陈述——它恰好陈述了“答案未定”——但它停止跟踪其登记簿。因此实现应当对可覆盖的主体或时机加以限制，并且不应由 ownerOf 派生该权限，否则该挂起能力将随每一次转移被重新授予任意购得凭证的一方。</w:t>
      </w:r>
    </w:p>
    <w:p>
      <w:r>
        <w:rPr>
          <w:b w:val="0"/>
          <w:sz w:val="24"/>
        </w:rPr>
      </w:r>
    </w:p>
    <w:p>
      <w:r>
        <w:rPr>
          <w:b/>
          <w:sz w:val="24"/>
        </w:rPr>
        <w:t>实施例六：查询与消费</w:t>
      </w:r>
    </w:p>
    <w:p>
      <w:pPr>
        <w:ind w:firstLine="480"/>
      </w:pPr>
      <w:r>
        <w:rPr>
          <w:b w:val="0"/>
          <w:sz w:val="24"/>
        </w:rPr>
        <w:t>参见图 2 与图 4 的步骤 S480。除下列按时刻的查询外，本实施例还提供三项按标识的读取：按版本号取条目（以凭证标识与版本号为入参，返回该版本的登记条目）、条目数查询（返回该凭证已准入的条目总数，据以遍历其全部历史），以及核定记录查询（以核定标识为入参，返回该核定的完整记录）。对不存在的凭证、不存在的版本号以及未知的核定标识，上述查询一律报错回退，而不返回零值——零值与“确实存在且取值为零”无法区分，若以零值应答，消费方会把“不存在”误读为一条有效记录。时刻解析与终局判定模块（155） 则提供：</w:t>
      </w:r>
    </w:p>
    <w:p>
      <w:pPr>
        <w:ind w:firstLine="480"/>
      </w:pPr>
      <w:r>
        <w:rPr>
          <w:b w:val="0"/>
          <w:sz w:val="24"/>
        </w:rPr>
        <w:t>（a） 按时刻取条目：返回生效区间覆盖给定时刻的条目；给定时刻早于首条条目生效时刻时报错回退；</w:t>
      </w:r>
    </w:p>
    <w:p>
      <w:pPr>
        <w:ind w:firstLine="480"/>
      </w:pPr>
      <w:r>
        <w:rPr>
          <w:b w:val="0"/>
          <w:sz w:val="24"/>
        </w:rPr>
        <w:t>（b） 按时刻取权属人：返回上述条目的权属人；</w:t>
      </w:r>
    </w:p>
    <w:p>
      <w:pPr>
        <w:ind w:firstLine="480"/>
      </w:pPr>
      <w:r>
        <w:rPr>
          <w:b w:val="0"/>
          <w:sz w:val="24"/>
        </w:rPr>
        <w:t>（c） 终局判定：当且仅当给定时刻不早于首条条目的生效时刻、且严格早于最新条目的生效时刻时返回真；其余情形返回假；对早于首条条目的时刻返回假而不回退，以便消费方可以先问终局性再决定是否解析；</w:t>
      </w:r>
    </w:p>
    <w:p>
      <w:pPr>
        <w:ind w:firstLine="480"/>
      </w:pPr>
      <w:r>
        <w:rPr>
          <w:b w:val="0"/>
          <w:sz w:val="24"/>
        </w:rPr>
        <w:t>（d） 未闭合窗口查询：返回该凭证上未闭合窗口的标识，不存在时返回零值；结合窗口的开启时刻即可判定给定时刻是否被争议。</w:t>
      </w:r>
    </w:p>
    <w:p>
      <w:pPr>
        <w:ind w:firstLine="480"/>
      </w:pPr>
      <w:r>
        <w:rPr>
          <w:b w:val="0"/>
          <w:sz w:val="24"/>
        </w:rPr>
        <w:t>本方法的适用边界。 需要说明，决定一个凭证是否需要本映射的，是它所承载的权利的内容，而不是其背后标的的类别。若某凭证不授予任何按过去时刻确定的权利——既不可赎回，也不参与按记录时刻确定的权利分配，亦不承载按记录时刻确定的表决或优先权——则“某过去时刻的确认权属人是谁”这一问题不会被提出，该凭证只需读取当前持有状态即可，本方法对它没有作用，也不应被强加。本方法适用的，是那些其权利由某个已过去的记录时刻决定、而该时刻的权属又记载于一个异步更新的链下登记簿的凭证。 一个实现可以只对其凭证集合中的一部分维护映射，对其余部分不维护；是否维护，按上述判据逐个凭证决定。</w:t>
      </w:r>
    </w:p>
    <w:p>
      <w:pPr>
        <w:ind w:firstLine="480"/>
      </w:pPr>
      <w:r>
        <w:rPr>
          <w:b w:val="0"/>
          <w:sz w:val="24"/>
        </w:rPr>
        <w:t>第三方消费方（160） 的典型用法是：一项针对已过去的记录时刻主张的权利，先以 （c） 判定该时刻是否终局，再以 （b） 取得该时刻的确认权属人；一项发生在当下且不可重复的行使，由于当下时刻位于最新条目生效时刻及其之后而永远不终局，它转而以 （d） 判定当下是否被争议。本发明只提供这三项事实，其后的处置由权利自身的条款决定。</w:t>
      </w:r>
    </w:p>
    <w:p>
      <w:pPr>
        <w:ind w:firstLine="480"/>
      </w:pPr>
      <w:r>
        <w:rPr>
          <w:b w:val="0"/>
          <w:sz w:val="24"/>
        </w:rPr>
        <w:t>一个坐实前述取舍的例子。 设某凭证已准入两条条目：v1 生效于 1 月 1 日、权属人 A,v2 生效于 3 月 1 日、权属人 B。此后登记方发现 v2 记错，真实情况是 2 月 1 日就已过户给 C。本实施例的合约不接受任何以 2 月 1 日为生效时刻的补记，因为 2 月 1 日不晚于 v2 的 3 月 1 日；登记方唯一可做的，是以一条生效时刻晚于 3 月 1 日的新条目 v3 记载“权属人为 C”。其后果是：2 月 1 日至 3 月 1 日之间的任一时刻，本映射仍然解析为 B，并且这些时刻早已被判定为终局，该判定不会被推翻。付出的是“这一段的答案与登记簿的真实情况不符”且不可更正；换得的是“凡被判定为终局的时刻，其答案确实不再改变”这一承诺从不失效。若允许补记，则该承诺立即作废，任何依赖过终局判定的第三方都将失去依据。</w:t>
      </w:r>
    </w:p>
    <w:p>
      <w:pPr>
        <w:ind w:firstLine="480"/>
      </w:pPr>
      <w:r>
        <w:rPr>
          <w:b w:val="0"/>
          <w:sz w:val="24"/>
        </w:rPr>
        <w:t>参见图 4 的步骤 S490。在上述窗口开启的整个期间，该凭证依数据凭证转移接口进行的普通转移不被阻断，其当前所有者随转移立即变动；与此同时，合约不因该转移写入或修改任何登记条目，也不由当前所有者推断确认权属人——本实施例中 ownerOf 与 holderAsOf 是两个各自独立取值的查询，前者给出可转移归属，后者给出登记簿在给定时刻确认的权属人，二者在待定区间内通常不相等。消费方把前者误当作后者是最容易发生的集成错误，因为按时刻取条目在两种情形下都会返回一个答案而不会报错；本实施例以另行提供终局判定与未闭合窗口查询来降低该风险。一个已经完成的行使，不受此后被准入的条目的影响：本发明界定的是登记簿的答案何时改变，而不赋予后来的答案以推翻既已依照先前答案作出的行为的效力。</w:t>
      </w:r>
    </w:p>
    <w:p>
      <w:r>
        <w:rPr>
          <w:b w:val="0"/>
          <w:sz w:val="24"/>
        </w:rPr>
      </w:r>
    </w:p>
    <w:p>
      <w:r>
        <w:rPr>
          <w:b/>
          <w:sz w:val="24"/>
        </w:rPr>
        <w:t>实施例七：系统、电子设备与存储介质</w:t>
      </w:r>
    </w:p>
    <w:p>
      <w:pPr>
        <w:ind w:firstLine="480"/>
      </w:pPr>
      <w:r>
        <w:rPr>
          <w:b w:val="0"/>
          <w:sz w:val="24"/>
        </w:rPr>
        <w:t>本发明的另一实施例提供一种链下登记簿向数据凭证的映射系统，包括：条目维护模块，用于执行实施例二与不变量校验；窗口管理模块，用于执行实施例三与实施例五；证明验证模块，用于执行实施例四的 S420 至 S460；原子写入模块，用于执行 S470；查询模块，用于执行实施例六。各模块可由部署在区块链上的智能合约字节码实现，亦可由链下节点软件中的等效逻辑实现。</w:t>
      </w:r>
    </w:p>
    <w:p>
      <w:pPr>
        <w:ind w:firstLine="480"/>
      </w:pPr>
      <w:r>
        <w:rPr>
          <w:b w:val="0"/>
          <w:sz w:val="24"/>
        </w:rPr>
        <w:t>本发明的又一实施例提供一种电子设备，包括处理器和存储器，所述存储器存储有可被所述处理器执行的指令，所述指令被执行时实现前述方法的步骤。</w:t>
      </w:r>
    </w:p>
    <w:p>
      <w:pPr>
        <w:ind w:firstLine="480"/>
      </w:pPr>
      <w:r>
        <w:rPr>
          <w:b w:val="0"/>
          <w:sz w:val="24"/>
        </w:rPr>
        <w:t>本发明的又一实施例提供一种计算机可读存储介质，其上存储有计算机程序，该程序被处理器执行时实现前述方法的步骤。</w:t>
      </w:r>
    </w:p>
    <w:p>
      <w:r>
        <w:rPr>
          <w:b w:val="0"/>
          <w:sz w:val="24"/>
        </w:rPr>
      </w:r>
    </w:p>
    <w:p>
      <w:r>
        <w:rPr>
          <w:b/>
          <w:sz w:val="24"/>
        </w:rPr>
        <w:t>关于安全性的补充说明</w:t>
      </w:r>
    </w:p>
    <w:p>
      <w:pPr>
        <w:ind w:firstLine="480"/>
      </w:pPr>
      <w:r>
        <w:rPr>
          <w:b w:val="0"/>
          <w:sz w:val="24"/>
        </w:rPr>
        <w:t>本发明去除的是对提交人的信任，而非全部信任。特别地，采用固定见证人集合的验证配置，只在其成员生命周期与恢复假设可被接受的场合适用——成员私钥丢失、成员退出或集合需要轮换时，固定集合没有内建的恢复途径，该凭证的映射将无法再推进；需要长期运行的部署应当选择支持见证人集合演化的验证配置。其安全性仍依赖于远端共识、轻客户端或见证人门限、见证人集合更新规则、密码学原语、规范化编码、验证器实现及任何升级权限。一个串通的远端共识可以对一条虚假记录给出终局性，一个有缺陷的验证器可以接受一份无效证明。一份证明所证成的是“某段字节被包含于被接受的、已终局的远端状态之中”，它并不证成该标的存在、登记方陈述属实，或该记录具有法律效力。</w:t>
      </w:r>
    </w:p>
    <w:p>
      <w:pPr>
        <w:ind w:firstLine="480"/>
      </w:pPr>
      <w:r>
        <w:rPr>
          <w:b w:val="0"/>
          <w:sz w:val="24"/>
        </w:rPr>
        <w:t>由于映射的推进依赖于后续条目的存在，一个停止产生条目的登记簿将使近期时刻永久非终局。这是对登记簿及其验证配置的活性依赖，而非安全性缺陷；但一个不提供确认性条目产生途径的验证配置将继承该依赖。</w:t>
      </w:r>
    </w:p>
    <w:p>
      <w:pPr>
        <w:ind w:firstLine="480"/>
      </w:pPr>
      <w:r>
        <w:rPr>
          <w:b w:val="0"/>
          <w:sz w:val="24"/>
        </w:rPr>
        <w:t>条目、承诺、参与者、时刻与证明材料均为公开数据。承诺可能因输入熵值过低或相关性分析而泄露信息，故验证配置宜采用经域分隔的承诺、避免承诺明文中的机密内容，并只公布验证所必需的证明材料。删除链下数据并不能删除链上的承诺、日志、调用数据与历史状态。</w:t>
      </w:r>
    </w:p>
    <w:sectPr w:rsidR="00FC693F" w:rsidRPr="0006063C" w:rsidSect="00034616">
      <w:footerReference w:type="default" r:id="rId9"/>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