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sz w:val="28"/>
        </w:rPr>
        <w:t>说 明 书</w:t>
      </w:r>
    </w:p>
    <w:p/>
    <w:p>
      <w:pPr>
        <w:jc w:val="center"/>
      </w:pPr>
      <w:r>
        <w:rPr>
          <w:rFonts w:ascii="SimHei" w:hAnsi="SimHei" w:eastAsia="SimHei"/>
          <w:b/>
          <w:sz w:val="26"/>
        </w:rPr>
        <w:t>一种链外数据源事实的无人值守出具系统及方法</w:t>
      </w:r>
    </w:p>
    <w:p/>
    <w:p>
      <w:r>
        <w:rPr>
          <w:rFonts w:ascii="SimHei" w:hAnsi="SimHei" w:eastAsia="SimHei"/>
          <w:b/>
          <w:sz w:val="24"/>
        </w:rPr>
        <w:t>技术领域</w:t>
      </w:r>
    </w:p>
    <w:p>
      <w:pPr>
        <w:ind w:firstLine="480"/>
      </w:pPr>
      <w:r>
        <w:rPr>
          <w:rFonts w:ascii="SimSun" w:hAnsi="SimSun" w:eastAsia="SimSun"/>
          <w:b w:val="0"/>
          <w:sz w:val="24"/>
        </w:rPr>
        <w:t>本发明涉及数据处理与信息安全技术领域，具体涉及一种由自动化系统在无人工介入的条件下，就链外数据源所记载的事实对外出具经签名的断言时的出具控制系统及方法。</w:t>
      </w:r>
    </w:p>
    <w:p>
      <w:r>
        <w:rPr>
          <w:rFonts w:ascii="SimHei" w:hAnsi="SimHei" w:eastAsia="SimHei"/>
          <w:b/>
          <w:sz w:val="24"/>
        </w:rPr>
        <w:t>背景技术</w:t>
      </w:r>
    </w:p>
    <w:p>
      <w:pPr>
        <w:ind w:firstLine="480"/>
      </w:pPr>
      <w:r>
        <w:rPr>
          <w:rFonts w:ascii="SimSun" w:hAnsi="SimSun" w:eastAsia="SimSun"/>
          <w:b w:val="0"/>
          <w:sz w:val="24"/>
        </w:rPr>
        <w:t>在跨系统的数据协作中，经常需要由一个出具系统读取某个链外数据源所记载的事实，并就该事实对外出具一条经签名的断言，供下游系统据以执行后续动作。所述链外数据源可以是各类登记类数据源，其记录内容依约定或依法不得公开，而其所记载的事实又需要被外部系统采信。出具系统持有对该数据源的读取权限，是该数据源与外部系统之间唯一的通路。</w:t>
      </w:r>
    </w:p>
    <w:p>
      <w:pPr>
        <w:ind w:firstLine="480"/>
      </w:pPr>
      <w:r>
        <w:rPr>
          <w:rFonts w:ascii="SimSun" w:hAnsi="SimSun" w:eastAsia="SimSun"/>
          <w:b w:val="0"/>
          <w:sz w:val="24"/>
        </w:rPr>
        <w:t>随着自动化程度的提高，此类出具系统日益在无人工介入的条件下连续运行：接收请求、读取数据源、组织内容、签名、发送，全过程没有人工复核环节；而下游的消费方同样是自动化的，其在收到一条经签名的断言后会自行选择后续路径。这两个特点叠加，使得"出具系统在什么条件下才被允许出具一条经签名的断言"成为一个必须由机器在出具之前解决的问题。</w:t>
      </w:r>
    </w:p>
    <w:p>
      <w:pPr>
        <w:ind w:firstLine="480"/>
      </w:pPr>
      <w:r>
        <w:rPr>
          <w:rFonts w:ascii="SimSun" w:hAnsi="SimSun" w:eastAsia="SimSun"/>
          <w:b w:val="0"/>
          <w:sz w:val="24"/>
        </w:rPr>
        <w:t>现有技术在这一方向上已有若干做法。</w:t>
      </w:r>
    </w:p>
    <w:p>
      <w:pPr>
        <w:ind w:firstLine="480"/>
      </w:pPr>
      <w:r>
        <w:rPr>
          <w:rFonts w:ascii="SimSun" w:hAnsi="SimSun" w:eastAsia="SimSun"/>
          <w:b w:val="0"/>
          <w:sz w:val="24"/>
        </w:rPr>
        <w:t>其一，围绕断言的来源与时效建立准入检查。典型做法是：为每一个数据源分配来源标识并在注册表中登记，出具前查询该标识是否已登记且未被撤销；获取该来源声明的有效期，将事实数据的取得时刻与当前时刻之差和该有效期比对，超期者拒绝；对待出具内容计算内容承诺，与已出具承诺集合查重以防止重放，并将该内容承诺与本次出具所许可的效果相绑定，使得绑定关系与被断言的事实处在同一个被签名的封装之内，任何一方被改动都会使签名失效。近年面向自动化流水线的若干工作进一步把这些检查组织为一个失败即关闭的策略执行层，对不合规、过期、格式错误或重放的请求在签名之前即予拒绝。</w:t>
      </w:r>
    </w:p>
    <w:p>
      <w:pPr>
        <w:ind w:firstLine="480"/>
      </w:pPr>
      <w:r>
        <w:rPr>
          <w:rFonts w:ascii="SimSun" w:hAnsi="SimSun" w:eastAsia="SimSun"/>
          <w:b w:val="0"/>
          <w:sz w:val="24"/>
        </w:rPr>
        <w:t>其二，围绕出具环境的可信性建立证明。可信执行环境的远程证明将执行代码的度量值以及版本号纳入由硬件保护的密钥所签名的字段集合，使验证方能够确认所收到的断言由预期版本的代码所产生。</w:t>
      </w:r>
    </w:p>
    <w:p>
      <w:pPr>
        <w:ind w:firstLine="480"/>
      </w:pPr>
      <w:r>
        <w:rPr>
          <w:rFonts w:ascii="SimSun" w:hAnsi="SimSun" w:eastAsia="SimSun"/>
          <w:b w:val="0"/>
          <w:sz w:val="24"/>
        </w:rPr>
        <w:t>其三，围绕运算实现的正确性建立自检。密码模块类标准要求模块在使用前运行已知答案测试与配对一致性测试，将运算结果与预置的固定输出进行等值比对，比对不一致时模块进入错误状态并停止输出任何数据。</w:t>
      </w:r>
    </w:p>
    <w:p>
      <w:pPr>
        <w:ind w:firstLine="480"/>
      </w:pPr>
      <w:r>
        <w:rPr>
          <w:rFonts w:ascii="SimSun" w:hAnsi="SimSun" w:eastAsia="SimSun"/>
          <w:b w:val="0"/>
          <w:sz w:val="24"/>
        </w:rPr>
        <w:t>其四，围绕输出内容的类别建立拦截。面向大模型的输出护栏按预设的禁止主题类别对生成内容分类，命中即拒绝输出或重新生成；内容审核系统按违禁类别对文本分类并拦截，其判定同样基于语义而非字面匹配。</w:t>
      </w:r>
    </w:p>
    <w:p>
      <w:pPr>
        <w:ind w:firstLine="480"/>
      </w:pPr>
      <w:r>
        <w:rPr>
          <w:rFonts w:ascii="SimSun" w:hAnsi="SimSun" w:eastAsia="SimSun"/>
          <w:b w:val="0"/>
          <w:sz w:val="24"/>
        </w:rPr>
        <w:t>其五，围绕检测器本身是否仍然工作建立测试。数据防泄漏领域以一份含有已知敏感数据的样本文件验证检测配置是否准确；软件测试领域以变异测试评估并改进测试判定器，专门揭示"本应报错却未报错"的假阴性；亦有工作以形式化方法验证护栏分类器的安全区域内是否存在反例。</w:t>
      </w:r>
    </w:p>
    <w:p>
      <w:pPr>
        <w:ind w:firstLine="480"/>
      </w:pPr>
      <w:r>
        <w:rPr>
          <w:rFonts w:ascii="SimSun" w:hAnsi="SimSun" w:eastAsia="SimSun"/>
          <w:b w:val="0"/>
          <w:sz w:val="24"/>
        </w:rPr>
        <w:t>上述五类做法各自解决了一部分问题，但在本发明所面对的场景下仍存在下述缺陷。</w:t>
      </w:r>
    </w:p>
    <w:p>
      <w:pPr>
        <w:ind w:firstLine="480"/>
      </w:pPr>
      <w:r>
        <w:rPr>
          <w:rFonts w:ascii="SimSun" w:hAnsi="SimSun" w:eastAsia="SimSun"/>
          <w:b w:val="0"/>
          <w:sz w:val="24"/>
        </w:rPr>
        <w:t>缺陷一：现有检查约束的是"这条断言是否为真、是否新鲜、是否被授权"，没有一项约束"这条断言里可以写什么"。</w:t>
      </w:r>
    </w:p>
    <w:p>
      <w:pPr>
        <w:ind w:firstLine="480"/>
      </w:pPr>
      <w:r>
        <w:rPr>
          <w:rFonts w:ascii="SimSun" w:hAnsi="SimSun" w:eastAsia="SimSun"/>
          <w:b w:val="0"/>
          <w:sz w:val="24"/>
        </w:rPr>
        <w:t>来源检查、时效检查、承诺查重与绑定，回答的都是关于断言来历的问题。一条断言完全可以通过全部这些检查，同时在内容上写入一项关于某个主体的合规判定，或者写入一项估值、价格、收益、信用或适当性结论。这类内容与被断言的事实之间往往只隔一步推断，出具系统在组织内容时极易将其一并写入。</w:t>
      </w:r>
    </w:p>
    <w:p>
      <w:pPr>
        <w:ind w:firstLine="480"/>
      </w:pPr>
      <w:r>
        <w:rPr>
          <w:rFonts w:ascii="SimSun" w:hAnsi="SimSun" w:eastAsia="SimSun"/>
          <w:b w:val="0"/>
          <w:sz w:val="24"/>
        </w:rPr>
        <w:t>在有人工复核的流程中，这一步由复核人拦下。在无人值守的连续运行中没有复核人。而下游消费方是自动化的：它收到一条带有合规判定的经签名断言后，会把该判定当作可直接执行的依据，而不会去追问出具系统是否有资格作出该判定。出具系统由此在事实上越过了自身的职权范围，且这一越权是由内容本身携带的，与断言是否为真无关。 现有的来源与时效检查在结构上无法发现它，因为它们根本不检查内容。</w:t>
      </w:r>
    </w:p>
    <w:p>
      <w:pPr>
        <w:ind w:firstLine="480"/>
      </w:pPr>
      <w:r>
        <w:rPr>
          <w:rFonts w:ascii="SimSun" w:hAnsi="SimSun" w:eastAsia="SimSun"/>
          <w:b w:val="0"/>
          <w:sz w:val="24"/>
        </w:rPr>
        <w:t>缺陷二：做检查的校验器本身可能退化，而只喂正例的运行无法发现这种退化。</w:t>
      </w:r>
    </w:p>
    <w:p>
      <w:pPr>
        <w:ind w:firstLine="480"/>
      </w:pPr>
      <w:r>
        <w:rPr>
          <w:rFonts w:ascii="SimSun" w:hAnsi="SimSun" w:eastAsia="SimSun"/>
          <w:b w:val="0"/>
          <w:sz w:val="24"/>
        </w:rPr>
        <w:t>即便为出具系统配置了一个检查内容的校验器，该校验器仍可能因配置错误、依赖缺失、代码回退或异常吞并等原因，退化为一个恒返回"通过"的实现。在正常运行中，绝大多数待出具内容本来就是合规的，因此喂给校验器的几乎全是正例。一个恒返回"通过"的校验器与一个正确的校验器，在只喂正例的条件下的返回结果完全相同，二者不可区分。 退化因此可以长期潜伏，直到第一条本应被拒绝的内容到来时才显现，而那时该内容已经被签名发出。</w:t>
      </w:r>
    </w:p>
    <w:p>
      <w:pPr>
        <w:ind w:firstLine="480"/>
      </w:pPr>
      <w:r>
        <w:rPr>
          <w:rFonts w:ascii="SimSun" w:hAnsi="SimSun" w:eastAsia="SimSun"/>
          <w:b w:val="0"/>
          <w:sz w:val="24"/>
        </w:rPr>
        <w:t>现有的已知答案测试不能解决这个问题。已知答案测试所检的是密码运算实现是否正确，其判定方式是把运算结果与一个预置的固定输出作等值比对——这依赖于"同一输入必有唯一正确输出"。而内容边界校验器的判定对象是内容的语义属性：某一字段是否构成一项关于主体的合规判定、某一表述是否构成一项估值结论。这类判定不存在可供等值比对的唯一固定输出，因此已知答案测试的方法在此不可用，必须改用另一种验证方式。</w:t>
      </w:r>
    </w:p>
    <w:p>
      <w:pPr>
        <w:ind w:firstLine="480"/>
      </w:pPr>
      <w:r>
        <w:rPr>
          <w:rFonts w:ascii="SimSun" w:hAnsi="SimSun" w:eastAsia="SimSun"/>
          <w:b w:val="0"/>
          <w:sz w:val="24"/>
        </w:rPr>
        <w:t>缺陷三：现有自检的时机与失效粒度都不适配。</w:t>
      </w:r>
    </w:p>
    <w:p>
      <w:pPr>
        <w:ind w:firstLine="480"/>
      </w:pPr>
      <w:r>
        <w:rPr>
          <w:rFonts w:ascii="SimSun" w:hAnsi="SimSun" w:eastAsia="SimSun"/>
          <w:b w:val="0"/>
          <w:sz w:val="24"/>
        </w:rPr>
        <w:t>已知答案测试在模块上电或首次使用时执行一次，其后模块长期运行。若校验器在运行期发生退化，上电自检已经过去，下一次自检要等到下一次上电。对一个连续运行的出具系统而言，这个间隔可以长达数月。</w:t>
      </w:r>
    </w:p>
    <w:p>
      <w:pPr>
        <w:ind w:firstLine="480"/>
      </w:pPr>
      <w:r>
        <w:rPr>
          <w:rFonts w:ascii="SimSun" w:hAnsi="SimSun" w:eastAsia="SimSun"/>
          <w:b w:val="0"/>
          <w:sz w:val="24"/>
        </w:rPr>
        <w:t>同时，已知答案测试失败使整个模块进入错误状态并停止输出。对密码模块而言这是恰当的，因为其运算能力已整体不可信；但对出具系统而言，一个内容边界校验器失效并不意味着来源检查、时效检查也已失效，把整个系统停机是过度反应，会使本可正常完成的其余出具一并中断，在实践中反而会促使运维人员绕过该自检。</w:t>
      </w:r>
    </w:p>
    <w:p>
      <w:pPr>
        <w:ind w:firstLine="480"/>
      </w:pPr>
      <w:r>
        <w:rPr>
          <w:rFonts w:ascii="SimSun" w:hAnsi="SimSun" w:eastAsia="SimSun"/>
          <w:b w:val="0"/>
          <w:sz w:val="24"/>
        </w:rPr>
        <w:t>缺陷四：拒绝的表现方式若处理不当，拒绝本身会成为可被利用的凭证。</w:t>
      </w:r>
    </w:p>
    <w:p>
      <w:pPr>
        <w:ind w:firstLine="480"/>
      </w:pPr>
      <w:r>
        <w:rPr>
          <w:rFonts w:ascii="SimSun" w:hAnsi="SimSun" w:eastAsia="SimSun"/>
          <w:b w:val="0"/>
          <w:sz w:val="24"/>
        </w:rPr>
        <w:t>出具系统在拒绝一次出具时，若返回一个表示"降级""部分成立"或"失败原因"的经签名结果，则该结果同样带有本系统的签名。自动化的下游消费方在收到这样一个经签名的对象后，完全可能将其解释为一份可继续使用的材料而选择另一条执行路径，从而使拒绝形同虚设。此外，若失败原因中包含了链外数据源的记录原文片段，则拒绝路径反而成为原文的泄露通道。</w:t>
      </w:r>
    </w:p>
    <w:p>
      <w:pPr>
        <w:ind w:firstLine="480"/>
      </w:pPr>
      <w:r>
        <w:rPr>
          <w:rFonts w:ascii="SimSun" w:hAnsi="SimSun" w:eastAsia="SimSun"/>
          <w:b w:val="0"/>
          <w:sz w:val="24"/>
        </w:rPr>
        <w:t>缺陷五：现有的检测器测试是周期性的、离线的、整体的，与被守护的那一次输出之间存在时间差与粒度差。</w:t>
      </w:r>
    </w:p>
    <w:p>
      <w:pPr>
        <w:ind w:firstLine="480"/>
      </w:pPr>
      <w:r>
        <w:rPr>
          <w:rFonts w:ascii="SimSun" w:hAnsi="SimSun" w:eastAsia="SimSun"/>
          <w:b w:val="0"/>
          <w:sz w:val="24"/>
        </w:rPr>
        <w:t>数据防泄漏领域以样本文件验证检测配置，其通行做法是按季度对全部生产策略作一次全量回归；变异测试与形式化验证同样是在设计期或发布期离线进行。这三者都不发生在被守护的那一次输出的运行过程之内，因而与缺陷三所述的启动时自检具有同样的时间差问题。</w:t>
      </w:r>
    </w:p>
    <w:p>
      <w:pPr>
        <w:ind w:firstLine="480"/>
      </w:pPr>
      <w:r>
        <w:rPr>
          <w:rFonts w:ascii="SimSun" w:hAnsi="SimSun" w:eastAsia="SimSun"/>
          <w:b w:val="0"/>
          <w:sz w:val="24"/>
        </w:rPr>
        <w:t>更重要的是粒度差。上述测试的结论是"这一份检测配置整体是否准确"或"这个分类器整体是否存在安全漏洞"，其结果是一份运维报告或一次告警，而不是对某一次具体输出的放行或拦截。当检测配置中包含多个类别时，其中一个类别的判别退化，现有做法要么使整份配置被判定为不合格，要么在报告中列出而不影响任何一次实际输出。二者都不是本发明所需要的：本发明需要的是退化的那一个类别所守护的这一次出具被终止，而未退化的其余类别的检测结论仍然成立并继续生效。</w:t>
      </w:r>
    </w:p>
    <w:p>
      <w:pPr>
        <w:ind w:firstLine="480"/>
      </w:pPr>
      <w:r>
        <w:rPr>
          <w:rFonts w:ascii="SimSun" w:hAnsi="SimSun" w:eastAsia="SimSun"/>
          <w:b w:val="0"/>
          <w:sz w:val="24"/>
        </w:rPr>
        <w:t>缺陷六：类别与其验证材料相互脱离，新增类别时验证不随之扩展。</w:t>
      </w:r>
    </w:p>
    <w:p>
      <w:pPr>
        <w:ind w:firstLine="480"/>
      </w:pPr>
      <w:r>
        <w:rPr>
          <w:rFonts w:ascii="SimSun" w:hAnsi="SimSun" w:eastAsia="SimSun"/>
          <w:b w:val="0"/>
          <w:sz w:val="24"/>
        </w:rPr>
        <w:t>现有的禁止类别配置与用于验证检测器的样本材料分处两地：类别在策略配置中维护，样本在测试资产中维护。二者由不同的人在不同的时间维护，因而新增一个禁止类别时，与之配套的验证样本极易被遗漏。一个没有配套验证样本的类别，其判别是否真的生效无从得知——它可能自配置之日起就从未拦下过任何内容，而系统对此没有任何指示。</w:t>
      </w:r>
    </w:p>
    <w:p>
      <w:pPr>
        <w:ind w:firstLine="480"/>
      </w:pPr>
      <w:r>
        <w:rPr>
          <w:rFonts w:ascii="SimSun" w:hAnsi="SimSun" w:eastAsia="SimSun"/>
          <w:b w:val="0"/>
          <w:sz w:val="24"/>
        </w:rPr>
        <w:t>综上，现有技术缺少这样一种机制：在无人值守的连续运行中，于签名调用发生之前，既对待出具内容本身施加可由机器判定的边界，又在同一次出具的运行过程之内、以与每一个类别同处一处存储的验证材料，逐类别地验证施加该边界的判别当次确实有效，并使失效的影响范围恰好等于该失效类别所守护的这一次出具。</w:t>
      </w:r>
    </w:p>
    <w:p>
      <w:r>
        <w:rPr>
          <w:rFonts w:ascii="SimHei" w:hAnsi="SimHei" w:eastAsia="SimHei"/>
          <w:b/>
          <w:sz w:val="24"/>
        </w:rPr>
        <w:t>发明内容</w:t>
      </w:r>
    </w:p>
    <w:p>
      <w:r>
        <w:rPr>
          <w:rFonts w:ascii="SimHei" w:hAnsi="SimHei" w:eastAsia="SimHei"/>
          <w:b/>
          <w:sz w:val="24"/>
        </w:rPr>
        <w:t>本发明所要解决的技术问题</w:t>
      </w:r>
    </w:p>
    <w:p>
      <w:pPr>
        <w:ind w:firstLine="480"/>
      </w:pPr>
      <w:r>
        <w:rPr>
          <w:rFonts w:ascii="SimSun" w:hAnsi="SimSun" w:eastAsia="SimSun"/>
          <w:b w:val="0"/>
          <w:sz w:val="24"/>
        </w:rPr>
        <w:t>针对上述缺陷，本发明所要解决的技术问题是：如何使一个在无人工介入条件下连续运行的出具系统，在每一次调用签名之前，同时满足下述两项要求——</w:t>
      </w:r>
    </w:p>
    <w:p>
      <w:pPr>
        <w:ind w:firstLine="480"/>
      </w:pPr>
      <w:r>
        <w:rPr>
          <w:rFonts w:ascii="SimSun" w:hAnsi="SimSun" w:eastAsia="SimSun"/>
          <w:b w:val="0"/>
          <w:sz w:val="24"/>
        </w:rPr>
        <w:t>其一，对待出具内容的语义属性施加可由机器判定的边界，使含有禁止结论类别的内容、以及含有链外数据源记录原文的内容，在签名之前即被拦下；</w:t>
      </w:r>
    </w:p>
    <w:p>
      <w:pPr>
        <w:ind w:firstLine="480"/>
      </w:pPr>
      <w:r>
        <w:rPr>
          <w:rFonts w:ascii="SimSun" w:hAnsi="SimSun" w:eastAsia="SimSun"/>
          <w:b w:val="0"/>
          <w:sz w:val="24"/>
        </w:rPr>
        <w:t>其二，使施加该边界的每一个校验器，在本次出具的运行过程之内被证明当次有效，从而使校验器的退化在当次即被发现，而不是等到下一次上电，也不至于因一个校验器失效而使整个系统停止工作。</w:t>
      </w:r>
    </w:p>
    <w:p>
      <w:r>
        <w:rPr>
          <w:rFonts w:ascii="SimHei" w:hAnsi="SimHei" w:eastAsia="SimHei"/>
          <w:b/>
          <w:sz w:val="24"/>
        </w:rPr>
        <w:t>技术方案</w:t>
      </w:r>
    </w:p>
    <w:p>
      <w:pPr>
        <w:ind w:firstLine="480"/>
      </w:pPr>
      <w:r>
        <w:rPr>
          <w:rFonts w:ascii="SimSun" w:hAnsi="SimSun" w:eastAsia="SimSun"/>
          <w:b w:val="0"/>
          <w:sz w:val="24"/>
        </w:rPr>
        <w:t>为解决上述技术问题，本发明提供一种链外数据源事实的无人值守出具系统，包括数据源准入单元、新鲜性判定单元、内容边界校验单元、校验器有效性验证单元、签名出具单元以及出具留痕单元。</w:t>
      </w:r>
    </w:p>
    <w:p>
      <w:pPr>
        <w:ind w:firstLine="480"/>
      </w:pPr>
      <w:r>
        <w:rPr>
          <w:rFonts w:ascii="SimSun" w:hAnsi="SimSun" w:eastAsia="SimSun"/>
          <w:b w:val="0"/>
          <w:sz w:val="24"/>
        </w:rPr>
        <w:t>所述数据源准入单元用于接收待出具的事实数据及其来源标识，向来源注册表查询该来源标识的登记状态与撤销状态，查询结果为已登记且未被撤销的，将所述待出具的事实数据送至新鲜性判定单元；查询结果为未登记或已被撤销的，终止本次出具。</w:t>
      </w:r>
    </w:p>
    <w:p>
      <w:pPr>
        <w:ind w:firstLine="480"/>
      </w:pPr>
      <w:r>
        <w:rPr>
          <w:rFonts w:ascii="SimSun" w:hAnsi="SimSun" w:eastAsia="SimSun"/>
          <w:b w:val="0"/>
          <w:sz w:val="24"/>
        </w:rPr>
        <w:t>所述新鲜性判定单元用于获取所述来源标识所声明的有效期，将所述待出具的事实数据的取得时刻与当前时刻之差和所述有效期进行比对，所述差值大于所述有效期的终止本次出具；不大于的，对本次待出具的内容计算内容承诺，将所述内容承诺与已出具承诺集合查重，已存在的终止本次出具，不存在的将所述内容承诺与本次出具所许可的效果相绑定，并送至内容边界校验单元。</w:t>
      </w:r>
    </w:p>
    <w:p>
      <w:pPr>
        <w:ind w:firstLine="480"/>
      </w:pPr>
      <w:r>
        <w:rPr>
          <w:rFonts w:ascii="SimSun" w:hAnsi="SimSun" w:eastAsia="SimSun"/>
          <w:b w:val="0"/>
          <w:sz w:val="24"/>
        </w:rPr>
        <w:t>所述内容边界校验单元设有至少两个校验器，分别为类别校验器与必需性校验器。所述类别校验器按预设的禁止结论类别集合，对待出具内容的结构化字段集合逐项进行归类检测，所述禁止结论类别集合至少包括关于主体的合规判定类别，以及估值、价格、收益、信用与适当性结论类别。所述必需性校验器按预设的必需性标准对待出具内容进行必需性检测，仅保留验证所述事实数据所必需的承诺与引用，剔除所述链外数据源的记录原文。二者的判定对象均为待出具内容的语义属性，所述判定不以将运算结果与预置的固定输出进行等值比对的方式作出。检测结果为归入任一禁止结论类别、或含有所述记录原文的，终止本次出具；均不含有的，送至校验器有效性验证单元。</w:t>
      </w:r>
    </w:p>
    <w:p>
      <w:pPr>
        <w:ind w:firstLine="480"/>
      </w:pPr>
      <w:r>
        <w:rPr>
          <w:rFonts w:ascii="SimSun" w:hAnsi="SimSun" w:eastAsia="SimSun"/>
          <w:b w:val="0"/>
          <w:sz w:val="24"/>
        </w:rPr>
        <w:t>所述校验器有效性验证单元用于为所述内容边界校验单元中的每一校验器配置一个规范反例，所述规范反例为该校验器按其判定标准应当拒绝的输入；并在本次出具的运行过程之内、而非在所述系统的启动过程中，以所述规范反例调用对应的校验器并采集其返回结果，将所述返回结果与预期的拒绝结果比对，不一致的将该校验器标记为失效，并终止由该失效校验器所守护的本次出具，且不终止所述系统的其余出具；一致的，送至签名出具单元。</w:t>
      </w:r>
    </w:p>
    <w:p>
      <w:pPr>
        <w:ind w:firstLine="480"/>
      </w:pPr>
      <w:r>
        <w:rPr>
          <w:rFonts w:ascii="SimSun" w:hAnsi="SimSun" w:eastAsia="SimSun"/>
          <w:b w:val="0"/>
          <w:sz w:val="24"/>
        </w:rPr>
        <w:t>所述签名出具单元用于在前述四个单元的判定结果均为通过时，以所述系统的私钥对所述内容承诺签名并对外发送。</w:t>
      </w:r>
    </w:p>
    <w:p>
      <w:pPr>
        <w:ind w:firstLine="480"/>
      </w:pPr>
      <w:r>
        <w:rPr>
          <w:rFonts w:ascii="SimSun" w:hAnsi="SimSun" w:eastAsia="SimSun"/>
          <w:b w:val="0"/>
          <w:sz w:val="24"/>
        </w:rPr>
        <w:t>所述出具留痕单元用于记录本次出具中各单元的判定结果、所述规范反例的调用结果以及所采用的校验器的代码版本标识，并与所述内容承诺相关联后存入留痕存储。</w:t>
      </w:r>
    </w:p>
    <w:p>
      <w:pPr>
        <w:ind w:firstLine="480"/>
      </w:pPr>
      <w:r>
        <w:rPr>
          <w:rFonts w:ascii="SimSun" w:hAnsi="SimSun" w:eastAsia="SimSun"/>
          <w:b w:val="0"/>
          <w:sz w:val="24"/>
        </w:rPr>
        <w:t>在一种实施方式中，所述签名出具单元在任一判定结果为不通过时不调用签名，且不生成表示降级、部分成立或失败原因的经签名结果，向调用方返回的信息中不含所述系统的私钥所生成的任何签名值，亦不含所述链外数据源的记录原文。</w:t>
      </w:r>
    </w:p>
    <w:p>
      <w:pPr>
        <w:ind w:firstLine="480"/>
      </w:pPr>
      <w:r>
        <w:rPr>
          <w:rFonts w:ascii="SimSun" w:hAnsi="SimSun" w:eastAsia="SimSun"/>
          <w:b w:val="0"/>
          <w:sz w:val="24"/>
        </w:rPr>
        <w:t>在一种实施方式中，所述系统还包括变更授权单元，用于在本次出具将改变所述系统对外承诺的状态时，获取绑定于本次内容承诺的批准记录，将其中的批准主体数量与预设的批准主体数量下限比对，并对各批准主体的标识作互异性检测，不满足的终止本次出具。</w:t>
      </w:r>
    </w:p>
    <w:p>
      <w:pPr>
        <w:ind w:firstLine="480"/>
      </w:pPr>
      <w:r>
        <w:rPr>
          <w:rFonts w:ascii="SimSun" w:hAnsi="SimSun" w:eastAsia="SimSun"/>
          <w:b w:val="0"/>
          <w:sz w:val="24"/>
        </w:rPr>
        <w:t>在一种实施方式中，所述校验器有效性验证单元还为每一校验器配置一个规范正例，以该规范正例调用对应校验器，返回结果不为通过的同样标记为失效。</w:t>
      </w:r>
    </w:p>
    <w:p>
      <w:r>
        <w:rPr>
          <w:rFonts w:ascii="SimHei" w:hAnsi="SimHei" w:eastAsia="SimHei"/>
          <w:b/>
          <w:sz w:val="24"/>
        </w:rPr>
        <w:t>有益效果</w:t>
      </w:r>
    </w:p>
    <w:p>
      <w:pPr>
        <w:ind w:firstLine="480"/>
      </w:pPr>
      <w:r>
        <w:rPr>
          <w:rFonts w:ascii="SimSun" w:hAnsi="SimSun" w:eastAsia="SimSun"/>
          <w:b w:val="0"/>
          <w:sz w:val="24"/>
        </w:rPr>
        <w:t>与现有技术相比，本发明具有下述有益效果。</w:t>
      </w:r>
    </w:p>
    <w:p>
      <w:pPr>
        <w:ind w:firstLine="480"/>
      </w:pPr>
      <w:r>
        <w:rPr>
          <w:rFonts w:ascii="SimSun" w:hAnsi="SimSun" w:eastAsia="SimSun"/>
          <w:b w:val="0"/>
          <w:sz w:val="24"/>
        </w:rPr>
        <w:t>其一，把对内容的约束由出具之后的人工复核前移为出具之前的机器判定。 待出具内容中是否含有关于主体的合规判定，或估值、价格、收益、信用、适当性结论，由类别校验器按可配置的类别表对结构化字段集合逐项归类得出，其结论直接决定签名出具单元是否被调用。由此，即便出具系统在无人值守状态下连续运行，越出职权范围的内容也不会被签名发出，而不必依赖任何人工环节。</w:t>
      </w:r>
    </w:p>
    <w:p>
      <w:pPr>
        <w:ind w:firstLine="480"/>
      </w:pPr>
      <w:r>
        <w:rPr>
          <w:rFonts w:ascii="SimSun" w:hAnsi="SimSun" w:eastAsia="SimSun"/>
          <w:b w:val="0"/>
          <w:sz w:val="24"/>
        </w:rPr>
        <w:t>其二，把校验器的退化由"下次上电才发现"提前为"当次即发现"。 规范反例是该校验器按其判定标准应当拒绝的输入，一个恒返回"通过"的退化实现在收到规范反例时会返回"通过"，与预期的拒绝结果不一致，因而当场被标记为失效。由于该调用发生在本次出具的运行过程之内，退化的暴露与被守护内容的出具处在同一次运行中，不存在时间差。这一验证方式不依赖"同一输入必有唯一正确输出"，因而适用于判定对象为语义属性、无法作等值比对的校验器，弥补了已知答案测试在此类校验器上的不可用。</w:t>
      </w:r>
    </w:p>
    <w:p>
      <w:pPr>
        <w:ind w:firstLine="480"/>
      </w:pPr>
      <w:r>
        <w:rPr>
          <w:rFonts w:ascii="SimSun" w:hAnsi="SimSun" w:eastAsia="SimSun"/>
          <w:b w:val="0"/>
          <w:sz w:val="24"/>
        </w:rPr>
        <w:t>其三，把失效的影响范围收缩到单次出具。 一个校验器被标记为失效，仅终止由它所守护的这一次出具，系统的其余出具不受影响。相比整机进入错误状态的做法，本方案在保证被守护路径确实被关闭的同时，维持了系统的整体可用性，从而不会因为可用性压力而促使运维人员绕过该验证。</w:t>
      </w:r>
    </w:p>
    <w:p>
      <w:pPr>
        <w:ind w:firstLine="480"/>
      </w:pPr>
      <w:r>
        <w:rPr>
          <w:rFonts w:ascii="SimSun" w:hAnsi="SimSun" w:eastAsia="SimSun"/>
          <w:b w:val="0"/>
          <w:sz w:val="24"/>
        </w:rPr>
        <w:t>其四，使拒绝不产生可被下游继续使用的材料。 拒绝的表现是不调用签名，返回信息中不含本系统私钥所生成的任何签名值，因而自动化的下游消费方不会得到一个带签名的"降级结果"并据以改道执行；同时返回信息中不含链外数据源的记录原文，使拒绝路径不成为原文的泄露通道。</w:t>
      </w:r>
    </w:p>
    <w:p>
      <w:pPr>
        <w:ind w:firstLine="480"/>
      </w:pPr>
      <w:r>
        <w:rPr>
          <w:rFonts w:ascii="SimSun" w:hAnsi="SimSun" w:eastAsia="SimSun"/>
          <w:b w:val="0"/>
          <w:sz w:val="24"/>
        </w:rPr>
        <w:t>其五，使每一次出具可回溯到当次的校验器状态。 出具留痕单元将各单元判定结果、规范反例调用结果与校验器代码版本标识同本次内容承诺相关联后存入只增的留痕存储，事后可就任意一条已出具的断言，查明当时哪些校验器在场、其规范反例是否被调用、调用结果如何、所用代码为哪一版本。</w:t>
      </w:r>
    </w:p>
    <w:p>
      <w:r>
        <w:rPr>
          <w:rFonts w:ascii="SimHei" w:hAnsi="SimHei" w:eastAsia="SimHei"/>
          <w:b/>
          <w:sz w:val="24"/>
        </w:rPr>
        <w:t>附图说明</w:t>
      </w:r>
    </w:p>
    <w:p>
      <w:pPr>
        <w:ind w:firstLine="480"/>
      </w:pPr>
      <w:r>
        <w:rPr>
          <w:rFonts w:ascii="SimSun" w:hAnsi="SimSun" w:eastAsia="SimSun"/>
          <w:b w:val="0"/>
          <w:sz w:val="24"/>
        </w:rPr>
        <w:t>图 1 为本发明实施例提供的无人值守出具系统的结构示意图；</w:t>
      </w:r>
    </w:p>
    <w:p>
      <w:pPr>
        <w:ind w:firstLine="480"/>
      </w:pPr>
      <w:r>
        <w:rPr>
          <w:rFonts w:ascii="SimSun" w:hAnsi="SimSun" w:eastAsia="SimSun"/>
          <w:b w:val="0"/>
          <w:sz w:val="24"/>
        </w:rPr>
        <w:t>图 2 为本发明实施例提供的无人值守出具方法的流程图；</w:t>
      </w:r>
    </w:p>
    <w:p>
      <w:pPr>
        <w:ind w:firstLine="480"/>
      </w:pPr>
      <w:r>
        <w:rPr>
          <w:rFonts w:ascii="SimSun" w:hAnsi="SimSun" w:eastAsia="SimSun"/>
          <w:b w:val="0"/>
          <w:sz w:val="24"/>
        </w:rPr>
        <w:t>图 3 为本发明实施例中校验器有效性验证单元的工作原理示意图，其中示出规范反例调用与失效判定的过程，并示出本发明的运行内验证与现有的启动时自检在时序上的区别。</w:t>
      </w:r>
    </w:p>
    <w:p>
      <w:pPr>
        <w:ind w:firstLine="480"/>
      </w:pPr>
      <w:r>
        <w:rPr>
          <w:rFonts w:ascii="SimSun" w:hAnsi="SimSun" w:eastAsia="SimSun"/>
          <w:b w:val="0"/>
          <w:sz w:val="24"/>
        </w:rPr>
        <w:t>摘要附图为图 1。</w:t>
      </w:r>
    </w:p>
    <w:p>
      <w:r>
        <w:rPr>
          <w:rFonts w:ascii="SimHei" w:hAnsi="SimHei" w:eastAsia="SimHei"/>
          <w:b/>
          <w:sz w:val="24"/>
        </w:rPr>
        <w:t>具体实施方式</w:t>
      </w:r>
    </w:p>
    <w:p>
      <w:pPr>
        <w:ind w:firstLine="480"/>
      </w:pPr>
      <w:r>
        <w:rPr>
          <w:rFonts w:ascii="SimSun" w:hAnsi="SimSun" w:eastAsia="SimSun"/>
          <w:b w:val="0"/>
          <w:sz w:val="24"/>
        </w:rPr>
        <w:t>下面结合附图对本发明的实施例作进一步说明。所描述的实施例仅用于说明本发明，而非用于限制本发明的保护范围。</w:t>
      </w:r>
    </w:p>
    <w:p>
      <w:r>
        <w:rPr>
          <w:rFonts w:ascii="SimHei" w:hAnsi="SimHei" w:eastAsia="SimHei"/>
          <w:b/>
          <w:sz w:val="24"/>
        </w:rPr>
        <w:t>一、系统整体结构</w:t>
      </w:r>
    </w:p>
    <w:p>
      <w:pPr>
        <w:ind w:firstLine="480"/>
      </w:pPr>
      <w:r>
        <w:rPr>
          <w:rFonts w:ascii="SimSun" w:hAnsi="SimSun" w:eastAsia="SimSun"/>
          <w:b w:val="0"/>
          <w:sz w:val="24"/>
        </w:rPr>
        <w:t>参见图 1，本实施例的无人值守出具系统 100 位于链外数据源 200 与消费方 300 之间。</w:t>
      </w:r>
    </w:p>
    <w:p>
      <w:pPr>
        <w:ind w:firstLine="480"/>
      </w:pPr>
      <w:r>
        <w:rPr>
          <w:rFonts w:ascii="SimSun" w:hAnsi="SimSun" w:eastAsia="SimSun"/>
          <w:b w:val="0"/>
          <w:sz w:val="24"/>
        </w:rPr>
        <w:t>链外数据源 200 为一个登记类数据源，其记录内容依约定或依法不得公开。在一个具体场景中，该数据源为某类受保护对象的登记系统，其中登记有对象的标识、所属主体的身份信息、状态变更的时间与依据等内容，这些内容整体不对外公开，但其中"某标识所对应的对象在某时刻处于某状态"这一事实需要被外部系统采信。出具系统 100 持有对链外数据源 200 的读取权限。</w:t>
      </w:r>
    </w:p>
    <w:p>
      <w:pPr>
        <w:ind w:firstLine="480"/>
      </w:pPr>
      <w:r>
        <w:rPr>
          <w:rFonts w:ascii="SimSun" w:hAnsi="SimSun" w:eastAsia="SimSun"/>
          <w:b w:val="0"/>
          <w:sz w:val="24"/>
        </w:rPr>
        <w:t>消费方 300 为自动化系统，其在收到一条经签名的断言后，按断言的内容自行选择后续执行路径，中间没有人工判断环节。</w:t>
      </w:r>
    </w:p>
    <w:p>
      <w:pPr>
        <w:ind w:firstLine="480"/>
      </w:pPr>
      <w:r>
        <w:rPr>
          <w:rFonts w:ascii="SimSun" w:hAnsi="SimSun" w:eastAsia="SimSun"/>
          <w:b w:val="0"/>
          <w:sz w:val="24"/>
        </w:rPr>
        <w:t>出具系统 100 包括数据源准入单元 10、新鲜性判定单元 20、内容边界校验单元 30、校验器有效性验证单元 40、签名出具单元 50、出具留痕单元 60，以及可选的变更授权单元 70。来源注册表 400 与留痕存储 500 分别为单元 10 与单元 60 所使用。</w:t>
      </w:r>
    </w:p>
    <w:p>
      <w:pPr>
        <w:ind w:firstLine="480"/>
      </w:pPr>
      <w:r>
        <w:rPr>
          <w:rFonts w:ascii="SimSun" w:hAnsi="SimSun" w:eastAsia="SimSun"/>
          <w:b w:val="0"/>
          <w:sz w:val="24"/>
        </w:rPr>
        <w:t>单元 10 至单元 40 按固定次序被依次调用，系统不提供绕过其中任一单元而到达签名出具单元 50 的调用路径。这一点在实现上通过下述方式保证：签名出具单元 50 的调用入口不对外暴露，仅由校验器有效性验证单元 40 在其比对结果为一致时调用；而单元 40 的入口仅由单元 30 调用，依此类推。任何新增的出具路径若要到达签名，必须重新经过这一条链。</w:t>
      </w:r>
    </w:p>
    <w:p>
      <w:r>
        <w:rPr>
          <w:rFonts w:ascii="SimHei" w:hAnsi="SimHei" w:eastAsia="SimHei"/>
          <w:b/>
          <w:sz w:val="24"/>
        </w:rPr>
        <w:t>二、数据源准入单元 10</w:t>
      </w:r>
    </w:p>
    <w:p>
      <w:pPr>
        <w:ind w:firstLine="480"/>
      </w:pPr>
      <w:r>
        <w:rPr>
          <w:rFonts w:ascii="SimSun" w:hAnsi="SimSun" w:eastAsia="SimSun"/>
          <w:b w:val="0"/>
          <w:sz w:val="24"/>
        </w:rPr>
        <w:t>单元 10 接收待出具的事实数据及其来源标识。事实数据至少包含被断言对象的标识、被断言的状态或属性、以及该事实的取得时刻；来源标识为链外数据源 200 在来源注册表 400 中的唯一标识。</w:t>
      </w:r>
    </w:p>
    <w:p>
      <w:pPr>
        <w:ind w:firstLine="480"/>
      </w:pPr>
      <w:r>
        <w:rPr>
          <w:rFonts w:ascii="SimSun" w:hAnsi="SimSun" w:eastAsia="SimSun"/>
          <w:b w:val="0"/>
          <w:sz w:val="24"/>
        </w:rPr>
        <w:t>单元 10 以该来源标识向来源注册表 400 发起查询，取回该标识的登记状态与撤销状态。仅当登记状态为已登记、且撤销状态为未被撤销时，单元 10 将事实数据送至单元 20；否则终止本次出具。</w:t>
      </w:r>
    </w:p>
    <w:p>
      <w:pPr>
        <w:ind w:firstLine="480"/>
      </w:pPr>
      <w:r>
        <w:rPr>
          <w:rFonts w:ascii="SimSun" w:hAnsi="SimSun" w:eastAsia="SimSun"/>
          <w:b w:val="0"/>
          <w:sz w:val="24"/>
        </w:rPr>
        <w:t>来源注册表 400 可以实现为一份由运维方维护的登记表，也可以实现为部署在链上的合约存储。撤销状态的引入使得一个数据源在被发现不再可信时可以被立即摘除，而不必修改出具系统的代码。</w:t>
      </w:r>
    </w:p>
    <w:p>
      <w:r>
        <w:rPr>
          <w:rFonts w:ascii="SimHei" w:hAnsi="SimHei" w:eastAsia="SimHei"/>
          <w:b/>
          <w:sz w:val="24"/>
        </w:rPr>
        <w:t>三、新鲜性判定单元 20</w:t>
      </w:r>
    </w:p>
    <w:p>
      <w:pPr>
        <w:ind w:firstLine="480"/>
      </w:pPr>
      <w:r>
        <w:rPr>
          <w:rFonts w:ascii="SimSun" w:hAnsi="SimSun" w:eastAsia="SimSun"/>
          <w:b w:val="0"/>
          <w:sz w:val="24"/>
        </w:rPr>
        <w:t>单元 20 自来源注册表 400 取得该来源标识所声明的有效期。该有效期由数据源自身声明，反映其记录更新的节奏：更新频繁的数据源声明较短的有效期，更新缓慢的数据源可以声明较长的有效期。</w:t>
      </w:r>
    </w:p>
    <w:p>
      <w:pPr>
        <w:ind w:firstLine="480"/>
      </w:pPr>
      <w:r>
        <w:rPr>
          <w:rFonts w:ascii="SimSun" w:hAnsi="SimSun" w:eastAsia="SimSun"/>
          <w:b w:val="0"/>
          <w:sz w:val="24"/>
        </w:rPr>
        <w:t>单元 20 计算事实数据的取得时刻与当前时刻之差，与该有效期比对。差值大于有效期的，说明该事实已可能过时，终止本次出具。</w:t>
      </w:r>
    </w:p>
    <w:p>
      <w:pPr>
        <w:ind w:firstLine="480"/>
      </w:pPr>
      <w:r>
        <w:rPr>
          <w:rFonts w:ascii="SimSun" w:hAnsi="SimSun" w:eastAsia="SimSun"/>
          <w:b w:val="0"/>
          <w:sz w:val="24"/>
        </w:rPr>
        <w:t>比对通过后，单元 20 对本次待出具的内容按规范化编码计算内容承诺。该内容承诺覆盖被断言对象的标识、被断言的状态或属性、取得时刻，以及本次出具所许可的效果标识。将本次出具所许可的效果标识纳入内容承诺的计算范围，即构成内容承诺与该效果之间的绑定：同一条事实若被用于另一种效果，其内容承诺不同，不能复用既有的签名。</w:t>
      </w:r>
    </w:p>
    <w:p>
      <w:pPr>
        <w:ind w:firstLine="480"/>
      </w:pPr>
      <w:r>
        <w:rPr>
          <w:rFonts w:ascii="SimSun" w:hAnsi="SimSun" w:eastAsia="SimSun"/>
          <w:b w:val="0"/>
          <w:sz w:val="24"/>
        </w:rPr>
        <w:t>单元 20 随后将该内容承诺与已出具承诺集合查重。已存在的，说明本次请求是一次重放，终止本次出具；不存在的，将该内容承诺送至单元 30。</w:t>
      </w:r>
    </w:p>
    <w:p>
      <w:r>
        <w:rPr>
          <w:rFonts w:ascii="SimHei" w:hAnsi="SimHei" w:eastAsia="SimHei"/>
          <w:b/>
          <w:sz w:val="24"/>
        </w:rPr>
        <w:t>四、内容边界校验单元 30</w:t>
      </w:r>
    </w:p>
    <w:p>
      <w:pPr>
        <w:ind w:firstLine="480"/>
      </w:pPr>
      <w:r>
        <w:rPr>
          <w:rFonts w:ascii="SimSun" w:hAnsi="SimSun" w:eastAsia="SimSun"/>
          <w:b w:val="0"/>
          <w:sz w:val="24"/>
        </w:rPr>
        <w:t>单元 30 是本发明的核心单元之一。它设有至少两个校验器：类别校验器 31 与必需性校验器 32。</w:t>
      </w:r>
    </w:p>
    <w:p>
      <w:r>
        <w:rPr>
          <w:rFonts w:ascii="SimHei" w:hAnsi="SimHei" w:eastAsia="SimHei"/>
          <w:b/>
          <w:sz w:val="24"/>
        </w:rPr>
        <w:t>4.1 禁止结论类别集合与类别表</w:t>
      </w:r>
    </w:p>
    <w:p>
      <w:pPr>
        <w:ind w:firstLine="480"/>
      </w:pPr>
      <w:r>
        <w:rPr>
          <w:rFonts w:ascii="SimSun" w:hAnsi="SimSun" w:eastAsia="SimSun"/>
          <w:b w:val="0"/>
          <w:sz w:val="24"/>
        </w:rPr>
        <w:t>类别校验器 31 按预设的禁止结论类别集合工作。该集合以可配置的类别表的形式存储，类别表的每一表项至少包含三项：类别标识、该类别的判别字段集合、该类别所对应的规范反例的引用。</w:t>
      </w:r>
    </w:p>
    <w:p>
      <w:pPr>
        <w:ind w:firstLine="480"/>
      </w:pPr>
      <w:r>
        <w:rPr>
          <w:rFonts w:ascii="SimSun" w:hAnsi="SimSun" w:eastAsia="SimSun"/>
          <w:b w:val="0"/>
          <w:sz w:val="24"/>
        </w:rPr>
        <w:t>在本实施例中，类别表至少包含下述表项：</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SimSun" w:hAnsi="SimSun" w:eastAsia="SimSun"/>
                <w:b w:val="0"/>
                <w:sz w:val="21"/>
              </w:rPr>
              <w:t>类别标识</w:t>
            </w:r>
          </w:p>
        </w:tc>
        <w:tc>
          <w:tcPr>
            <w:tcW w:type="dxa" w:w="3213"/>
          </w:tcPr>
          <w:p>
            <w:r>
              <w:rPr>
                <w:rFonts w:ascii="SimSun" w:hAnsi="SimSun" w:eastAsia="SimSun"/>
                <w:b w:val="0"/>
                <w:sz w:val="21"/>
              </w:rPr>
              <w:t>判别字段集合（示例）</w:t>
            </w:r>
          </w:p>
        </w:tc>
        <w:tc>
          <w:tcPr>
            <w:tcW w:type="dxa" w:w="3213"/>
          </w:tcPr>
          <w:p>
            <w:r>
              <w:rPr>
                <w:rFonts w:ascii="SimSun" w:hAnsi="SimSun" w:eastAsia="SimSun"/>
                <w:b w:val="0"/>
                <w:sz w:val="21"/>
              </w:rPr>
              <w:t>该表项所存的规范反例</w:t>
            </w:r>
          </w:p>
        </w:tc>
      </w:tr>
      <w:tr>
        <w:tc>
          <w:tcPr>
            <w:tcW w:type="dxa" w:w="3213"/>
          </w:tcPr>
          <w:p>
            <w:r>
              <w:rPr>
                <w:rFonts w:ascii="SimSun" w:hAnsi="SimSun" w:eastAsia="SimSun"/>
                <w:b w:val="0"/>
                <w:sz w:val="21"/>
              </w:rPr>
              <w:t>主体合规判定</w:t>
            </w:r>
          </w:p>
        </w:tc>
        <w:tc>
          <w:tcPr>
            <w:tcW w:type="dxa" w:w="3213"/>
          </w:tcPr>
          <w:p>
            <w:r>
              <w:rPr>
                <w:rFonts w:ascii="SimSun" w:hAnsi="SimSun" w:eastAsia="SimSun"/>
                <w:b w:val="0"/>
                <w:sz w:val="21"/>
              </w:rPr>
              <w:t>主体资格、准入结论、许可结论、违规认定、处罚结论</w:t>
            </w:r>
          </w:p>
        </w:tc>
        <w:tc>
          <w:tcPr>
            <w:tcW w:type="dxa" w:w="3213"/>
          </w:tcPr>
          <w:p>
            <w:r>
              <w:rPr>
                <w:rFonts w:ascii="SimSun" w:hAnsi="SimSun" w:eastAsia="SimSun"/>
                <w:b w:val="0"/>
                <w:sz w:val="21"/>
              </w:rPr>
              <w:t>含有一项「主体资格：符合」的构造内容</w:t>
            </w:r>
          </w:p>
        </w:tc>
      </w:tr>
      <w:tr>
        <w:tc>
          <w:tcPr>
            <w:tcW w:type="dxa" w:w="3213"/>
          </w:tcPr>
          <w:p>
            <w:r>
              <w:rPr>
                <w:rFonts w:ascii="SimSun" w:hAnsi="SimSun" w:eastAsia="SimSun"/>
                <w:b w:val="0"/>
                <w:sz w:val="21"/>
              </w:rPr>
              <w:t>估值结论</w:t>
            </w:r>
          </w:p>
        </w:tc>
        <w:tc>
          <w:tcPr>
            <w:tcW w:type="dxa" w:w="3213"/>
          </w:tcPr>
          <w:p>
            <w:r>
              <w:rPr>
                <w:rFonts w:ascii="SimSun" w:hAnsi="SimSun" w:eastAsia="SimSun"/>
                <w:b w:val="0"/>
                <w:sz w:val="21"/>
              </w:rPr>
              <w:t>估计价值、评估价、参考价</w:t>
            </w:r>
          </w:p>
        </w:tc>
        <w:tc>
          <w:tcPr>
            <w:tcW w:type="dxa" w:w="3213"/>
          </w:tcPr>
          <w:p>
            <w:r>
              <w:rPr>
                <w:rFonts w:ascii="SimSun" w:hAnsi="SimSun" w:eastAsia="SimSun"/>
                <w:b w:val="0"/>
                <w:sz w:val="21"/>
              </w:rPr>
              <w:t>含有一项「估计价值：某数值」的构造内容</w:t>
            </w:r>
          </w:p>
        </w:tc>
      </w:tr>
      <w:tr>
        <w:tc>
          <w:tcPr>
            <w:tcW w:type="dxa" w:w="3213"/>
          </w:tcPr>
          <w:p>
            <w:r>
              <w:rPr>
                <w:rFonts w:ascii="SimSun" w:hAnsi="SimSun" w:eastAsia="SimSun"/>
                <w:b w:val="0"/>
                <w:sz w:val="21"/>
              </w:rPr>
              <w:t>价格结论</w:t>
            </w:r>
          </w:p>
        </w:tc>
        <w:tc>
          <w:tcPr>
            <w:tcW w:type="dxa" w:w="3213"/>
          </w:tcPr>
          <w:p>
            <w:r>
              <w:rPr>
                <w:rFonts w:ascii="SimSun" w:hAnsi="SimSun" w:eastAsia="SimSun"/>
                <w:b w:val="0"/>
                <w:sz w:val="21"/>
              </w:rPr>
              <w:t>成交价、报价、挂牌价</w:t>
            </w:r>
          </w:p>
        </w:tc>
        <w:tc>
          <w:tcPr>
            <w:tcW w:type="dxa" w:w="3213"/>
          </w:tcPr>
          <w:p>
            <w:r>
              <w:rPr>
                <w:rFonts w:ascii="SimSun" w:hAnsi="SimSun" w:eastAsia="SimSun"/>
                <w:b w:val="0"/>
                <w:sz w:val="21"/>
              </w:rPr>
              <w:t>含有一项「成交价：某数值」的构造内容</w:t>
            </w:r>
          </w:p>
        </w:tc>
      </w:tr>
      <w:tr>
        <w:tc>
          <w:tcPr>
            <w:tcW w:type="dxa" w:w="3213"/>
          </w:tcPr>
          <w:p>
            <w:r>
              <w:rPr>
                <w:rFonts w:ascii="SimSun" w:hAnsi="SimSun" w:eastAsia="SimSun"/>
                <w:b w:val="0"/>
                <w:sz w:val="21"/>
              </w:rPr>
              <w:t>收益结论</w:t>
            </w:r>
          </w:p>
        </w:tc>
        <w:tc>
          <w:tcPr>
            <w:tcW w:type="dxa" w:w="3213"/>
          </w:tcPr>
          <w:p>
            <w:r>
              <w:rPr>
                <w:rFonts w:ascii="SimSun" w:hAnsi="SimSun" w:eastAsia="SimSun"/>
                <w:b w:val="0"/>
                <w:sz w:val="21"/>
              </w:rPr>
              <w:t>预期收益、收益率、回报测算</w:t>
            </w:r>
          </w:p>
        </w:tc>
        <w:tc>
          <w:tcPr>
            <w:tcW w:type="dxa" w:w="3213"/>
          </w:tcPr>
          <w:p>
            <w:r>
              <w:rPr>
                <w:rFonts w:ascii="SimSun" w:hAnsi="SimSun" w:eastAsia="SimSun"/>
                <w:b w:val="0"/>
                <w:sz w:val="21"/>
              </w:rPr>
              <w:t>含有一项「预期收益：某数值」的构造内容</w:t>
            </w:r>
          </w:p>
        </w:tc>
      </w:tr>
      <w:tr>
        <w:tc>
          <w:tcPr>
            <w:tcW w:type="dxa" w:w="3213"/>
          </w:tcPr>
          <w:p>
            <w:r>
              <w:rPr>
                <w:rFonts w:ascii="SimSun" w:hAnsi="SimSun" w:eastAsia="SimSun"/>
                <w:b w:val="0"/>
                <w:sz w:val="21"/>
              </w:rPr>
              <w:t>信用结论</w:t>
            </w:r>
          </w:p>
        </w:tc>
        <w:tc>
          <w:tcPr>
            <w:tcW w:type="dxa" w:w="3213"/>
          </w:tcPr>
          <w:p>
            <w:r>
              <w:rPr>
                <w:rFonts w:ascii="SimSun" w:hAnsi="SimSun" w:eastAsia="SimSun"/>
                <w:b w:val="0"/>
                <w:sz w:val="21"/>
              </w:rPr>
              <w:t>信用等级、偿付能力、违约概率</w:t>
            </w:r>
          </w:p>
        </w:tc>
        <w:tc>
          <w:tcPr>
            <w:tcW w:type="dxa" w:w="3213"/>
          </w:tcPr>
          <w:p>
            <w:r>
              <w:rPr>
                <w:rFonts w:ascii="SimSun" w:hAnsi="SimSun" w:eastAsia="SimSun"/>
                <w:b w:val="0"/>
                <w:sz w:val="21"/>
              </w:rPr>
              <w:t>含有一项「信用等级：某等级」的构造内容</w:t>
            </w:r>
          </w:p>
        </w:tc>
      </w:tr>
      <w:tr>
        <w:tc>
          <w:tcPr>
            <w:tcW w:type="dxa" w:w="3213"/>
          </w:tcPr>
          <w:p>
            <w:r>
              <w:rPr>
                <w:rFonts w:ascii="SimSun" w:hAnsi="SimSun" w:eastAsia="SimSun"/>
                <w:b w:val="0"/>
                <w:sz w:val="21"/>
              </w:rPr>
              <w:t>适当性结论</w:t>
            </w:r>
          </w:p>
        </w:tc>
        <w:tc>
          <w:tcPr>
            <w:tcW w:type="dxa" w:w="3213"/>
          </w:tcPr>
          <w:p>
            <w:r>
              <w:rPr>
                <w:rFonts w:ascii="SimSun" w:hAnsi="SimSun" w:eastAsia="SimSun"/>
                <w:b w:val="0"/>
                <w:sz w:val="21"/>
              </w:rPr>
              <w:t>适合度、匹配度、推荐等级</w:t>
            </w:r>
          </w:p>
        </w:tc>
        <w:tc>
          <w:tcPr>
            <w:tcW w:type="dxa" w:w="3213"/>
          </w:tcPr>
          <w:p>
            <w:r>
              <w:rPr>
                <w:rFonts w:ascii="SimSun" w:hAnsi="SimSun" w:eastAsia="SimSun"/>
                <w:b w:val="0"/>
                <w:sz w:val="21"/>
              </w:rPr>
              <w:t>含有一项「适合度：某等级」的构造内容</w:t>
            </w:r>
          </w:p>
        </w:tc>
      </w:tr>
    </w:tbl>
    <w:p>
      <w:pPr>
        <w:ind w:firstLine="480"/>
      </w:pPr>
      <w:r>
        <w:rPr>
          <w:rFonts w:ascii="SimSun" w:hAnsi="SimSun" w:eastAsia="SimSun"/>
          <w:b w:val="0"/>
          <w:sz w:val="24"/>
        </w:rPr>
        <w:t>此处的关键在于：表项的第三列是该类别的规范反例本身，而不是指向别处测试资产的一个引用。规范反例作为表项的一个组成部分，与该类别同处一处存储。 由此产生两项效果。</w:t>
      </w:r>
    </w:p>
    <w:p>
      <w:pPr>
        <w:ind w:firstLine="480"/>
      </w:pPr>
      <w:r>
        <w:rPr>
          <w:rFonts w:ascii="SimSun" w:hAnsi="SimSun" w:eastAsia="SimSun"/>
          <w:b w:val="0"/>
          <w:sz w:val="24"/>
        </w:rPr>
        <w:t>其一，新增一个禁止类别时，其验证材料必然随之一并新增，不存在类别已配置而验证材料被遗漏的可能。这直接消除了背景技术所述的缺陷六。</w:t>
      </w:r>
    </w:p>
    <w:p>
      <w:pPr>
        <w:ind w:firstLine="480"/>
      </w:pPr>
      <w:r>
        <w:rPr>
          <w:rFonts w:ascii="SimSun" w:hAnsi="SimSun" w:eastAsia="SimSun"/>
          <w:b w:val="0"/>
          <w:sz w:val="24"/>
        </w:rPr>
        <w:t>其二，未配置规范反例的表项不参与检测。一个只写了类别标识与判别字段、却没有给出规范反例的表项，被单元 30 视为不生效，其对应的类别不被检测。这样处理看似削弱了防护，实则相反：一个无法被验证的判别，其是否生效无从得知，让它以「看似在防护」的状态存在，比明确地不参与检测更危险。明确不生效，至少使这一缺口在留痕中可见。</w:t>
      </w:r>
    </w:p>
    <w:p>
      <w:pPr>
        <w:ind w:firstLine="480"/>
      </w:pPr>
      <w:r>
        <w:rPr>
          <w:rFonts w:ascii="SimSun" w:hAnsi="SimSun" w:eastAsia="SimSun"/>
          <w:b w:val="0"/>
          <w:sz w:val="24"/>
        </w:rPr>
        <w:t>类别表以配置形式存储而不写死在代码中，使得新增一个禁止类别时不必改动出具系统的代码。</w:t>
      </w:r>
    </w:p>
    <w:p>
      <w:r>
        <w:rPr>
          <w:rFonts w:ascii="SimHei" w:hAnsi="SimHei" w:eastAsia="SimHei"/>
          <w:b/>
          <w:sz w:val="24"/>
        </w:rPr>
        <w:t>4.2 类别校验器 31 的工作方式</w:t>
      </w:r>
    </w:p>
    <w:p>
      <w:pPr>
        <w:ind w:firstLine="480"/>
      </w:pPr>
      <w:r>
        <w:rPr>
          <w:rFonts w:ascii="SimSun" w:hAnsi="SimSun" w:eastAsia="SimSun"/>
          <w:b w:val="0"/>
          <w:sz w:val="24"/>
        </w:rPr>
        <w:t>单元 30 先将待出具内容展开为结构化字段集合，即由若干个"字段名—字段值"对构成的集合。类别校验器 31 对该集合中的每一项，依次与类别表中各表项的判别字段集合比对，并对字段值作语义归类，判断该项是否构成对应类别下的一项结论。</w:t>
      </w:r>
    </w:p>
    <w:p>
      <w:pPr>
        <w:ind w:firstLine="480"/>
      </w:pPr>
      <w:r>
        <w:rPr>
          <w:rFonts w:ascii="SimSun" w:hAnsi="SimSun" w:eastAsia="SimSun"/>
          <w:b w:val="0"/>
          <w:sz w:val="24"/>
        </w:rPr>
        <w:t>此处的判定对象是内容的语义属性：所判断的是"这一项在含义上是否构成一项关于主体的合规判定"或"这一项在含义上是否构成一项估值结论"，而不是把某个运算结果与一个预置的固定输出作等值比对。这一区别在本发明中具有实质意义：正因为不存在可供等值比对的唯一固定输出，校验器的正确性才不能用已知答案测试来确认，才需要单元 40 所采用的规范反例验证方式。</w:t>
      </w:r>
    </w:p>
    <w:p>
      <w:pPr>
        <w:ind w:firstLine="480"/>
      </w:pPr>
      <w:r>
        <w:rPr>
          <w:rFonts w:ascii="SimSun" w:hAnsi="SimSun" w:eastAsia="SimSun"/>
          <w:b w:val="0"/>
          <w:sz w:val="24"/>
        </w:rPr>
        <w:t>只要有任意一项被归入禁止结论类别集合中的任一类别，单元 30 即终止本次出具。</w:t>
      </w:r>
    </w:p>
    <w:p>
      <w:r>
        <w:rPr>
          <w:rFonts w:ascii="SimHei" w:hAnsi="SimHei" w:eastAsia="SimHei"/>
          <w:b/>
          <w:sz w:val="24"/>
        </w:rPr>
        <w:t>4.3 必需性校验器 32 的工作方式</w:t>
      </w:r>
    </w:p>
    <w:p>
      <w:pPr>
        <w:ind w:firstLine="480"/>
      </w:pPr>
      <w:r>
        <w:rPr>
          <w:rFonts w:ascii="SimSun" w:hAnsi="SimSun" w:eastAsia="SimSun"/>
          <w:b w:val="0"/>
          <w:sz w:val="24"/>
        </w:rPr>
        <w:t>必需性校验器 32 按预设的必需性标准对待出具内容作必需性检测。所述必需性标准为：一项内容当且仅当消费方 300 在验证本次事实时确需依据它，才被保留。</w:t>
      </w:r>
    </w:p>
    <w:p>
      <w:pPr>
        <w:ind w:firstLine="480"/>
      </w:pPr>
      <w:r>
        <w:rPr>
          <w:rFonts w:ascii="SimSun" w:hAnsi="SimSun" w:eastAsia="SimSun"/>
          <w:b w:val="0"/>
          <w:sz w:val="24"/>
        </w:rPr>
        <w:t>按此标准，被保留的内容仅为承诺与引用两类：承诺为对链外数据源 200 在该处记录内容的承诺值；引用为链外数据源 200 对其自身记录的定位符。出具系统 100 不对该定位符所指向的记录原文作出解释，也不将该记录原文纳入待出具的内容。链外数据源 200 的记录原文若出现在待出具内容中，无论其是否为真，均由校验器 32 判定为不通过，单元 30 终止本次出具。</w:t>
      </w:r>
    </w:p>
    <w:p>
      <w:pPr>
        <w:ind w:firstLine="480"/>
      </w:pPr>
      <w:r>
        <w:rPr>
          <w:rFonts w:ascii="SimSun" w:hAnsi="SimSun" w:eastAsia="SimSun"/>
          <w:b w:val="0"/>
          <w:sz w:val="24"/>
        </w:rPr>
        <w:t>需要说明的是，出具系统 100 持有对链外数据源 200 的读取权限，它在技术上看得见记录原文，因此不外泄原文并非由密码学手段保证，而是由一条在签名调用之前被机器检查的前提保证。这正是本单元存在的必要性所在：在出具方本身有能力泄露的前提下，唯一能起作用的是一道位于签名之前的、可被机器判定并可被验证有效的检查。</w:t>
      </w:r>
    </w:p>
    <w:p>
      <w:r>
        <w:rPr>
          <w:rFonts w:ascii="SimHei" w:hAnsi="SimHei" w:eastAsia="SimHei"/>
          <w:b/>
          <w:sz w:val="24"/>
        </w:rPr>
        <w:t>五、校验器有效性验证单元 40</w:t>
      </w:r>
    </w:p>
    <w:p>
      <w:pPr>
        <w:ind w:firstLine="480"/>
      </w:pPr>
      <w:r>
        <w:rPr>
          <w:rFonts w:ascii="SimSun" w:hAnsi="SimSun" w:eastAsia="SimSun"/>
          <w:b w:val="0"/>
          <w:sz w:val="24"/>
        </w:rPr>
        <w:t>单元 40 是本发明的另一核心单元。参见图 3。</w:t>
      </w:r>
    </w:p>
    <w:p>
      <w:r>
        <w:rPr>
          <w:rFonts w:ascii="SimHei" w:hAnsi="SimHei" w:eastAsia="SimHei"/>
          <w:b/>
          <w:sz w:val="24"/>
        </w:rPr>
        <w:t>5.1 规范反例的配置</w:t>
      </w:r>
    </w:p>
    <w:p>
      <w:pPr>
        <w:ind w:firstLine="480"/>
      </w:pPr>
      <w:r>
        <w:rPr>
          <w:rFonts w:ascii="SimSun" w:hAnsi="SimSun" w:eastAsia="SimSun"/>
          <w:b w:val="0"/>
          <w:sz w:val="24"/>
        </w:rPr>
        <w:t>单元 40 为单元 30 中的每一校验器配置一个规范反例。规范反例是该校验器按其判定标准应当拒绝的输入。</w:t>
      </w:r>
    </w:p>
    <w:p>
      <w:pPr>
        <w:ind w:firstLine="480"/>
      </w:pPr>
      <w:r>
        <w:rPr>
          <w:rFonts w:ascii="SimSun" w:hAnsi="SimSun" w:eastAsia="SimSun"/>
          <w:b w:val="0"/>
          <w:sz w:val="24"/>
        </w:rPr>
        <w:t>对类别校验器 31 而言，每一个禁止结论类别各有一个规范反例，即类别表表项中所引用的 CE-01 至 CE-06。例如 CE-01 是一份构造出来的待出具内容，其结构化字段集合中含有一项"主体资格：符合"，按类别表应当被归入主体合规判定类别而被拒绝。CE-02 含有一项"估计价值：某数值"，应当被归入估值结论类别而被拒绝。</w:t>
      </w:r>
    </w:p>
    <w:p>
      <w:pPr>
        <w:ind w:firstLine="480"/>
      </w:pPr>
      <w:r>
        <w:rPr>
          <w:rFonts w:ascii="SimSun" w:hAnsi="SimSun" w:eastAsia="SimSun"/>
          <w:b w:val="0"/>
          <w:sz w:val="24"/>
        </w:rPr>
        <w:t>对必需性校验器 32 而言，其规范反例是一份含有链外数据源记录原文片段的待出具内容，按必需性标准应当被拒绝。</w:t>
      </w:r>
    </w:p>
    <w:p>
      <w:pPr>
        <w:ind w:firstLine="480"/>
      </w:pPr>
      <w:r>
        <w:rPr>
          <w:rFonts w:ascii="SimSun" w:hAnsi="SimSun" w:eastAsia="SimSun"/>
          <w:b w:val="0"/>
          <w:sz w:val="24"/>
        </w:rPr>
        <w:t>规范反例本身不参与真实出具，它们只被送入校验器以观察校验器的反应，其判定结果不进入内容承诺，也不被签名。</w:t>
      </w:r>
    </w:p>
    <w:p>
      <w:r>
        <w:rPr>
          <w:rFonts w:ascii="SimHei" w:hAnsi="SimHei" w:eastAsia="SimHei"/>
          <w:b/>
          <w:sz w:val="24"/>
        </w:rPr>
        <w:t>5.2 运行内调用与失效判定</w:t>
      </w:r>
    </w:p>
    <w:p>
      <w:pPr>
        <w:ind w:firstLine="480"/>
      </w:pPr>
      <w:r>
        <w:rPr>
          <w:rFonts w:ascii="SimSun" w:hAnsi="SimSun" w:eastAsia="SimSun"/>
          <w:b w:val="0"/>
          <w:sz w:val="24"/>
        </w:rPr>
        <w:t>单元 40 在本次出具的运行过程之内，而非在系统的启动过程中，执行下述调用：</w:t>
      </w:r>
    </w:p>
    <w:p>
      <w:pPr>
        <w:ind w:firstLine="480"/>
      </w:pPr>
      <w:r>
        <w:rPr>
          <w:rFonts w:ascii="SimSun" w:hAnsi="SimSun" w:eastAsia="SimSun"/>
          <w:b w:val="0"/>
          <w:sz w:val="24"/>
        </w:rPr>
        <w:t>- 对禁止结论类别表的每一表项，以该表项中所存的规范反例调用类别校验器 31，采集其返回结果；</w:t>
      </w:r>
    </w:p>
    <w:p>
      <w:pPr>
        <w:ind w:firstLine="480"/>
      </w:pPr>
      <w:r>
        <w:rPr>
          <w:rFonts w:ascii="SimSun" w:hAnsi="SimSun" w:eastAsia="SimSun"/>
          <w:b w:val="0"/>
          <w:sz w:val="24"/>
        </w:rPr>
        <w:t>- 以必需性校验器 32 的规范反例调用校验器 32，采集其返回结果。</w:t>
      </w:r>
    </w:p>
    <w:p>
      <w:pPr>
        <w:ind w:firstLine="480"/>
      </w:pPr>
      <w:r>
        <w:rPr>
          <w:rFonts w:ascii="SimSun" w:hAnsi="SimSun" w:eastAsia="SimSun"/>
          <w:b w:val="0"/>
          <w:sz w:val="24"/>
        </w:rPr>
        <w:t>将各返回结果分别与预期的拒绝结果比对，并按下述规则处置：</w:t>
      </w:r>
    </w:p>
    <w:p>
      <w:pPr>
        <w:ind w:firstLine="480"/>
      </w:pPr>
      <w:r>
        <w:rPr>
          <w:rFonts w:ascii="SimSun" w:hAnsi="SimSun" w:eastAsia="SimSun"/>
          <w:b w:val="0"/>
          <w:sz w:val="24"/>
        </w:rPr>
        <w:t>规则一：失效判定按表项进行，不按校验器整体进行。 某一表项的返回结果不为拒绝的，仅将该表项所对应的类别检测判定为失效；类别表中其余表项的检测结果仍然有效并继续生效。</w:t>
      </w:r>
    </w:p>
    <w:p>
      <w:pPr>
        <w:ind w:firstLine="480"/>
      </w:pPr>
      <w:r>
        <w:rPr>
          <w:rFonts w:ascii="SimSun" w:hAnsi="SimSun" w:eastAsia="SimSun"/>
          <w:b w:val="0"/>
          <w:sz w:val="24"/>
        </w:rPr>
        <w:t>举例而言，若「估值结论」表项的规范反例被类别校验器 31 判定为通过，则仅「估值结论」这一类别的判别被认定为当次失效，而「主体合规判定」「信用结论」等其余五项的判别仍然有效。这一粒度是本发明区别于现有检测器测试的关键之一：数据防泄漏领域的样本文件测试，其结论是整份检测配置是否准确；形式化验证的结论是分类器整体是否存在安全漏洞；二者都不能给出「这一个类别失效而那五个类别仍然可信」这样的结论，因而也就不能据以对某一次具体输出作放行或拦截的决定。</w:t>
      </w:r>
    </w:p>
    <w:p>
      <w:pPr>
        <w:ind w:firstLine="480"/>
      </w:pPr>
      <w:r>
        <w:rPr>
          <w:rFonts w:ascii="SimSun" w:hAnsi="SimSun" w:eastAsia="SimSun"/>
          <w:b w:val="0"/>
          <w:sz w:val="24"/>
        </w:rPr>
        <w:t>规则二：必需性校验器整体判定。 必需性校验器 32 的返回结果不为拒绝的，将校验器 32 整体判定为失效。校验器 32 只有一项判别标准，不存在分项问题。</w:t>
      </w:r>
    </w:p>
    <w:p>
      <w:pPr>
        <w:ind w:firstLine="480"/>
      </w:pPr>
      <w:r>
        <w:rPr>
          <w:rFonts w:ascii="SimSun" w:hAnsi="SimSun" w:eastAsia="SimSun"/>
          <w:b w:val="0"/>
          <w:sz w:val="24"/>
        </w:rPr>
        <w:t>规则三：失效即终止本次出具，但不停机。 出现上述任一失效的，单元 40 终止由该失效项所守护的本次出具，且不终止系统的其余出具。失效项的作用范围是「这一次出具中，这一个类别或这一个校验器所把守的那一道关」，而不是整个系统，也不是该校验器的全部类别。</w:t>
      </w:r>
    </w:p>
    <w:p>
      <w:pPr>
        <w:ind w:firstLine="480"/>
      </w:pPr>
      <w:r>
        <w:rPr>
          <w:rFonts w:ascii="SimSun" w:hAnsi="SimSun" w:eastAsia="SimSun"/>
          <w:b w:val="0"/>
          <w:sz w:val="24"/>
        </w:rPr>
        <w:t>规则四：失效判定不跨出具继承。 失效判定仅对本次出具有效，两次相邻出具之间不被继承，每一次出具的运行过程中均重新执行上述全部调用与比对。</w:t>
      </w:r>
    </w:p>
    <w:p>
      <w:pPr>
        <w:ind w:firstLine="480"/>
      </w:pPr>
      <w:r>
        <w:rPr>
          <w:rFonts w:ascii="SimSun" w:hAnsi="SimSun" w:eastAsia="SimSun"/>
          <w:b w:val="0"/>
          <w:sz w:val="24"/>
        </w:rPr>
        <w:t>规则四的理由是：失效可能由瞬时原因引起，若失效标记被无限期继承，一次瞬时故障将永久关闭该路径；而每次出具重新验证，则既保证了当次的有效性，又允许系统在瞬时故障消失后自行恢复。这也是本发明与「季度全量回归测试」一类周期性做法在时间尺度上的根本差别：后者的验证间隔以月计，其间发生的退化不被覆盖；本发明的验证间隔等于一次出具，退化暴露与被守护内容的出具处在同一次运行之中，不存在时间差。</w:t>
      </w:r>
    </w:p>
    <w:p>
      <w:pPr>
        <w:ind w:firstLine="480"/>
      </w:pPr>
      <w:r>
        <w:rPr>
          <w:rFonts w:ascii="SimSun" w:hAnsi="SimSun" w:eastAsia="SimSun"/>
          <w:b w:val="0"/>
          <w:sz w:val="24"/>
        </w:rPr>
        <w:t>全部表项与必需性校验器的返回结果均为拒绝的，单元 40 将本次出具送至签名出具单元 50。</w:t>
      </w:r>
    </w:p>
    <w:p>
      <w:r>
        <w:rPr>
          <w:rFonts w:ascii="SimHei" w:hAnsi="SimHei" w:eastAsia="SimHei"/>
          <w:b/>
          <w:sz w:val="24"/>
        </w:rPr>
        <w:t>5.3 与启动时自检的时序区别</w:t>
      </w:r>
    </w:p>
    <w:p>
      <w:pPr>
        <w:ind w:firstLine="480"/>
      </w:pPr>
      <w:r>
        <w:rPr>
          <w:rFonts w:ascii="SimSun" w:hAnsi="SimSun" w:eastAsia="SimSun"/>
          <w:b w:val="0"/>
          <w:sz w:val="24"/>
        </w:rPr>
        <w:t>图 3 的下半部分示出本发明与现有的启动时自检在时序上的区别。</w:t>
      </w:r>
    </w:p>
    <w:p>
      <w:pPr>
        <w:ind w:firstLine="480"/>
      </w:pPr>
      <w:r>
        <w:rPr>
          <w:rFonts w:ascii="SimSun" w:hAnsi="SimSun" w:eastAsia="SimSun"/>
          <w:b w:val="0"/>
          <w:sz w:val="24"/>
        </w:rPr>
        <w:t>在启动时自检的方案中，自检发生在时刻 t0（系统上电），其后系统在 t1、t2、…、tn 依次完成若干次出具。若校验器在 t1 与 t2 之间发生退化，则 t2 至 tn 的全部出具都在一个已退化的校验器之下完成，而系统对此一无所知，直到下一次上电时的自检才可能发现。</w:t>
      </w:r>
    </w:p>
    <w:p>
      <w:pPr>
        <w:ind w:firstLine="480"/>
      </w:pPr>
      <w:r>
        <w:rPr>
          <w:rFonts w:ascii="SimSun" w:hAnsi="SimSun" w:eastAsia="SimSun"/>
          <w:b w:val="0"/>
          <w:sz w:val="24"/>
        </w:rPr>
        <w:t>在本发明的方案中，规范反例的调用发生在每一次出具的运行过程之内，即 t1、t2、…、tn 各自的内部。同样在 t1 与 t2 之间发生的退化，会在 t2 这一次出具中即被规范反例调用捕获，t2 及其后的出具被终止，退化暴露与被守护内容的出具之间不存在时间差。</w:t>
      </w:r>
    </w:p>
    <w:p>
      <w:r>
        <w:rPr>
          <w:rFonts w:ascii="SimHei" w:hAnsi="SimHei" w:eastAsia="SimHei"/>
          <w:b/>
          <w:sz w:val="24"/>
        </w:rPr>
        <w:t>5.4 与已知答案测试的区别</w:t>
      </w:r>
    </w:p>
    <w:p>
      <w:pPr>
        <w:ind w:firstLine="480"/>
      </w:pPr>
      <w:r>
        <w:rPr>
          <w:rFonts w:ascii="SimSun" w:hAnsi="SimSun" w:eastAsia="SimSun"/>
          <w:b w:val="0"/>
          <w:sz w:val="24"/>
        </w:rPr>
        <w:t>需要特别指出单元 40 与密码模块的已知答案测试之间的三点区别，这三点区别共同构成本单元与现有自检技术的界限。</w:t>
      </w:r>
    </w:p>
    <w:p>
      <w:pPr>
        <w:ind w:firstLine="480"/>
      </w:pPr>
      <w:r>
        <w:rPr>
          <w:rFonts w:ascii="SimSun" w:hAnsi="SimSun" w:eastAsia="SimSun"/>
          <w:b w:val="0"/>
          <w:sz w:val="24"/>
        </w:rPr>
        <w:t>其一，被检对象不同。 已知答案测试所检的是密码运算实现是否正确，其可行性建立在"同一输入必有唯一正确输出"之上，因而可以把运算结果与一个预置的固定输出作等值比对。单元 40 所检的是一个语义校验器是否仍会拒绝它本应拒绝的输入。语义判定不存在可供等值比对的唯一固定输出，等值比对的方法在此不可用，只能通过观察校验器对一个应当被拒绝的输入的实际反应来判断。</w:t>
      </w:r>
    </w:p>
    <w:p>
      <w:pPr>
        <w:ind w:firstLine="480"/>
      </w:pPr>
      <w:r>
        <w:rPr>
          <w:rFonts w:ascii="SimSun" w:hAnsi="SimSun" w:eastAsia="SimSun"/>
          <w:b w:val="0"/>
          <w:sz w:val="24"/>
        </w:rPr>
        <w:t>其二，时机不同。 已知答案测试是模块上电或首次使用时的模块级自检；单元 40 的调用发生在每一次出具的运行过程之内，因而覆盖运行期退化，如 5.3 所述。</w:t>
      </w:r>
    </w:p>
    <w:p>
      <w:pPr>
        <w:ind w:firstLine="480"/>
      </w:pPr>
      <w:r>
        <w:rPr>
          <w:rFonts w:ascii="SimSun" w:hAnsi="SimSun" w:eastAsia="SimSun"/>
          <w:b w:val="0"/>
          <w:sz w:val="24"/>
        </w:rPr>
        <w:t>其三，失效粒度不同。 已知答案测试失败使整个模块进入错误状态并停止全部输出；单元 40 的失效标记只使该失效校验器所守护的这一次出具被终止，系统的其余出具不受影响。</w:t>
      </w:r>
    </w:p>
    <w:p>
      <w:r>
        <w:rPr>
          <w:rFonts w:ascii="SimHei" w:hAnsi="SimHei" w:eastAsia="SimHei"/>
          <w:b/>
          <w:sz w:val="24"/>
        </w:rPr>
        <w:t>5.4bis 与输出内容护栏、检测器样本测试及形式化验证的区别</w:t>
      </w:r>
    </w:p>
    <w:p>
      <w:pPr>
        <w:ind w:firstLine="480"/>
      </w:pPr>
      <w:r>
        <w:rPr>
          <w:rFonts w:ascii="SimSun" w:hAnsi="SimSun" w:eastAsia="SimSun"/>
          <w:b w:val="0"/>
          <w:sz w:val="24"/>
        </w:rPr>
        <w:t>除已知答案测试外，还需说明本发明与另外三类现有做法的区别，这三类做法分别对应单元 30 与单元 40 的上位概念。</w:t>
      </w:r>
    </w:p>
    <w:p>
      <w:pPr>
        <w:ind w:firstLine="480"/>
      </w:pPr>
      <w:r>
        <w:rPr>
          <w:rFonts w:ascii="SimSun" w:hAnsi="SimSun" w:eastAsia="SimSun"/>
          <w:b w:val="0"/>
          <w:sz w:val="24"/>
        </w:rPr>
        <w:t>与输出内容护栏的区别。 面向大模型的输出护栏按预设的禁止主题类别对生成内容分类，命中即拒绝输出或重新生成。其与单元 30 的共同点是「按类别对内容分类并据以拒绝」。区别在于：护栏所门控的是一段面向人的自然语言回复，拒绝之后可以重新生成一份更安全的回复交付；单元 30 所门控的是一次密码学签名的调用，签名一旦作出即不可撤回，且下游是自动化的消费方，不存在「重新生成一份更安全的」这一退路。因此单元 30 不设重新生成分支，其唯一的处置是终止本次出具；也因此单元 30 的判别是否当次有效，必须在签名之前被证明，而不能事后修正——这正是单元 40 存在的前提。</w:t>
      </w:r>
    </w:p>
    <w:p>
      <w:pPr>
        <w:ind w:firstLine="480"/>
      </w:pPr>
      <w:r>
        <w:rPr>
          <w:rFonts w:ascii="SimSun" w:hAnsi="SimSun" w:eastAsia="SimSun"/>
          <w:b w:val="0"/>
          <w:sz w:val="24"/>
        </w:rPr>
        <w:t>与检测器样本测试的区别。 数据防泄漏领域以含有已知敏感数据的样本文件验证检测配置，其与单元 40 的共同点是「以应当被拦截的输入试探检测器」。三点区别已在 5.2 与 5.3 说明：其一，样本测试是按季度对全部策略作全量回归，单元 40 发生在每一次出具的运行过程之内；其二，样本测试的结论是整份配置是否准确，单元 40 的失效判定按表项进行；其三，样本测试的结果是运维报告或告警，单元 40 的结果直接决定本次出具是否被终止。此外，样本资产与策略配置在现有做法中分处两地，而本发明中规范反例是类别表表项的组成部分，与该类别同处一处存储。</w:t>
      </w:r>
    </w:p>
    <w:p>
      <w:pPr>
        <w:ind w:firstLine="480"/>
      </w:pPr>
      <w:r>
        <w:rPr>
          <w:rFonts w:ascii="SimSun" w:hAnsi="SimSun" w:eastAsia="SimSun"/>
          <w:b w:val="0"/>
          <w:sz w:val="24"/>
        </w:rPr>
        <w:t>与形式化验证的区别。 以形式化方法验证护栏分类器的安全区域内是否存在反例，是设计期或发布期的静态证明，其命题是「不存在使分类器判错的输入」。单元 40 的命题不同，是「此时此刻这个判别是否仍然会拒绝它本应拒绝的输入」——这是一个关于当前运行状态的活性问题，而非关于分类器数学性质的问题。二者的对象不同：形式化验证的对象是分类器的函数性质，不随运行而变；单元 40 所要发现的恰是运行中出现的配置错误、依赖缺失、代码回退或异常吞并所导致的退化，这些不改变分类器的数学性质，而改变实际被调用到的执行路径。形式化验证在原理上无法发现它们，且其计算代价也使其不可能在每一次出具时执行。</w:t>
      </w:r>
    </w:p>
    <w:p>
      <w:r>
        <w:rPr>
          <w:rFonts w:ascii="SimHei" w:hAnsi="SimHei" w:eastAsia="SimHei"/>
          <w:b/>
          <w:sz w:val="24"/>
        </w:rPr>
        <w:t>5.5 规范正例</w:t>
      </w:r>
    </w:p>
    <w:p>
      <w:pPr>
        <w:ind w:firstLine="480"/>
      </w:pPr>
      <w:r>
        <w:rPr>
          <w:rFonts w:ascii="SimSun" w:hAnsi="SimSun" w:eastAsia="SimSun"/>
          <w:b w:val="0"/>
          <w:sz w:val="24"/>
        </w:rPr>
        <w:t>在一种实施方式中，单元 40 还为每一校验器配置一个规范正例，即该校验器按其判定标准应当通过的输入。以规范正例调用对应校验器，若返回结果不为通过，同样将该校验器标记为失效。</w:t>
      </w:r>
    </w:p>
    <w:p>
      <w:pPr>
        <w:ind w:firstLine="480"/>
      </w:pPr>
      <w:r>
        <w:rPr>
          <w:rFonts w:ascii="SimSun" w:hAnsi="SimSun" w:eastAsia="SimSun"/>
          <w:b w:val="0"/>
          <w:sz w:val="24"/>
        </w:rPr>
        <w:t>配置规范正例的作用是覆盖另一种退化方向：一个恒返回"拒绝"的校验器虽然不会放行违规内容，但会使全部出具都被终止，构成一种拒绝服务式的故障。规范正例使这种退化同样在当次被发现并被记入留痕，便于运维定位。</w:t>
      </w:r>
    </w:p>
    <w:p>
      <w:r>
        <w:rPr>
          <w:rFonts w:ascii="SimHei" w:hAnsi="SimHei" w:eastAsia="SimHei"/>
          <w:b/>
          <w:sz w:val="24"/>
        </w:rPr>
        <w:t>六、签名出具单元 50</w:t>
      </w:r>
    </w:p>
    <w:p>
      <w:pPr>
        <w:ind w:firstLine="480"/>
      </w:pPr>
      <w:r>
        <w:rPr>
          <w:rFonts w:ascii="SimSun" w:hAnsi="SimSun" w:eastAsia="SimSun"/>
          <w:b w:val="0"/>
          <w:sz w:val="24"/>
        </w:rPr>
        <w:t>单元 50 在单元 10、20、30、40 的判定结果均为通过时被调用，以出具系统 100 的私钥对内容承诺进行签名，并将签名连同内容承诺发送给消费方 300。</w:t>
      </w:r>
    </w:p>
    <w:p>
      <w:pPr>
        <w:ind w:firstLine="480"/>
      </w:pPr>
      <w:r>
        <w:rPr>
          <w:rFonts w:ascii="SimSun" w:hAnsi="SimSun" w:eastAsia="SimSun"/>
          <w:b w:val="0"/>
          <w:sz w:val="24"/>
        </w:rPr>
        <w:t>在一种实施方式中，上述四个单元的判定结果中任一为不通过时，单元 50 不被调用。此时：</w:t>
      </w:r>
    </w:p>
    <w:p>
      <w:pPr>
        <w:ind w:firstLine="480"/>
      </w:pPr>
      <w:r>
        <w:rPr>
          <w:rFonts w:ascii="SimSun" w:hAnsi="SimSun" w:eastAsia="SimSun"/>
          <w:b w:val="0"/>
          <w:sz w:val="24"/>
        </w:rPr>
        <w:t>- 系统不生成表示降级、部分成立或失败原因的经签名结果；</w:t>
      </w:r>
    </w:p>
    <w:p>
      <w:pPr>
        <w:ind w:firstLine="480"/>
      </w:pPr>
      <w:r>
        <w:rPr>
          <w:rFonts w:ascii="SimSun" w:hAnsi="SimSun" w:eastAsia="SimSun"/>
          <w:b w:val="0"/>
          <w:sz w:val="24"/>
        </w:rPr>
        <w:t>- 向调用方返回的信息中不含出具系统私钥所生成的任何签名值；</w:t>
      </w:r>
    </w:p>
    <w:p>
      <w:pPr>
        <w:ind w:firstLine="480"/>
      </w:pPr>
      <w:r>
        <w:rPr>
          <w:rFonts w:ascii="SimSun" w:hAnsi="SimSun" w:eastAsia="SimSun"/>
          <w:b w:val="0"/>
          <w:sz w:val="24"/>
        </w:rPr>
        <w:t>- 向调用方返回的信息中不含链外数据源 200 的记录原文。</w:t>
      </w:r>
    </w:p>
    <w:p>
      <w:pPr>
        <w:ind w:firstLine="480"/>
      </w:pPr>
      <w:r>
        <w:rPr>
          <w:rFonts w:ascii="SimSun" w:hAnsi="SimSun" w:eastAsia="SimSun"/>
          <w:b w:val="0"/>
          <w:sz w:val="24"/>
        </w:rPr>
        <w:t>第一项的作用是：消费方 300 是自动化的，若它收到一个带有本系统签名的"降级结果"，完全可能将其解释为一份可继续使用的材料并据以改道执行，从而使拒绝形同虚设。不产生签名，则消费方手上没有任何可据以继续的经签名对象，拒绝才真正是拒绝。</w:t>
      </w:r>
    </w:p>
    <w:p>
      <w:pPr>
        <w:ind w:firstLine="480"/>
      </w:pPr>
      <w:r>
        <w:rPr>
          <w:rFonts w:ascii="SimSun" w:hAnsi="SimSun" w:eastAsia="SimSun"/>
          <w:b w:val="0"/>
          <w:sz w:val="24"/>
        </w:rPr>
        <w:t>第三项的作用是：若失败原因中携带了记录原文片段用于说明"为何被判定为含有原文"，则拒绝路径本身会成为原文的泄露通道，恰好抵消单元 30 的作用。因此返回信息中只给出被拒绝这一结论与失效校验器的标识，不给出被检内容本身。</w:t>
      </w:r>
    </w:p>
    <w:p>
      <w:r>
        <w:rPr>
          <w:rFonts w:ascii="SimHei" w:hAnsi="SimHei" w:eastAsia="SimHei"/>
          <w:b/>
          <w:sz w:val="24"/>
        </w:rPr>
        <w:t>七、出具留痕单元 60</w:t>
      </w:r>
    </w:p>
    <w:p>
      <w:pPr>
        <w:ind w:firstLine="480"/>
      </w:pPr>
      <w:r>
        <w:rPr>
          <w:rFonts w:ascii="SimSun" w:hAnsi="SimSun" w:eastAsia="SimSun"/>
          <w:b w:val="0"/>
          <w:sz w:val="24"/>
        </w:rPr>
        <w:t>单元 60 记录本次出具中：单元 10 的查询结果、单元 20 的比对与查重结果、单元 30 各校验器的检测结果、单元 40 各规范反例的调用结果与失效标记、单元 50 是否被调用，以及所采用的校验器的代码版本标识。</w:t>
      </w:r>
    </w:p>
    <w:p>
      <w:pPr>
        <w:ind w:firstLine="480"/>
      </w:pPr>
      <w:r>
        <w:rPr>
          <w:rFonts w:ascii="SimSun" w:hAnsi="SimSun" w:eastAsia="SimSun"/>
          <w:b w:val="0"/>
          <w:sz w:val="24"/>
        </w:rPr>
        <w:t>在一种实施方式中，所述代码版本标识为单元 30 与单元 40 的可执行代码的摘要值。留痕存储 500 为只增存储，其中已写入的记录不被覆写或删除。</w:t>
      </w:r>
    </w:p>
    <w:p>
      <w:pPr>
        <w:ind w:firstLine="480"/>
      </w:pPr>
      <w:r>
        <w:rPr>
          <w:rFonts w:ascii="SimSun" w:hAnsi="SimSun" w:eastAsia="SimSun"/>
          <w:b w:val="0"/>
          <w:sz w:val="24"/>
        </w:rPr>
        <w:t>单元 60 将上述记录与本次内容承诺相关联。由此，事后就任意一条已出具的断言，可以查明当时哪些校验器在场、其规范反例是否被调用、调用结果如何、所用代码为哪一版本；也可以就任意一次被终止的出具，查明是在哪一个单元、因何种判定结果被终止的。</w:t>
      </w:r>
    </w:p>
    <w:p>
      <w:r>
        <w:rPr>
          <w:rFonts w:ascii="SimHei" w:hAnsi="SimHei" w:eastAsia="SimHei"/>
          <w:b/>
          <w:sz w:val="24"/>
        </w:rPr>
        <w:t>八、变更授权单元 70</w:t>
      </w:r>
    </w:p>
    <w:p>
      <w:pPr>
        <w:ind w:firstLine="480"/>
      </w:pPr>
      <w:r>
        <w:rPr>
          <w:rFonts w:ascii="SimSun" w:hAnsi="SimSun" w:eastAsia="SimSun"/>
          <w:b w:val="0"/>
          <w:sz w:val="24"/>
        </w:rPr>
        <w:t>在一种实施方式中，系统还包括变更授权单元 70。</w:t>
      </w:r>
    </w:p>
    <w:p>
      <w:pPr>
        <w:ind w:firstLine="480"/>
      </w:pPr>
      <w:r>
        <w:rPr>
          <w:rFonts w:ascii="SimSun" w:hAnsi="SimSun" w:eastAsia="SimSun"/>
          <w:b w:val="0"/>
          <w:sz w:val="24"/>
        </w:rPr>
        <w:t>单元 70 判断本次出具是否将改变出具系统 100 对外承诺的状态。若判断结果为将改变，则获取绑定于本次内容承诺的批准记录，将其中的批准主体数量与预设的批准主体数量下限比对，并对各批准主体的标识作互异性检测。比对结果小于该下限、或互异性检测不通过（即存在两个标识相同的"不同主体"）的，终止本次出具。</w:t>
      </w:r>
    </w:p>
    <w:p>
      <w:pPr>
        <w:ind w:firstLine="480"/>
      </w:pPr>
      <w:r>
        <w:rPr>
          <w:rFonts w:ascii="SimSun" w:hAnsi="SimSun" w:eastAsia="SimSun"/>
          <w:b w:val="0"/>
          <w:sz w:val="24"/>
        </w:rPr>
        <w:t>批准记录与本次内容承诺相绑定，意味着一份批准只对该次内容有效，不能被移用于另一次出具。</w:t>
      </w:r>
    </w:p>
    <w:p>
      <w:r>
        <w:rPr>
          <w:rFonts w:ascii="SimHei" w:hAnsi="SimHei" w:eastAsia="SimHei"/>
          <w:b/>
          <w:sz w:val="24"/>
        </w:rPr>
        <w:t>九、一个完整的出具流程</w:t>
      </w:r>
    </w:p>
    <w:p>
      <w:pPr>
        <w:ind w:firstLine="480"/>
      </w:pPr>
      <w:r>
        <w:rPr>
          <w:rFonts w:ascii="SimSun" w:hAnsi="SimSun" w:eastAsia="SimSun"/>
          <w:b w:val="0"/>
          <w:sz w:val="24"/>
        </w:rPr>
        <w:t>参见图 2，一次完整的出具按下述步骤进行：</w:t>
      </w:r>
    </w:p>
    <w:p>
      <w:pPr>
        <w:ind w:firstLine="480"/>
      </w:pPr>
      <w:r>
        <w:rPr>
          <w:rFonts w:ascii="SimSun" w:hAnsi="SimSun" w:eastAsia="SimSun"/>
          <w:b w:val="0"/>
          <w:sz w:val="24"/>
        </w:rPr>
        <w:t>T1 单元 10 接收待出具的事实数据及其来源标识，向来源注册表 400 查询登记状态与撤销状态。未登记或已被撤销的，终止本次出具。</w:t>
      </w:r>
    </w:p>
    <w:p>
      <w:pPr>
        <w:ind w:firstLine="480"/>
      </w:pPr>
      <w:r>
        <w:rPr>
          <w:rFonts w:ascii="SimSun" w:hAnsi="SimSun" w:eastAsia="SimSun"/>
          <w:b w:val="0"/>
          <w:sz w:val="24"/>
        </w:rPr>
        <w:t>T2 单元 20 将事实数据的取得时刻与当前时刻之差和该来源声明的有效期比对，超期的终止本次出具；未超期的计算内容承诺、与已出具承诺集合查重，已存在的终止本次出具，不存在的将内容承诺与本次出具所许可的效果相绑定。</w:t>
      </w:r>
    </w:p>
    <w:p>
      <w:pPr>
        <w:ind w:firstLine="480"/>
      </w:pPr>
      <w:r>
        <w:rPr>
          <w:rFonts w:ascii="SimSun" w:hAnsi="SimSun" w:eastAsia="SimSun"/>
          <w:b w:val="0"/>
          <w:sz w:val="24"/>
        </w:rPr>
        <w:t>T3 单元 30 将待出具内容展开为结构化字段集合，由类别校验器 31 按禁止结论类别集合逐项归类检测，由必需性校验器 32 作必需性检测并剔除记录原文；二者的判定对象均为内容的语义属性，且不以与预置固定输出的等值比对方式作出。任一检测结果为不通过的，终止本次出具。</w:t>
      </w:r>
    </w:p>
    <w:p>
      <w:pPr>
        <w:ind w:firstLine="480"/>
      </w:pPr>
      <w:r>
        <w:rPr>
          <w:rFonts w:ascii="SimSun" w:hAnsi="SimSun" w:eastAsia="SimSun"/>
          <w:b w:val="0"/>
          <w:sz w:val="24"/>
        </w:rPr>
        <w:t>T4 单元 40 在本次出具的运行过程之内，以各校验器对应的规范反例调用该校验器；返回结果不为拒绝的，将该校验器标记为失效，终止由其守护的本次出具，且不终止系统的其余出具。</w:t>
      </w:r>
    </w:p>
    <w:p>
      <w:pPr>
        <w:ind w:firstLine="480"/>
      </w:pPr>
      <w:r>
        <w:rPr>
          <w:rFonts w:ascii="SimSun" w:hAnsi="SimSun" w:eastAsia="SimSun"/>
          <w:b w:val="0"/>
          <w:sz w:val="24"/>
        </w:rPr>
        <w:t>T5 单元 50 在 T1 至 T4 的判定结果均为通过时，以系统私钥对内容承诺签名并发送给消费方 300；任一判定结果为不通过时不调用签名，且不生成表示降级、部分成立或失败原因的经签名结果。</w:t>
      </w:r>
    </w:p>
    <w:p>
      <w:pPr>
        <w:ind w:firstLine="480"/>
      </w:pPr>
      <w:r>
        <w:rPr>
          <w:rFonts w:ascii="SimSun" w:hAnsi="SimSun" w:eastAsia="SimSun"/>
          <w:b w:val="0"/>
          <w:sz w:val="24"/>
        </w:rPr>
        <w:t>T6 单元 60 记录 T1 至 T5 的判定结果、规范反例调用结果与校验器代码版本标识，与本次内容承诺相关联后存入留痕存储 500。</w:t>
      </w:r>
    </w:p>
    <w:p>
      <w:r>
        <w:rPr>
          <w:rFonts w:ascii="SimHei" w:hAnsi="SimHei" w:eastAsia="SimHei"/>
          <w:b/>
          <w:sz w:val="24"/>
        </w:rPr>
        <w:t>十、一个具体场景</w:t>
      </w:r>
    </w:p>
    <w:p>
      <w:pPr>
        <w:ind w:firstLine="480"/>
      </w:pPr>
      <w:r>
        <w:rPr>
          <w:rFonts w:ascii="SimSun" w:hAnsi="SimSun" w:eastAsia="SimSun"/>
          <w:b w:val="0"/>
          <w:sz w:val="24"/>
        </w:rPr>
        <w:t>设链外数据源 200 为某受保护对象的登记系统，其中登记有对象标识、所属主体的身份信息、状态变更记录，整体不对外公开。消费方 300 为一个自动化的处置系统，其在收到"对象 X 于时刻 t 处于状态 S"这一经签名的断言后，自动执行相应处置。</w:t>
      </w:r>
    </w:p>
    <w:p>
      <w:pPr>
        <w:ind w:firstLine="480"/>
      </w:pPr>
      <w:r>
        <w:rPr>
          <w:rFonts w:ascii="SimSun" w:hAnsi="SimSun" w:eastAsia="SimSun"/>
          <w:b w:val="0"/>
          <w:sz w:val="24"/>
        </w:rPr>
        <w:t>一次正常出具：单元 10 确认该登记系统的来源标识已登记且未被撤销；单元 20 确认该事实的取得时刻距今未超过该登记系统声明的有效期，计算内容承诺并与本次许可的处置效果绑定，查重通过；单元 30 展开结构化字段集合为"对象标识、状态、取得时刻、记录承诺、记录引用"，逐项归类未落入任何禁止结论类别，必需性检测确认其中不含记录原文；单元 40 以 CE-01 至 CE-06 及原文反例逐一调用校验器 31、32，均返回拒绝，判定当次有效；单元 50 签名并发送；单元 60 留痕。</w:t>
      </w:r>
    </w:p>
    <w:p>
      <w:pPr>
        <w:ind w:firstLine="480"/>
      </w:pPr>
      <w:r>
        <w:rPr>
          <w:rFonts w:ascii="SimSun" w:hAnsi="SimSun" w:eastAsia="SimSun"/>
          <w:b w:val="0"/>
          <w:sz w:val="24"/>
        </w:rPr>
        <w:t>一次被内容边界拦下的出具：出具系统在组织内容时，除上述字段外还写入了一项"主体资格：符合"。单元 30 的类别校验器 31 将该项归入主体合规判定类别，判定不通过，单元 30 终止本次出具，单元 50 未被调用，消费方 300 未收到任何经签名对象。单元 60 记录该次终止发生在单元 30、类别为主体合规判定。</w:t>
      </w:r>
    </w:p>
    <w:p>
      <w:pPr>
        <w:ind w:firstLine="480"/>
      </w:pPr>
      <w:r>
        <w:rPr>
          <w:rFonts w:ascii="SimSun" w:hAnsi="SimSun" w:eastAsia="SimSun"/>
          <w:b w:val="0"/>
          <w:sz w:val="24"/>
        </w:rPr>
        <w:t>一次被校验器有效性验证拦下的出具：因一次配置变更，类别校验器 31 退化为恒返回"通过"。本次待出具内容本身并不含禁止结论类别，因而校验器 31 对真实内容返回"通过"，与正确实现的返回结果相同，单元 30 放行。但单元 40 随即以 CE-01 调用校验器 31，该退化实现同样返回"通过"，与预期的拒绝结果不一致，校验器 31 被标记为失效，单元 40 终止由其守护的本次出具，单元 50 未被调用。单元 60 记录失效校验器标识与代码版本标识。此时若系统中另有一条不经过校验器 31 的出具路径，该路径不受影响——但依本实施例，单元 10 至 40 按固定次序被依次调用且不存在绕过路径，故实际上全部出具均经过校验器 31，本次失效将使各次出具在其各自的运行中同样被终止，直至该退化被修复。</w:t>
      </w:r>
    </w:p>
    <w:p>
      <w:r>
        <w:rPr>
          <w:rFonts w:ascii="SimHei" w:hAnsi="SimHei" w:eastAsia="SimHei"/>
          <w:b/>
          <w:sz w:val="24"/>
        </w:rPr>
        <w:t>十一、其他实施方式</w:t>
      </w:r>
    </w:p>
    <w:p>
      <w:pPr>
        <w:ind w:firstLine="480"/>
      </w:pPr>
      <w:r>
        <w:rPr>
          <w:rFonts w:ascii="SimSun" w:hAnsi="SimSun" w:eastAsia="SimSun"/>
          <w:b w:val="0"/>
          <w:sz w:val="24"/>
        </w:rPr>
        <w:t>本发明的各单元可以实现为运行于同一进程内的若干模块，也可以实现为分别部署的若干服务，只要它们之间的调用次序满足"单元 10 至 40 依次调用、签名出具单元 50 仅由单元 40 调用"这一约束。</w:t>
      </w:r>
    </w:p>
    <w:p>
      <w:pPr>
        <w:ind w:firstLine="480"/>
      </w:pPr>
      <w:r>
        <w:rPr>
          <w:rFonts w:ascii="SimSun" w:hAnsi="SimSun" w:eastAsia="SimSun"/>
          <w:b w:val="0"/>
          <w:sz w:val="24"/>
        </w:rPr>
        <w:t>本发明所述的链外数据源不限于登记类数据源，也可以是其他记录内容不宜公开而其所记载的事实需要被外部采信的数据源。本发明所述的消费方不限于链上合约，也可以是任何在收到经签名断言后自行选择执行路径的自动化系统。</w:t>
      </w:r>
    </w:p>
    <w:p>
      <w:pPr>
        <w:ind w:firstLine="480"/>
      </w:pPr>
      <w:r>
        <w:rPr>
          <w:rFonts w:ascii="SimSun" w:hAnsi="SimSun" w:eastAsia="SimSun"/>
          <w:b w:val="0"/>
          <w:sz w:val="24"/>
        </w:rPr>
        <w:t>本发明还可以实现为一种电子设备，包括处理器和存储器，存储器中存储有可被处理器执行的指令，指令被执行时实现上述方法；也可以实现为一种计算机可读存储介质，其上存储有计算机程序，程序被处理器执行时实现上述方法。</w:t>
      </w:r>
    </w:p>
    <w:p>
      <w:pPr>
        <w:ind w:firstLine="480"/>
      </w:pPr>
      <w:r>
        <w:rPr>
          <w:rFonts w:ascii="SimSun" w:hAnsi="SimSun" w:eastAsia="SimSun"/>
          <w:b w:val="0"/>
          <w:sz w:val="24"/>
        </w:rPr>
        <w:t>以上所述仅为本发明的较佳实施例，并不用以限制本发明。凡在本发明的精神和原则之内所作的任何修改、等同替换或改进，均应包含在本发明的保护范围之内。</w:t>
      </w:r>
    </w:p>
    <w:sectPr w:rsidR="00FC693F" w:rsidRPr="0006063C" w:rsidSect="00034616">
      <w:footerReference w:type="default" r:id="rId9"/>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