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30C70F60" w14:textId="517B70E6" w:rsidR="006F3B01" w:rsidRDefault="006F3B01" w:rsidP="004D3FBA">
      <w:pPr>
        <w:pStyle w:val="Title"/>
        <w:rPr>
          <w:rFonts w:ascii="Times New Roman" w:hAnsi="Times New Roman" w:cs="Times New Roman"/>
        </w:rPr>
      </w:pPr>
      <w:proofErr w:type="spellStart"/>
      <w:r>
        <w:t>Ifremer</w:t>
      </w:r>
      <w:proofErr w:type="spellEnd"/>
      <w:r>
        <w:t xml:space="preserve"> 2026 ISMS </w:t>
      </w:r>
      <w:r w:rsidRPr="006F3B01">
        <w:t>Notes</w:t>
      </w:r>
      <w:r>
        <w:t xml:space="preserve"> </w:t>
      </w:r>
    </w:p>
    <w:p w14:paraId="63FE157A" w14:textId="244972D5" w:rsidR="006F3B01" w:rsidRDefault="006F3B01" w:rsidP="006F3B01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This guide is specifically for the ISMS made for </w:t>
      </w:r>
      <w:proofErr w:type="spellStart"/>
      <w:r>
        <w:rPr>
          <w:rFonts w:ascii="Times New Roman" w:hAnsi="Times New Roman" w:cs="Times New Roman"/>
        </w:rPr>
        <w:t>I</w:t>
      </w:r>
      <w:r w:rsidRPr="009D2D5A">
        <w:rPr>
          <w:rFonts w:ascii="Times New Roman" w:hAnsi="Times New Roman" w:cs="Times New Roman"/>
        </w:rPr>
        <w:t>fremer</w:t>
      </w:r>
      <w:proofErr w:type="spellEnd"/>
      <w:r>
        <w:rPr>
          <w:rFonts w:ascii="Times New Roman" w:hAnsi="Times New Roman" w:cs="Times New Roman"/>
        </w:rPr>
        <w:t xml:space="preserve"> in 2026. This model is modified slightly from prior ISMS versions and supports powering a cryotrap.</w:t>
      </w:r>
    </w:p>
    <w:p w14:paraId="5B33A21D" w14:textId="12864E00" w:rsidR="006F3B01" w:rsidRPr="006F3B01" w:rsidRDefault="006F3B01" w:rsidP="006F3B01">
      <w:pPr>
        <w:rPr>
          <w:b/>
          <w:bCs/>
        </w:rPr>
      </w:pPr>
      <w:r w:rsidRPr="006F3B01">
        <w:rPr>
          <w:b/>
          <w:bCs/>
        </w:rPr>
        <w:t>Supported firmware versions:</w:t>
      </w:r>
    </w:p>
    <w:p w14:paraId="7C1158C9" w14:textId="304AE55D" w:rsidR="006F3B01" w:rsidRDefault="006F3B01" w:rsidP="006F3B01">
      <w:pPr>
        <w:pStyle w:val="ListParagraph"/>
        <w:numPr>
          <w:ilvl w:val="0"/>
          <w:numId w:val="1"/>
        </w:numPr>
      </w:pPr>
      <w:r>
        <w:t>Legacy-</w:t>
      </w:r>
      <w:r w:rsidR="007D0244">
        <w:t>Compatible</w:t>
      </w:r>
      <w:r>
        <w:t>:</w:t>
      </w:r>
      <w:hyperlink r:id="rId5" w:history="1">
        <w:r w:rsidRPr="007D0244">
          <w:rPr>
            <w:rStyle w:val="Hyperlink"/>
          </w:rPr>
          <w:t xml:space="preserve"> </w:t>
        </w:r>
        <w:r w:rsidR="007D0244" w:rsidRPr="007D0244">
          <w:rPr>
            <w:rStyle w:val="Hyperlink"/>
          </w:rPr>
          <w:t>https://github.com/Girguis-Lab/In-Situ-Mass-Spec/blob/ifremer-2026-build/Legacy-ISMS-firmw</w:t>
        </w:r>
        <w:r w:rsidR="007D0244" w:rsidRPr="007D0244">
          <w:rPr>
            <w:rStyle w:val="Hyperlink"/>
          </w:rPr>
          <w:t>a</w:t>
        </w:r>
        <w:r w:rsidR="007D0244" w:rsidRPr="007D0244">
          <w:rPr>
            <w:rStyle w:val="Hyperlink"/>
          </w:rPr>
          <w:t>re-Ifremer-2026/Legacy-ISMS-firmware-Ifremer-2026.ino</w:t>
        </w:r>
      </w:hyperlink>
    </w:p>
    <w:p w14:paraId="119417E7" w14:textId="6E558C22" w:rsidR="006F3B01" w:rsidRDefault="006F3B01" w:rsidP="007D0244">
      <w:pPr>
        <w:pStyle w:val="ListParagraph"/>
        <w:numPr>
          <w:ilvl w:val="0"/>
          <w:numId w:val="1"/>
        </w:numPr>
      </w:pPr>
      <w:r>
        <w:t xml:space="preserve">Modern: </w:t>
      </w:r>
      <w:hyperlink r:id="rId6" w:history="1">
        <w:r w:rsidR="007D0244" w:rsidRPr="007D0244">
          <w:rPr>
            <w:rStyle w:val="Hyperlink"/>
          </w:rPr>
          <w:t>https://github.com/Girguis-Lab/In-Situ-Mass-Spec/tree/ifremer-2026-build/</w:t>
        </w:r>
      </w:hyperlink>
    </w:p>
    <w:p w14:paraId="7B4E0BFF" w14:textId="770FD85F" w:rsidR="006F3B01" w:rsidRPr="006F3B01" w:rsidRDefault="006F3B01" w:rsidP="006F3B01">
      <w:pPr>
        <w:rPr>
          <w:b/>
          <w:bCs/>
        </w:rPr>
      </w:pPr>
      <w:r w:rsidRPr="006F3B01">
        <w:rPr>
          <w:b/>
          <w:bCs/>
        </w:rPr>
        <w:t>Construction Differences from prior ISMS versions</w:t>
      </w:r>
    </w:p>
    <w:p w14:paraId="7EE12453" w14:textId="24A7366B" w:rsidR="006F3B01" w:rsidRDefault="006F3B01" w:rsidP="008B309B">
      <w:pPr>
        <w:pStyle w:val="ListParagraph"/>
        <w:numPr>
          <w:ilvl w:val="0"/>
          <w:numId w:val="2"/>
        </w:numPr>
      </w:pPr>
      <w:r>
        <w:t xml:space="preserve">This ISMS uses newer vacuum components – the Pfeiffer </w:t>
      </w:r>
      <w:r w:rsidR="008B309B" w:rsidRPr="008B309B">
        <w:t>MVP 010-3 DC</w:t>
      </w:r>
      <w:r w:rsidR="008B309B">
        <w:t xml:space="preserve"> </w:t>
      </w:r>
      <w:r>
        <w:t xml:space="preserve">roughing pump </w:t>
      </w:r>
      <w:r w:rsidR="008B309B">
        <w:t>(</w:t>
      </w:r>
      <w:r>
        <w:t xml:space="preserve">model </w:t>
      </w:r>
      <w:r w:rsidR="008B309B" w:rsidRPr="008B309B">
        <w:t>2000020747</w:t>
      </w:r>
      <w:r w:rsidR="008B309B">
        <w:t>) a</w:t>
      </w:r>
      <w:r>
        <w:t>nd</w:t>
      </w:r>
      <w:r w:rsidRPr="006F3B01">
        <w:t xml:space="preserve"> </w:t>
      </w:r>
      <w:r>
        <w:t xml:space="preserve">Pfeiffer </w:t>
      </w:r>
      <w:proofErr w:type="spellStart"/>
      <w:r w:rsidR="008B309B" w:rsidRPr="008B309B">
        <w:t>HiPace</w:t>
      </w:r>
      <w:proofErr w:type="spellEnd"/>
      <w:r w:rsidR="008B309B" w:rsidRPr="008B309B">
        <w:t xml:space="preserve"> 80 Neo </w:t>
      </w:r>
      <w:r>
        <w:t xml:space="preserve">Turbomolecular pump </w:t>
      </w:r>
      <w:r w:rsidR="008B309B">
        <w:t>(</w:t>
      </w:r>
      <w:r>
        <w:t xml:space="preserve">model </w:t>
      </w:r>
      <w:r w:rsidR="008B309B" w:rsidRPr="008B309B">
        <w:t>2000013626</w:t>
      </w:r>
      <w:r w:rsidR="008B309B">
        <w:t>)</w:t>
      </w:r>
      <w:r w:rsidR="008B309B" w:rsidRPr="008B309B">
        <w:t xml:space="preserve"> </w:t>
      </w:r>
      <w:r w:rsidR="008B309B">
        <w:t xml:space="preserve"> </w:t>
      </w:r>
      <w:r>
        <w:t>with TC80 control unit.</w:t>
      </w:r>
    </w:p>
    <w:p w14:paraId="19DECF6F" w14:textId="0453AFBA" w:rsidR="008B309B" w:rsidRDefault="008B309B" w:rsidP="008B309B">
      <w:pPr>
        <w:pStyle w:val="ListParagraph"/>
        <w:numPr>
          <w:ilvl w:val="0"/>
          <w:numId w:val="2"/>
        </w:numPr>
      </w:pPr>
      <w:r>
        <w:t>Control electronics for unused features have been removed.</w:t>
      </w:r>
    </w:p>
    <w:p w14:paraId="6739C9F0" w14:textId="136260EE" w:rsidR="008B309B" w:rsidRDefault="008B309B" w:rsidP="008B309B">
      <w:pPr>
        <w:pStyle w:val="ListParagraph"/>
        <w:numPr>
          <w:ilvl w:val="0"/>
          <w:numId w:val="2"/>
        </w:numPr>
      </w:pPr>
      <w:r>
        <w:t xml:space="preserve">Extra 12v DC-DC converter added to </w:t>
      </w:r>
      <w:r w:rsidR="000A7F0D">
        <w:t>provide more 12v power for the Arduino and Mini PC.</w:t>
      </w:r>
    </w:p>
    <w:p w14:paraId="5048F3E0" w14:textId="07EB7B41" w:rsidR="008B309B" w:rsidRDefault="008B309B" w:rsidP="008B309B">
      <w:pPr>
        <w:pStyle w:val="ListParagraph"/>
        <w:numPr>
          <w:ilvl w:val="0"/>
          <w:numId w:val="2"/>
        </w:numPr>
      </w:pPr>
      <w:r>
        <w:t xml:space="preserve">Control of the cryotrap power </w:t>
      </w:r>
      <w:r w:rsidR="00B07EB8">
        <w:t xml:space="preserve">is used in place of </w:t>
      </w:r>
      <w:r>
        <w:t xml:space="preserve">PH probe power </w:t>
      </w:r>
      <w:r w:rsidR="00B07EB8">
        <w:t xml:space="preserve">control </w:t>
      </w:r>
      <w:r>
        <w:t>in prior models.</w:t>
      </w:r>
    </w:p>
    <w:p w14:paraId="57A971F3" w14:textId="77777777" w:rsidR="00B07EB8" w:rsidRDefault="008B309B" w:rsidP="008B309B">
      <w:pPr>
        <w:pStyle w:val="ListParagraph"/>
        <w:numPr>
          <w:ilvl w:val="0"/>
          <w:numId w:val="2"/>
        </w:numPr>
      </w:pPr>
      <w:r>
        <w:t>Groun</w:t>
      </w:r>
      <w:r w:rsidR="00B07EB8">
        <w:t>ding layout is different to remove noise and serial communication errors.</w:t>
      </w:r>
    </w:p>
    <w:p w14:paraId="4AAAFA60" w14:textId="7A098995" w:rsidR="008B309B" w:rsidRDefault="003B0022" w:rsidP="003B0022">
      <w:r>
        <w:t xml:space="preserve">&gt; </w:t>
      </w:r>
      <w:r w:rsidR="00B07EB8">
        <w:t>Major Component schematic as shown with only ground wires visible:</w:t>
      </w:r>
      <w:r w:rsidR="008B309B">
        <w:br/>
      </w:r>
      <w:r w:rsidR="00B07EB8">
        <w:rPr>
          <w:noProof/>
        </w:rPr>
        <w:drawing>
          <wp:inline distT="0" distB="0" distL="0" distR="0" wp14:anchorId="7A752C9B" wp14:editId="5AF00254">
            <wp:extent cx="4883922" cy="3507970"/>
            <wp:effectExtent l="0" t="0" r="5715" b="0"/>
            <wp:docPr id="32157630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1576309" name="Picture 321576309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68782" cy="35689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6796AA" w14:textId="3B6B2D4D" w:rsidR="006A48D5" w:rsidRDefault="006A48D5" w:rsidP="006A48D5">
      <w:r>
        <w:rPr>
          <w:b/>
          <w:bCs/>
        </w:rPr>
        <w:t>Optional Modifications</w:t>
      </w:r>
    </w:p>
    <w:p w14:paraId="758C603E" w14:textId="55126A40" w:rsidR="006F3B01" w:rsidRDefault="006A48D5" w:rsidP="006A48D5">
      <w:pPr>
        <w:pStyle w:val="ListParagraph"/>
        <w:numPr>
          <w:ilvl w:val="0"/>
          <w:numId w:val="4"/>
        </w:numPr>
      </w:pPr>
      <w:r>
        <w:lastRenderedPageBreak/>
        <w:t xml:space="preserve">As built the RGA rs232 cable has all 9 wires connected – many can be omitted and the instrument </w:t>
      </w:r>
      <w:proofErr w:type="spellStart"/>
      <w:r>
        <w:t>wil</w:t>
      </w:r>
      <w:proofErr w:type="spellEnd"/>
      <w:r>
        <w:t xml:space="preserve"> function, for example for routing the RS232 directly to the surface, only the TX, RX lines are needed (assuming the ground is already routed)</w:t>
      </w:r>
    </w:p>
    <w:p w14:paraId="44777FB4" w14:textId="56A18A82" w:rsidR="006A48D5" w:rsidRDefault="006A48D5" w:rsidP="006A48D5">
      <w:pPr>
        <w:pStyle w:val="ListParagraph"/>
        <w:numPr>
          <w:ilvl w:val="1"/>
          <w:numId w:val="4"/>
        </w:numPr>
      </w:pPr>
      <w:r>
        <w:t xml:space="preserve">To make a minimal Rs232 cable work both connectors need to be made in a special way to trick the computer and RGA into thinking they are always connected when powered. </w:t>
      </w:r>
    </w:p>
    <w:p w14:paraId="0F0F24D5" w14:textId="77777777" w:rsidR="003B0022" w:rsidRDefault="006A48D5" w:rsidP="006A48D5">
      <w:pPr>
        <w:pStyle w:val="ListParagraph"/>
        <w:numPr>
          <w:ilvl w:val="1"/>
          <w:numId w:val="4"/>
        </w:numPr>
      </w:pPr>
      <w:r>
        <w:t>Follow this wiring schematic</w:t>
      </w:r>
      <w:r w:rsidR="000049EA">
        <w:t xml:space="preserve"> </w:t>
      </w:r>
      <w:r>
        <w:t>to pass the minimum required number of wires between the RS232 RGA and laptop topside RS232 Adapter:</w:t>
      </w:r>
    </w:p>
    <w:p w14:paraId="00D5D0D5" w14:textId="42B3332C" w:rsidR="006A48D5" w:rsidRDefault="006A48D5" w:rsidP="004D3FBA">
      <w:pPr>
        <w:ind w:left="1080"/>
      </w:pPr>
      <w:r>
        <w:rPr>
          <w:noProof/>
        </w:rPr>
        <w:drawing>
          <wp:inline distT="0" distB="0" distL="0" distR="0" wp14:anchorId="4450BCD3" wp14:editId="1F633BD2">
            <wp:extent cx="4289367" cy="2511753"/>
            <wp:effectExtent l="0" t="0" r="3810" b="3175"/>
            <wp:docPr id="1082030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203059" name="Picture 108203059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52988" cy="26661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FF5246" w14:textId="77777777" w:rsidR="000A7F0D" w:rsidRDefault="000A7F0D" w:rsidP="000A7F0D"/>
    <w:p w14:paraId="29269231" w14:textId="77777777" w:rsidR="006F3B01" w:rsidRPr="006F3B01" w:rsidRDefault="006F3B01" w:rsidP="006F3B01"/>
    <w:p w14:paraId="520ECDFA" w14:textId="77777777" w:rsidR="006F3B01" w:rsidRDefault="006F3B01" w:rsidP="006F3B01">
      <w:pPr>
        <w:rPr>
          <w:rFonts w:ascii="Times New Roman" w:hAnsi="Times New Roman" w:cs="Times New Roman"/>
        </w:rPr>
      </w:pPr>
    </w:p>
    <w:p w14:paraId="415694CD" w14:textId="154A3313" w:rsidR="006F3B01" w:rsidRDefault="006F3B01" w:rsidP="006F3B01">
      <w:pPr>
        <w:rPr>
          <w:rFonts w:ascii="Times New Roman" w:hAnsi="Times New Roman" w:cs="Times New Roman"/>
        </w:rPr>
      </w:pPr>
    </w:p>
    <w:p w14:paraId="0E7D70E1" w14:textId="4F0FF988" w:rsidR="0062316A" w:rsidRPr="006F3B01" w:rsidRDefault="006F3B01" w:rsidP="006F3B01">
      <w:r>
        <w:rPr>
          <w:rFonts w:ascii="Times New Roman" w:hAnsi="Times New Roman" w:cs="Times New Roman"/>
        </w:rPr>
        <w:br/>
      </w:r>
    </w:p>
    <w:sectPr w:rsidR="0062316A" w:rsidRPr="006F3B01" w:rsidSect="003B0022">
      <w:pgSz w:w="12240" w:h="15840"/>
      <w:pgMar w:top="1440" w:right="1440" w:bottom="144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Rockwell">
    <w:panose1 w:val="02060603020205020403"/>
    <w:charset w:val="4D"/>
    <w:family w:val="roman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CB51FBF"/>
    <w:multiLevelType w:val="hybridMultilevel"/>
    <w:tmpl w:val="3D16C3A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D2C03F4"/>
    <w:multiLevelType w:val="hybridMultilevel"/>
    <w:tmpl w:val="CE8EAF8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4DA351D"/>
    <w:multiLevelType w:val="hybridMultilevel"/>
    <w:tmpl w:val="9C88A02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6A5620F"/>
    <w:multiLevelType w:val="hybridMultilevel"/>
    <w:tmpl w:val="6E42384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32306041">
    <w:abstractNumId w:val="1"/>
  </w:num>
  <w:num w:numId="2" w16cid:durableId="664362972">
    <w:abstractNumId w:val="2"/>
  </w:num>
  <w:num w:numId="3" w16cid:durableId="2097507598">
    <w:abstractNumId w:val="0"/>
  </w:num>
  <w:num w:numId="4" w16cid:durableId="269626639">
    <w:abstractNumId w:val="3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56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F3B01"/>
    <w:rsid w:val="000049EA"/>
    <w:rsid w:val="000124E0"/>
    <w:rsid w:val="000A7F0D"/>
    <w:rsid w:val="003B0022"/>
    <w:rsid w:val="00416B15"/>
    <w:rsid w:val="0049332F"/>
    <w:rsid w:val="004D3FBA"/>
    <w:rsid w:val="0062316A"/>
    <w:rsid w:val="006A48D5"/>
    <w:rsid w:val="006F3B01"/>
    <w:rsid w:val="007D0244"/>
    <w:rsid w:val="008B309B"/>
    <w:rsid w:val="00B07EB8"/>
    <w:rsid w:val="00DD6F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2D722D3"/>
  <w15:chartTrackingRefBased/>
  <w15:docId w15:val="{F058C6A7-A929-1642-BBF8-3323AC967D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D3FBA"/>
  </w:style>
  <w:style w:type="paragraph" w:styleId="Heading1">
    <w:name w:val="heading 1"/>
    <w:basedOn w:val="Normal"/>
    <w:next w:val="Normal"/>
    <w:link w:val="Heading1Char"/>
    <w:uiPriority w:val="9"/>
    <w:qFormat/>
    <w:rsid w:val="004D3FBA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B9130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D3FBA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F81B02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D3FBA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F81B02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D3FBA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F81B02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D3FBA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7B0D01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D3FBA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7B0D01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D3FBA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D3FBA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F81B02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D3FBA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D3FBA"/>
    <w:rPr>
      <w:rFonts w:asciiTheme="majorHAnsi" w:eastAsiaTheme="majorEastAsia" w:hAnsiTheme="majorHAnsi" w:cstheme="majorBidi"/>
      <w:b/>
      <w:bCs/>
      <w:color w:val="B9130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4D3FBA"/>
    <w:rPr>
      <w:rFonts w:asciiTheme="majorHAnsi" w:eastAsiaTheme="majorEastAsia" w:hAnsiTheme="majorHAnsi" w:cstheme="majorBidi"/>
      <w:b/>
      <w:bCs/>
      <w:color w:val="F81B02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D3FBA"/>
    <w:rPr>
      <w:rFonts w:asciiTheme="majorHAnsi" w:eastAsiaTheme="majorEastAsia" w:hAnsiTheme="majorHAnsi" w:cstheme="majorBidi"/>
      <w:b/>
      <w:bCs/>
      <w:color w:val="F81B02" w:themeColor="accen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D3FBA"/>
    <w:rPr>
      <w:rFonts w:asciiTheme="majorHAnsi" w:eastAsiaTheme="majorEastAsia" w:hAnsiTheme="majorHAnsi" w:cstheme="majorBidi"/>
      <w:b/>
      <w:bCs/>
      <w:i/>
      <w:iCs/>
      <w:color w:val="F81B02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D3FBA"/>
    <w:rPr>
      <w:rFonts w:asciiTheme="majorHAnsi" w:eastAsiaTheme="majorEastAsia" w:hAnsiTheme="majorHAnsi" w:cstheme="majorBidi"/>
      <w:color w:val="7B0D01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D3FBA"/>
    <w:rPr>
      <w:rFonts w:asciiTheme="majorHAnsi" w:eastAsiaTheme="majorEastAsia" w:hAnsiTheme="majorHAnsi" w:cstheme="majorBidi"/>
      <w:i/>
      <w:iCs/>
      <w:color w:val="7B0D01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D3FBA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D3FBA"/>
    <w:rPr>
      <w:rFonts w:asciiTheme="majorHAnsi" w:eastAsiaTheme="majorEastAsia" w:hAnsiTheme="majorHAnsi" w:cstheme="majorBidi"/>
      <w:color w:val="F81B02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D3FBA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Title">
    <w:name w:val="Title"/>
    <w:basedOn w:val="Normal"/>
    <w:next w:val="Normal"/>
    <w:link w:val="TitleChar"/>
    <w:uiPriority w:val="10"/>
    <w:qFormat/>
    <w:rsid w:val="004D3FBA"/>
    <w:pPr>
      <w:pBdr>
        <w:bottom w:val="single" w:sz="8" w:space="4" w:color="F81B02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333333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4D3FBA"/>
    <w:rPr>
      <w:rFonts w:asciiTheme="majorHAnsi" w:eastAsiaTheme="majorEastAsia" w:hAnsiTheme="majorHAnsi" w:cstheme="majorBidi"/>
      <w:color w:val="333333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4D3FBA"/>
    <w:pPr>
      <w:numPr>
        <w:ilvl w:val="1"/>
      </w:numPr>
    </w:pPr>
    <w:rPr>
      <w:rFonts w:asciiTheme="majorHAnsi" w:eastAsiaTheme="majorEastAsia" w:hAnsiTheme="majorHAnsi" w:cstheme="majorBidi"/>
      <w:i/>
      <w:iCs/>
      <w:color w:val="F81B02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4D3FBA"/>
    <w:rPr>
      <w:rFonts w:asciiTheme="majorHAnsi" w:eastAsiaTheme="majorEastAsia" w:hAnsiTheme="majorHAnsi" w:cstheme="majorBidi"/>
      <w:i/>
      <w:iCs/>
      <w:color w:val="F81B02" w:themeColor="accent1"/>
      <w:spacing w:val="15"/>
      <w:sz w:val="24"/>
      <w:szCs w:val="24"/>
    </w:rPr>
  </w:style>
  <w:style w:type="paragraph" w:styleId="Quote">
    <w:name w:val="Quote"/>
    <w:basedOn w:val="Normal"/>
    <w:next w:val="Normal"/>
    <w:link w:val="QuoteChar"/>
    <w:uiPriority w:val="29"/>
    <w:qFormat/>
    <w:rsid w:val="004D3FBA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4D3FBA"/>
    <w:rPr>
      <w:i/>
      <w:iCs/>
      <w:color w:val="000000" w:themeColor="text1"/>
    </w:rPr>
  </w:style>
  <w:style w:type="paragraph" w:styleId="ListParagraph">
    <w:name w:val="List Paragraph"/>
    <w:basedOn w:val="Normal"/>
    <w:uiPriority w:val="34"/>
    <w:qFormat/>
    <w:rsid w:val="004D3FB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D3FBA"/>
    <w:rPr>
      <w:b/>
      <w:bCs/>
      <w:i/>
      <w:iCs/>
      <w:color w:val="F81B02" w:themeColor="accen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D3FBA"/>
    <w:pPr>
      <w:pBdr>
        <w:bottom w:val="single" w:sz="4" w:space="4" w:color="F81B02" w:themeColor="accent1"/>
      </w:pBdr>
      <w:spacing w:before="200" w:after="280"/>
      <w:ind w:left="936" w:right="936"/>
    </w:pPr>
    <w:rPr>
      <w:b/>
      <w:bCs/>
      <w:i/>
      <w:iCs/>
      <w:color w:val="F81B02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D3FBA"/>
    <w:rPr>
      <w:b/>
      <w:bCs/>
      <w:i/>
      <w:iCs/>
      <w:color w:val="F81B02" w:themeColor="accent1"/>
    </w:rPr>
  </w:style>
  <w:style w:type="character" w:styleId="IntenseReference">
    <w:name w:val="Intense Reference"/>
    <w:basedOn w:val="DefaultParagraphFont"/>
    <w:uiPriority w:val="32"/>
    <w:qFormat/>
    <w:rsid w:val="004D3FBA"/>
    <w:rPr>
      <w:b/>
      <w:bCs/>
      <w:smallCaps/>
      <w:color w:val="FC7715" w:themeColor="accent2"/>
      <w:spacing w:val="5"/>
      <w:u w:val="single"/>
    </w:rPr>
  </w:style>
  <w:style w:type="character" w:styleId="Hyperlink">
    <w:name w:val="Hyperlink"/>
    <w:basedOn w:val="DefaultParagraphFont"/>
    <w:uiPriority w:val="99"/>
    <w:unhideWhenUsed/>
    <w:rsid w:val="007D0244"/>
    <w:rPr>
      <w:color w:val="FC5A1A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D0244"/>
    <w:rPr>
      <w:color w:val="605E5C"/>
      <w:shd w:val="clear" w:color="auto" w:fill="E1DFDD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4D3FBA"/>
    <w:pPr>
      <w:spacing w:line="240" w:lineRule="auto"/>
    </w:pPr>
    <w:rPr>
      <w:b/>
      <w:bCs/>
      <w:color w:val="F81B02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4D3FBA"/>
    <w:rPr>
      <w:b/>
      <w:bCs/>
    </w:rPr>
  </w:style>
  <w:style w:type="character" w:styleId="Emphasis">
    <w:name w:val="Emphasis"/>
    <w:basedOn w:val="DefaultParagraphFont"/>
    <w:uiPriority w:val="20"/>
    <w:qFormat/>
    <w:rsid w:val="004D3FBA"/>
    <w:rPr>
      <w:i/>
      <w:iCs/>
    </w:rPr>
  </w:style>
  <w:style w:type="paragraph" w:styleId="NoSpacing">
    <w:name w:val="No Spacing"/>
    <w:uiPriority w:val="1"/>
    <w:qFormat/>
    <w:rsid w:val="004D3FBA"/>
    <w:pPr>
      <w:spacing w:after="0" w:line="240" w:lineRule="auto"/>
    </w:pPr>
  </w:style>
  <w:style w:type="character" w:styleId="SubtleEmphasis">
    <w:name w:val="Subtle Emphasis"/>
    <w:basedOn w:val="DefaultParagraphFont"/>
    <w:uiPriority w:val="19"/>
    <w:qFormat/>
    <w:rsid w:val="004D3FBA"/>
    <w:rPr>
      <w:i/>
      <w:iCs/>
      <w:color w:val="808080" w:themeColor="text1" w:themeTint="7F"/>
    </w:rPr>
  </w:style>
  <w:style w:type="character" w:styleId="SubtleReference">
    <w:name w:val="Subtle Reference"/>
    <w:basedOn w:val="DefaultParagraphFont"/>
    <w:uiPriority w:val="31"/>
    <w:qFormat/>
    <w:rsid w:val="004D3FBA"/>
    <w:rPr>
      <w:smallCaps/>
      <w:color w:val="FC7715" w:themeColor="accent2"/>
      <w:u w:val="single"/>
    </w:rPr>
  </w:style>
  <w:style w:type="character" w:styleId="BookTitle">
    <w:name w:val="Book Title"/>
    <w:basedOn w:val="DefaultParagraphFont"/>
    <w:uiPriority w:val="33"/>
    <w:qFormat/>
    <w:rsid w:val="004D3FBA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4D3FBA"/>
    <w:pPr>
      <w:outlineLvl w:val="9"/>
    </w:pPr>
  </w:style>
  <w:style w:type="character" w:styleId="FollowedHyperlink">
    <w:name w:val="FollowedHyperlink"/>
    <w:basedOn w:val="DefaultParagraphFont"/>
    <w:uiPriority w:val="99"/>
    <w:semiHidden/>
    <w:unhideWhenUsed/>
    <w:rsid w:val="004D3FBA"/>
    <w:rPr>
      <w:color w:val="B49E74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Girguis-Lab/In-Situ-Mass-Spec/tree/ifremer-2026-build/" TargetMode="External"/><Relationship Id="rId5" Type="http://schemas.openxmlformats.org/officeDocument/2006/relationships/hyperlink" Target="https://github.com/Girguis-Lab/In-Situ-Mass-Spec/blob/ifremer-2026-build/Legacy-ISMS-firmware-Ifremer-2026/Legacy-ISMS-firmware-Ifremer-2026.ino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Atlas">
  <a:themeElements>
    <a:clrScheme name="Atlas">
      <a:dk1>
        <a:sysClr val="windowText" lastClr="000000"/>
      </a:dk1>
      <a:lt1>
        <a:sysClr val="window" lastClr="FFFFFF"/>
      </a:lt1>
      <a:dk2>
        <a:srgbClr val="454545"/>
      </a:dk2>
      <a:lt2>
        <a:srgbClr val="E0E0E0"/>
      </a:lt2>
      <a:accent1>
        <a:srgbClr val="F81B02"/>
      </a:accent1>
      <a:accent2>
        <a:srgbClr val="FC7715"/>
      </a:accent2>
      <a:accent3>
        <a:srgbClr val="AFBF41"/>
      </a:accent3>
      <a:accent4>
        <a:srgbClr val="50C49F"/>
      </a:accent4>
      <a:accent5>
        <a:srgbClr val="3B95C4"/>
      </a:accent5>
      <a:accent6>
        <a:srgbClr val="B560D4"/>
      </a:accent6>
      <a:hlink>
        <a:srgbClr val="FC5A1A"/>
      </a:hlink>
      <a:folHlink>
        <a:srgbClr val="B49E74"/>
      </a:folHlink>
    </a:clrScheme>
    <a:fontScheme name="Atlas">
      <a:majorFont>
        <a:latin typeface="Calibri Light" panose="020F0302020204030204"/>
        <a:ea typeface=""/>
        <a:cs typeface=""/>
        <a:font script="Jpan" typeface="ＭＳ Ｐ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Rockwell" panose="02060603020205020403"/>
        <a:ea typeface=""/>
        <a:cs typeface=""/>
        <a:font script="Jpan" typeface="ＭＳ Ｐゴシック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Atlas">
      <a:fillStyleLst>
        <a:solidFill>
          <a:schemeClr val="phClr"/>
        </a:solidFill>
        <a:gradFill rotWithShape="1">
          <a:gsLst>
            <a:gs pos="0">
              <a:schemeClr val="phClr">
                <a:tint val="62000"/>
                <a:alpha val="60000"/>
                <a:satMod val="109000"/>
                <a:lumMod val="110000"/>
              </a:schemeClr>
            </a:gs>
            <a:gs pos="100000">
              <a:schemeClr val="phClr">
                <a:tint val="78000"/>
                <a:alpha val="92000"/>
                <a:satMod val="109000"/>
                <a:lumMod val="100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tint val="98000"/>
                <a:satMod val="110000"/>
                <a:lumMod val="104000"/>
              </a:schemeClr>
            </a:gs>
            <a:gs pos="69000">
              <a:schemeClr val="phClr">
                <a:shade val="84000"/>
                <a:satMod val="130000"/>
                <a:lumMod val="92000"/>
              </a:schemeClr>
            </a:gs>
            <a:gs pos="100000">
              <a:schemeClr val="phClr">
                <a:shade val="76000"/>
                <a:satMod val="130000"/>
                <a:lumMod val="88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>
              <a:shade val="90000"/>
            </a:schemeClr>
          </a:solidFill>
          <a:prstDash val="solid"/>
        </a:ln>
        <a:ln w="15875" cap="flat" cmpd="sng" algn="ctr">
          <a:solidFill>
            <a:schemeClr val="phClr">
              <a:shade val="90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38100" dist="25400" dir="5400000" rotWithShape="0">
              <a:srgbClr val="000000">
                <a:alpha val="75000"/>
              </a:srgbClr>
            </a:outerShdw>
          </a:effectLst>
          <a:scene3d>
            <a:camera prst="orthographicFront">
              <a:rot lat="0" lon="0" rev="0"/>
            </a:camera>
            <a:lightRig rig="threePt" dir="tl"/>
          </a:scene3d>
          <a:sp3d>
            <a:bevelT w="0" h="0"/>
          </a:sp3d>
        </a:effectStyle>
      </a:effectStyleLst>
      <a:bgFillStyleLst>
        <a:solidFill>
          <a:schemeClr val="phClr"/>
        </a:solidFill>
        <a:solidFill>
          <a:schemeClr val="phClr"/>
        </a:solidFill>
        <a:gradFill rotWithShape="1">
          <a:gsLst>
            <a:gs pos="10000">
              <a:schemeClr val="phClr">
                <a:tint val="94000"/>
                <a:lumMod val="116000"/>
              </a:schemeClr>
            </a:gs>
            <a:gs pos="100000">
              <a:schemeClr val="phClr">
                <a:tint val="98000"/>
                <a:shade val="86000"/>
                <a:satMod val="90000"/>
                <a:lumMod val="88000"/>
              </a:schemeClr>
            </a:gs>
          </a:gsLst>
          <a:path path="circle">
            <a:fillToRect l="50000" t="15000" r="50000" b="169000"/>
          </a:path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Atlas" id="{5156B0E4-0EB1-49FE-A26B-15F6F698AEC6}" vid="{508F7963-D0B5-43F7-BB2C-FCE3009C08EC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67</TotalTime>
  <Pages>2</Pages>
  <Words>284</Words>
  <Characters>1621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Worcester-Moore, Kyle E</dc:creator>
  <cp:keywords/>
  <dc:description/>
  <cp:lastModifiedBy>Worcester-Moore, Kyle E</cp:lastModifiedBy>
  <cp:revision>3</cp:revision>
  <dcterms:created xsi:type="dcterms:W3CDTF">2026-07-08T15:35:00Z</dcterms:created>
  <dcterms:modified xsi:type="dcterms:W3CDTF">2026-07-15T19:29:00Z</dcterms:modified>
</cp:coreProperties>
</file>