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Fingerprinting System</w:t>
      </w:r>
    </w:p>
    <w:p>
      <w:r>
        <w:t>Enterprise architecture proposal for a Prompt Fingerprinting System.</w:t>
        <w:br/>
      </w:r>
    </w:p>
    <w:p>
      <w:pPr>
        <w:pStyle w:val="Heading2"/>
      </w:pPr>
      <w:r>
        <w:t>Overview</w:t>
      </w:r>
    </w:p>
    <w:p>
      <w:r>
        <w:t>The Prompt Fingerprinting System converts every incoming prompt into a reusable Prompt Fingerprint (PF-ID). This identity is used across semantic cache, model routing, security, analytics and version management.</w:t>
      </w:r>
    </w:p>
    <w:p>
      <w:pPr>
        <w:pStyle w:val="Heading2"/>
      </w:pPr>
      <w:r>
        <w:t>T1 – Prompt Ingestion &amp; Normalization</w:t>
      </w:r>
    </w:p>
    <w:p>
      <w:r>
        <w:t>Receive prompt, attached files and metadata. Normalize formatting, remove unnecessary variations, detect language and produce a canonical prompt plus metadata.</w:t>
      </w:r>
    </w:p>
    <w:p>
      <w:pPr>
        <w:pStyle w:val="Heading2"/>
      </w:pPr>
      <w:r>
        <w:t>T2 – Feature Extraction Engine</w:t>
      </w:r>
    </w:p>
    <w:p>
      <w:r>
        <w:t>Extract semantic features (embeddings, intent, entities), structural features (length, complexity, output type) and contextual features (domain, tools, security sensitivity). Produce a feature vector.</w:t>
      </w:r>
    </w:p>
    <w:p>
      <w:pPr>
        <w:pStyle w:val="Heading2"/>
      </w:pPr>
      <w:r>
        <w:t>T3 – Prompt Fingerprint Generation</w:t>
      </w:r>
    </w:p>
    <w:p>
      <w:r>
        <w:t>Combine semantic, structural and contextual features to generate a unique Prompt Fingerprint (PF-ID), fingerprint vector, feature summary and confidence score.</w:t>
      </w:r>
    </w:p>
    <w:p>
      <w:pPr>
        <w:pStyle w:val="Heading2"/>
      </w:pPr>
      <w:r>
        <w:t>T4 – Prompt Identity Registry</w:t>
      </w:r>
    </w:p>
    <w:p>
      <w:r>
        <w:t>Store PF-ID, fingerprint signature, metadata, versions, prompt families, execution history, latency, cost and cache statistics.</w:t>
      </w:r>
    </w:p>
    <w:p>
      <w:pPr>
        <w:pStyle w:val="Heading2"/>
      </w:pPr>
      <w:r>
        <w:t>T5 – Fingerprint Consumers</w:t>
      </w:r>
    </w:p>
    <w:p>
      <w:r>
        <w:t>Consumers include Semantic Cache, Model Router, Prompt Recommendation &amp; Optimization, Security &amp; Governance, Analytics &amp; Insights, and Prompt Version Manager.</w:t>
      </w:r>
    </w:p>
    <w:p>
      <w:pPr>
        <w:pStyle w:val="Heading2"/>
      </w:pPr>
      <w:r>
        <w:t>T6 – Fingerprint Learning Engine</w:t>
      </w:r>
    </w:p>
    <w:p>
      <w:r>
        <w:t>Continuously learn from execution history, cache hit rate, latency, user feedback and model performance to refine prompt families and fingerprint metadata.</w:t>
      </w:r>
    </w:p>
    <w:p>
      <w:pPr>
        <w:pStyle w:val="Heading2"/>
      </w:pPr>
      <w:r>
        <w:t>Inference / Execution</w:t>
      </w:r>
    </w:p>
    <w:p>
      <w:r>
        <w:t>Workflow: Prompt → Fingerprint → Registry → Cache → Model Selection → LLM Execution → Response → Store execution logs.</w:t>
      </w:r>
    </w:p>
    <w:p>
      <w:pPr>
        <w:pStyle w:val="Heading2"/>
      </w:pPr>
      <w:r>
        <w:t>Novelty</w:t>
      </w:r>
    </w:p>
    <w:p>
      <w:r>
        <w:t>The invention introduces a reusable Prompt Identity Layer rather than relying solely on embeddings. The fingerprint combines semantic, structural and contextual characteristics and is reused across multiple enterprise services.</w:t>
      </w:r>
    </w:p>
    <w:p>
      <w:pPr>
        <w:pStyle w:val="Heading2"/>
      </w:pPr>
      <w:r>
        <w:t>Overall Flow</w:t>
      </w:r>
    </w:p>
    <w:p>
      <w:r>
        <w:t>User Prompt -&gt; T1 -&gt; T2 -&gt; T3 -&gt; T4 -&gt; T5 -&gt; Inference -&gt; Response</w:t>
        <w:br/>
        <w:t xml:space="preserve">                 ^</w:t>
        <w:br/>
        <w:t xml:space="preserve">                 |</w:t>
        <w:br/>
        <w:t xml:space="preserve">                T6 (Learning)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