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Michael Bradley - 3D models, Materials, scene 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Giridhar Chalumuri - Virtual environment Art and road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Marks - Sounds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Yujie Zhang - Scripts and Highlighting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Yiping Zhong - Scripts and Highlighting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ATCM 6349.001 Virtual Reality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Ryan P. McMahan, Ph.D.</w:t>
    </w:r>
  </w:p>
  <w:p w:rsidR="00000000" w:rsidDel="00000000" w:rsidP="00000000" w:rsidRDefault="00000000" w:rsidRPr="00000000">
    <w:pPr>
      <w:pStyle w:val="Heading3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ind w:right="40"/>
      <w:contextualSpacing w:val="0"/>
      <w:rPr/>
    </w:pPr>
    <w:bookmarkStart w:colFirst="0" w:colLast="0" w:name="_56iviycbkjmy" w:id="0"/>
    <w:bookmarkEnd w:id="0"/>
    <w:r w:rsidDel="00000000" w:rsidR="00000000" w:rsidRPr="00000000">
      <w:rPr>
        <w:rFonts w:ascii="Helvetica Neue" w:cs="Helvetica Neue" w:eastAsia="Helvetica Neue" w:hAnsi="Helvetica Neue"/>
        <w:color w:val="000000"/>
        <w:sz w:val="23"/>
        <w:szCs w:val="23"/>
        <w:rtl w:val="0"/>
      </w:rPr>
      <w:t xml:space="preserve">Preliminary Prototype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Michael Bradley, Giridhar Chalumuri, David Marks, Yujie Zhang,Yiping Zhong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Fix-A-Flat Team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