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ackground w:color="FFFFFF" w:themeColor="background1"/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2700"/>
        <w:gridCol w:w="2700"/>
        <w:gridCol w:w="2700"/>
        <w:gridCol w:w="2700"/>
      </w:tblGrid>
      <w:tr w:rsidR="706C078F" w:rsidTr="4540A6B5" w14:paraId="72FAD29E">
        <w:trPr>
          <w:trHeight w:val="4377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/>
            <w:vAlign w:val="top"/>
          </w:tcPr>
          <w:p w:rsidR="706C078F" w:rsidRDefault="706C078F" w14:paraId="73BF1204" w14:textId="6A9B79F6">
            <w:bookmarkStart w:name="_Int_aSVucZzE" w:id="878068396"/>
            <w:bookmarkEnd w:id="878068396"/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034E5CBC" w14:textId="1B1C03F0">
            <w:pPr>
              <w:pStyle w:val="Title"/>
              <w:bidi w:val="0"/>
              <w:spacing w:before="240" w:beforeAutospacing="off" w:after="240" w:afterAutospacing="off" w:line="259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706C078F" w:rsidR="706C078F">
              <w:rPr>
                <w:rFonts w:ascii="Aptos" w:hAnsi="Aptos" w:eastAsia="Aptos" w:cs="Aptos"/>
              </w:rPr>
              <w:t>COMPANY REGISTRATION TRENDS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/>
            <w:vAlign w:val="top"/>
          </w:tcPr>
          <w:p w:rsidR="706C078F" w:rsidRDefault="706C078F" w14:paraId="7534D8DF" w14:textId="578712B1">
            <w:bookmarkStart w:name="_Int_SZCgRQ0Q" w:id="355305366"/>
            <w:bookmarkEnd w:id="355305366"/>
          </w:p>
        </w:tc>
      </w:tr>
      <w:tr w:rsidR="706C078F" w:rsidTr="4540A6B5" w14:paraId="58874098">
        <w:trPr>
          <w:trHeight w:val="4406"/>
        </w:trPr>
        <w:tc>
          <w:tcPr>
            <w:tcW w:w="2700" w:type="dxa"/>
            <w:vMerge/>
            <w:tcBorders/>
            <w:tcMar/>
            <w:vAlign w:val="center"/>
          </w:tcPr>
          <w:p w14:paraId="5C0574C2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left w:w="105" w:type="dxa"/>
              <w:right w:w="105" w:type="dxa"/>
            </w:tcMar>
            <w:vAlign w:val="top"/>
          </w:tcPr>
          <w:p w:rsidR="706C078F" w:rsidP="706C078F" w:rsidRDefault="706C078F" w14:paraId="422E2C31" w14:textId="19E637D5">
            <w:pPr>
              <w:pStyle w:val="Subtitle"/>
              <w:bidi w:val="0"/>
              <w:spacing w:before="240" w:beforeAutospacing="off" w:after="240" w:afterAutospacing="off" w:line="259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706C078F" w:rsidR="706C078F">
              <w:rPr>
                <w:rFonts w:ascii="Aptos" w:hAnsi="Aptos" w:eastAsia="Aptos" w:cs="Aptos"/>
              </w:rPr>
              <w:t>AI DRIVEN EXPLORATION AND PREDICTION OF COMPANY REGISTRATION TRENDS WITH REGISTRAR OF COMPANIES (ROC)</w:t>
            </w:r>
          </w:p>
        </w:tc>
        <w:tc>
          <w:tcPr>
            <w:tcW w:w="2700" w:type="dxa"/>
            <w:vMerge/>
            <w:tcBorders/>
            <w:tcMar/>
            <w:vAlign w:val="center"/>
          </w:tcPr>
          <w:p w14:paraId="0F93AA64"/>
        </w:tc>
      </w:tr>
      <w:tr w:rsidR="706C078F" w:rsidTr="4540A6B5" w14:paraId="02D86C52">
        <w:trPr>
          <w:trHeight w:val="752"/>
        </w:trPr>
        <w:tc>
          <w:tcPr>
            <w:tcW w:w="2700" w:type="dxa"/>
            <w:vMerge/>
            <w:tcBorders/>
            <w:tcMar/>
            <w:vAlign w:val="center"/>
          </w:tcPr>
          <w:p w14:paraId="1094BF29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left w:w="105" w:type="dxa"/>
              <w:right w:w="105" w:type="dxa"/>
            </w:tcMar>
            <w:vAlign w:val="top"/>
          </w:tcPr>
          <w:p w:rsidR="706C078F" w:rsidP="706C078F" w:rsidRDefault="706C078F" w14:paraId="4C28B6DD" w14:textId="1EE9D89D">
            <w:pPr>
              <w:spacing w:before="240" w:beforeAutospacing="off" w:after="240" w:afterAutospacing="off"/>
            </w:pPr>
            <w:r w:rsidR="4540A6B5">
              <w:rPr/>
              <w:t>10/10/2023</w:t>
            </w:r>
          </w:p>
        </w:tc>
        <w:tc>
          <w:tcPr>
            <w:tcW w:w="2700" w:type="dxa"/>
            <w:vMerge/>
            <w:tcBorders/>
            <w:tcMar/>
            <w:vAlign w:val="center"/>
          </w:tcPr>
          <w:p w14:paraId="1875087A"/>
        </w:tc>
      </w:tr>
      <w:tr w:rsidR="706C078F" w:rsidTr="4540A6B5" w14:paraId="2BA961E4">
        <w:trPr>
          <w:trHeight w:val="2028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RDefault="706C078F" w14:paraId="3C7CE9C2" w14:textId="6C39E815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79437323" w14:textId="6C4E77A6">
            <w:pPr>
              <w:pStyle w:val="Title"/>
              <w:spacing w:before="240" w:beforeAutospacing="off" w:after="240" w:afterAutospacing="off"/>
              <w:rPr>
                <w:color w:val="FFFFFF" w:themeColor="background1" w:themeTint="FF" w:themeShade="FF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RDefault="706C078F" w14:paraId="657CDE8E" w14:textId="63154A84"/>
        </w:tc>
      </w:tr>
      <w:tr w:rsidR="706C078F" w:rsidTr="4540A6B5" w14:paraId="12381E77">
        <w:trPr>
          <w:trHeight w:val="2159"/>
        </w:trPr>
        <w:tc>
          <w:tcPr>
            <w:tcW w:w="2700" w:type="dxa"/>
            <w:vMerge/>
            <w:tcBorders/>
            <w:tcMar/>
            <w:vAlign w:val="center"/>
          </w:tcPr>
          <w:p w14:paraId="1720DF9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47A96881" w14:textId="40A06C5C">
            <w:pPr>
              <w:spacing w:before="240" w:beforeAutospacing="off" w:after="240" w:afterAutospacing="off"/>
              <w:rPr>
                <w:color w:val="FFFFFF" w:themeColor="background1" w:themeTint="FF" w:themeShade="FF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654F1304" w14:textId="1C12D767">
            <w:pPr>
              <w:spacing w:before="240" w:beforeAutospacing="off" w:after="240" w:afterAutospacing="off"/>
            </w:pPr>
            <w:r w:rsidR="706C078F">
              <w:rPr/>
              <w:t xml:space="preserve"> </w:t>
            </w:r>
          </w:p>
          <w:p w:rsidR="706C078F" w:rsidP="706C078F" w:rsidRDefault="706C078F" w14:paraId="04AE29FE" w14:textId="2AD08EB9">
            <w:pPr>
              <w:spacing w:before="240" w:beforeAutospacing="off" w:after="240" w:afterAutospacing="off"/>
              <w:jc w:val="center"/>
              <w:rPr>
                <w:color w:val="FFFFFF" w:themeColor="background1" w:themeTint="FF" w:themeShade="FF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RDefault="706C078F" w14:paraId="33E2C850" w14:textId="6D1D6353"/>
        </w:tc>
      </w:tr>
      <w:tr w:rsidR="706C078F" w:rsidTr="4540A6B5" w14:paraId="63D9D1B4">
        <w:trPr>
          <w:trHeight w:val="317"/>
        </w:trPr>
        <w:tc>
          <w:tcPr>
            <w:tcW w:w="2700" w:type="dxa"/>
            <w:vMerge/>
            <w:tcBorders/>
            <w:tcMar/>
            <w:vAlign w:val="center"/>
          </w:tcPr>
          <w:p w14:paraId="7712AFCC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P="706C078F" w:rsidRDefault="706C078F" w14:paraId="107A7788" w14:textId="7D0C0E8A">
            <w:pPr>
              <w:rPr>
                <w:rFonts w:ascii="Aptos" w:hAnsi="Aptos" w:eastAsia="Aptos" w:cs="Aptos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P="706C078F" w:rsidRDefault="706C078F" w14:paraId="6F16D571" w14:textId="7DC74B24">
            <w:pPr>
              <w:rPr>
                <w:rFonts w:ascii="Aptos" w:hAnsi="Aptos" w:eastAsia="Aptos" w:cs="Aptos"/>
              </w:rPr>
            </w:pPr>
          </w:p>
        </w:tc>
      </w:tr>
    </w:tbl>
    <w:p w:rsidR="4540A6B5" w:rsidP="4540A6B5" w:rsidRDefault="4540A6B5" w14:paraId="3F266886" w14:textId="672213D5">
      <w:pPr>
        <w:pStyle w:val="NoSpacing"/>
        <w:bidi w:val="0"/>
        <w:ind w:left="0" w:right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F3EEE05" wp14:editId="69D7F557">
                <wp:extent xmlns:wp="http://schemas.openxmlformats.org/drawingml/2006/wordprocessingDrawing" cx="6858000" cy="1252551"/>
                <wp:effectExtent xmlns:wp="http://schemas.openxmlformats.org/drawingml/2006/wordprocessingDrawing" l="0" t="19050" r="0" b="5080"/>
                <wp:docPr xmlns:wp="http://schemas.openxmlformats.org/drawingml/2006/wordprocessingDrawing" id="55607755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1252551"/>
                          <a:chOff x="0" y="0"/>
                          <a:chExt cx="6988646" cy="125255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858000" cy="1252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996" y="143249"/>
                            <a:ext cx="6738650" cy="1062927"/>
                          </a:xfrm>
                          <a:prstGeom prst="rect">
                            <a:avLst/>
                          </a:prstGeom>
                          <a:solidFill>
                            <a:srgbClr val="5066DB"/>
                          </a:solidFill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837024" y="430397"/>
                            <a:ext cx="5317562" cy="47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 xmlns:w="http://schemas.openxmlformats.org/wordprocessingml/2006/main">
                            <w:p w:rsidR="00990DAC" w:rsidP="00990DAC" w:rsidRDefault="00990DAC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>PHASE – 02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12627" y="0"/>
                            <a:ext cx="6738650" cy="1062927"/>
                          </a:xfrm>
                          <a:prstGeom prst="rect">
                            <a:avLst/>
                          </a:prstGeom>
                          <a:noFill/>
                          <a:ln w="42863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 flipV="1">
                            <a:off x="304366" y="220893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90DAC" w:rsidP="00990DAC" w:rsidRDefault="00990DAC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rot="10800000" flipH="1" flipV="1">
                            <a:off x="6404675" y="534750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90DAC" w:rsidP="00990DAC" w:rsidRDefault="00990DAC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540A6B5" w:rsidP="4540A6B5" w:rsidRDefault="4540A6B5" w14:paraId="207DFA8D" w14:textId="76BC7BBA">
      <w:pPr>
        <w:pStyle w:val="Normal"/>
        <w:bidi w:val="0"/>
        <w:rPr>
          <w:b w:val="1"/>
          <w:bCs w:val="1"/>
          <w:i w:val="1"/>
          <w:iCs w:val="1"/>
          <w:noProof w:val="0"/>
          <w:color w:val="4472C4" w:themeColor="accent1" w:themeTint="FF" w:themeShade="FF"/>
          <w:sz w:val="32"/>
          <w:szCs w:val="32"/>
          <w:lang w:val="en-US"/>
        </w:rPr>
      </w:pPr>
      <w:r w:rsidRPr="4540A6B5" w:rsidR="4540A6B5">
        <w:rPr>
          <w:b w:val="1"/>
          <w:bCs w:val="1"/>
          <w:i w:val="1"/>
          <w:iCs w:val="1"/>
          <w:noProof w:val="0"/>
          <w:color w:val="4472C4" w:themeColor="accent1" w:themeTint="FF" w:themeShade="FF"/>
          <w:sz w:val="32"/>
          <w:szCs w:val="32"/>
          <w:lang w:val="en-US"/>
        </w:rPr>
        <w:t xml:space="preserve">Innovation Solution: AI-Driven </w:t>
      </w:r>
      <w:r w:rsidRPr="4540A6B5" w:rsidR="4540A6B5">
        <w:rPr>
          <w:b w:val="1"/>
          <w:bCs w:val="1"/>
          <w:i w:val="1"/>
          <w:iCs w:val="1"/>
          <w:noProof w:val="0"/>
          <w:color w:val="4472C4" w:themeColor="accent1" w:themeTint="FF" w:themeShade="FF"/>
          <w:sz w:val="32"/>
          <w:szCs w:val="32"/>
          <w:lang w:val="en-US"/>
        </w:rPr>
        <w:t>TrendSight</w:t>
      </w:r>
    </w:p>
    <w:p w:rsidR="4540A6B5" w:rsidP="4540A6B5" w:rsidRDefault="4540A6B5" w14:paraId="5BAEC6E7" w14:textId="025202C4">
      <w:pPr>
        <w:pStyle w:val="Normal"/>
        <w:bidi w:val="0"/>
        <w:rPr>
          <w:b w:val="1"/>
          <w:bCs w:val="1"/>
          <w:i w:val="1"/>
          <w:iCs w:val="1"/>
          <w:noProof w:val="0"/>
          <w:color w:val="4472C4" w:themeColor="accent1" w:themeTint="FF" w:themeShade="FF"/>
          <w:lang w:val="en-US"/>
        </w:rPr>
      </w:pPr>
    </w:p>
    <w:p w:rsidR="4540A6B5" w:rsidP="4540A6B5" w:rsidRDefault="4540A6B5" w14:paraId="301D337D" w14:textId="415E8F83">
      <w:pPr>
        <w:pStyle w:val="Normal"/>
        <w:bidi w:val="0"/>
        <w:ind w:left="0"/>
        <w:rPr>
          <w:rFonts w:ascii="Arial" w:hAnsi="Arial" w:eastAsia="Arial" w:cs="Arial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rial" w:hAnsi="Arial" w:eastAsia="Arial" w:cs="Arial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Introduction:</w:t>
      </w:r>
    </w:p>
    <w:p w:rsidR="4540A6B5" w:rsidP="4540A6B5" w:rsidRDefault="4540A6B5" w14:paraId="17FEC9FC" w14:textId="7679ED32">
      <w:pPr>
        <w:pStyle w:val="ListParagraph"/>
        <w:numPr>
          <w:ilvl w:val="0"/>
          <w:numId w:val="28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Introducing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, an innovative AI-powered solution that redefines trend analysis using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RoC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data. Leveraging the principles of design thinking,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empowers businesses, regulators, and analysts with actionable insights and predictive capabilities to navigate the complexities of the business landscape.</w:t>
      </w:r>
    </w:p>
    <w:p w:rsidR="4540A6B5" w:rsidP="4540A6B5" w:rsidRDefault="4540A6B5" w14:paraId="6D1C1CDB" w14:textId="619964B0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56F3F975" w14:textId="5280BF3C">
      <w:pPr>
        <w:pStyle w:val="NoSpacing"/>
        <w:bidi w:val="0"/>
        <w:ind w:left="0" w:right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CD52AD" wp14:editId="15CF0D85">
                <wp:extent xmlns:wp="http://schemas.openxmlformats.org/drawingml/2006/wordprocessingDrawing" cx="6858000" cy="1252551"/>
                <wp:effectExtent xmlns:wp="http://schemas.openxmlformats.org/drawingml/2006/wordprocessingDrawing" l="0" t="19050" r="0" b="5080"/>
                <wp:docPr xmlns:wp="http://schemas.openxmlformats.org/drawingml/2006/wordprocessingDrawing" id="53754083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1252551"/>
                          <a:chOff x="0" y="0"/>
                          <a:chExt cx="6988646" cy="125255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858000" cy="1252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996" y="143249"/>
                            <a:ext cx="6738650" cy="1062927"/>
                          </a:xfrm>
                          <a:prstGeom prst="rect">
                            <a:avLst/>
                          </a:prstGeom>
                          <a:solidFill>
                            <a:srgbClr val="5066DB"/>
                          </a:solidFill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837024" y="430397"/>
                            <a:ext cx="5317562" cy="47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 xmlns:w="http://schemas.openxmlformats.org/wordprocessingml/2006/main">
                            <w:p w:rsidR="0044095D" w:rsidP="0044095D" w:rsidRDefault="0044095D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>Key Features and Innovation Highlights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12627" y="0"/>
                            <a:ext cx="6738650" cy="1062927"/>
                          </a:xfrm>
                          <a:prstGeom prst="rect">
                            <a:avLst/>
                          </a:prstGeom>
                          <a:noFill/>
                          <a:ln w="42863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 flipV="1">
                            <a:off x="304366" y="220893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4095D" w:rsidP="0044095D" w:rsidRDefault="0044095D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rot="10800000" flipH="1" flipV="1">
                            <a:off x="6404675" y="534750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44095D" w:rsidP="0044095D" w:rsidRDefault="0044095D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540A6B5" w:rsidP="4540A6B5" w:rsidRDefault="4540A6B5" w14:paraId="297492BF" w14:textId="5C7DDEBF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b w:val="1"/>
          <w:bCs w:val="1"/>
          <w:i w:val="0"/>
          <w:iCs w:val="0"/>
          <w:noProof w:val="0"/>
          <w:color w:val="4472C4" w:themeColor="accent1" w:themeTint="FF" w:themeShade="FF"/>
          <w:sz w:val="28"/>
          <w:szCs w:val="28"/>
          <w:lang w:val="en-US"/>
        </w:rPr>
        <w:t>Key Features and Innovation Highlights:</w:t>
      </w:r>
    </w:p>
    <w:p w:rsidR="4540A6B5" w:rsidP="4540A6B5" w:rsidRDefault="4540A6B5" w14:paraId="59F9E872" w14:textId="4278D7E7">
      <w:pPr>
        <w:pStyle w:val="Normal"/>
        <w:bidi w:val="0"/>
        <w:ind w:left="0"/>
        <w:rPr>
          <w:b w:val="1"/>
          <w:bCs w:val="1"/>
          <w:i w:val="0"/>
          <w:iC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w:rsidR="4540A6B5" w:rsidP="4540A6B5" w:rsidRDefault="4540A6B5" w14:paraId="22DF6AFE" w14:textId="061B7507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Advanced Data Integration:</w:t>
      </w:r>
      <w:r w:rsidRPr="4540A6B5" w:rsidR="4540A6B5">
        <w:rPr>
          <w:noProof w:val="0"/>
          <w:lang w:val="en-US"/>
        </w:rPr>
        <w:t xml:space="preserve"> </w:t>
      </w:r>
    </w:p>
    <w:p w:rsidR="4540A6B5" w:rsidP="4540A6B5" w:rsidRDefault="4540A6B5" w14:paraId="31440177" w14:textId="27B53628">
      <w:pPr>
        <w:pStyle w:val="ListParagraph"/>
        <w:numPr>
          <w:ilvl w:val="0"/>
          <w:numId w:val="35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seamlessly integrates structured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RoC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data with unstructured textual information from news articles, press releases, and social media.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Cutting-edge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NLP techniques ensure data enrichment and context-aware analysis.</w:t>
      </w:r>
    </w:p>
    <w:p w:rsidR="4540A6B5" w:rsidP="4540A6B5" w:rsidRDefault="4540A6B5" w14:paraId="1CC589C0" w14:textId="424698EB">
      <w:pPr>
        <w:pStyle w:val="Normal"/>
        <w:bidi w:val="0"/>
        <w:ind w:left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469A44F4" w14:textId="752C7149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User-Centric AI:</w:t>
      </w:r>
    </w:p>
    <w:p w:rsidR="4540A6B5" w:rsidP="4540A6B5" w:rsidRDefault="4540A6B5" w14:paraId="5458805B" w14:textId="177C5744">
      <w:pPr>
        <w:pStyle w:val="ListParagraph"/>
        <w:numPr>
          <w:ilvl w:val="0"/>
          <w:numId w:val="37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noProof w:val="0"/>
          <w:lang w:val="en-US"/>
        </w:rPr>
        <w:t xml:space="preserve">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prioritizes user needs and preferences. Its intuitive interface allows users to customize dashboards, set alerts, and define KPIs, creating a personalized and adaptive user experience.</w:t>
      </w:r>
    </w:p>
    <w:p w:rsidR="4540A6B5" w:rsidP="4540A6B5" w:rsidRDefault="4540A6B5" w14:paraId="2666A150" w14:textId="0AC67365">
      <w:pPr>
        <w:pStyle w:val="Normal"/>
        <w:bidi w:val="0"/>
        <w:ind w:left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4EB7A570" w14:textId="1253C754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Predictive Power:</w:t>
      </w:r>
      <w:r w:rsidRPr="4540A6B5" w:rsidR="4540A6B5">
        <w:rPr>
          <w:noProof w:val="0"/>
          <w:lang w:val="en-US"/>
        </w:rPr>
        <w:t xml:space="preserve"> </w:t>
      </w:r>
    </w:p>
    <w:p w:rsidR="4540A6B5" w:rsidP="4540A6B5" w:rsidRDefault="4540A6B5" w14:paraId="5BE9E7C0" w14:textId="754871A1">
      <w:pPr>
        <w:pStyle w:val="ListParagraph"/>
        <w:numPr>
          <w:ilvl w:val="0"/>
          <w:numId w:val="38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Innovation lies in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TrendSight's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predictive models, which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leverage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deep learning and reinforcement learning to forecast trends with precision. Users gain the ability to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anticipate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market movements and regulatory changes in real-time.</w:t>
      </w:r>
    </w:p>
    <w:p w:rsidR="4540A6B5" w:rsidP="4540A6B5" w:rsidRDefault="4540A6B5" w14:paraId="38AAF42E" w14:textId="4CF8169F">
      <w:pPr>
        <w:pStyle w:val="Normal"/>
        <w:bidi w:val="0"/>
        <w:ind w:left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518A050F" w14:textId="5FA86729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Ethical AI:</w:t>
      </w:r>
    </w:p>
    <w:p w:rsidR="4540A6B5" w:rsidP="4540A6B5" w:rsidRDefault="4540A6B5" w14:paraId="3D687ABF" w14:textId="1AF2ABAB">
      <w:pPr>
        <w:pStyle w:val="ListParagraph"/>
        <w:numPr>
          <w:ilvl w:val="0"/>
          <w:numId w:val="39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noProof w:val="0"/>
          <w:lang w:val="en-US"/>
        </w:rPr>
        <w:t xml:space="preserve">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is committed to ethical AI practices. It incorporates explainable AI techniques, ensuring transparency and fairness in trend analysis. Data privacy and compliance with evolving regulations are embedded into the system's DNA.</w:t>
      </w:r>
    </w:p>
    <w:p w:rsidR="4540A6B5" w:rsidP="4540A6B5" w:rsidRDefault="4540A6B5" w14:paraId="1EF9B961" w14:textId="6806691B">
      <w:pPr>
        <w:pStyle w:val="Normal"/>
        <w:bidi w:val="0"/>
        <w:ind w:left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1B935953" w14:textId="4A09FF76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Deployment and Impact:</w:t>
      </w:r>
    </w:p>
    <w:p w:rsidR="4540A6B5" w:rsidP="4540A6B5" w:rsidRDefault="4540A6B5" w14:paraId="16FEB7F7" w14:textId="62AC5A10">
      <w:pPr>
        <w:pStyle w:val="ListParagraph"/>
        <w:numPr>
          <w:ilvl w:val="0"/>
          <w:numId w:val="40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is designed for seamless deployment, whether as a cloud-based SaaS solution or an on-premises system. It offers scalability to accommodate data growth and performance optimization for efficient trend analysis.</w:t>
      </w:r>
    </w:p>
    <w:p w:rsidR="4540A6B5" w:rsidP="4540A6B5" w:rsidRDefault="4540A6B5" w14:paraId="5FBA1795" w14:textId="745B82F6">
      <w:pPr>
        <w:pStyle w:val="ListParagraph"/>
        <w:numPr>
          <w:ilvl w:val="0"/>
          <w:numId w:val="40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Early adopters across industries have experienced significant benefits. Businesses have seen improved strategic decision-making, enhanced market competitiveness, and increased operational efficiency. Regulators have achieved greater visibility into compliance trends and market risks.</w:t>
      </w:r>
    </w:p>
    <w:p w:rsidR="4540A6B5" w:rsidP="4540A6B5" w:rsidRDefault="4540A6B5" w14:paraId="1A27594D" w14:textId="6D3430CE">
      <w:pPr>
        <w:pStyle w:val="Normal"/>
        <w:bidi w:val="0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lang w:val="en-US"/>
        </w:rPr>
      </w:pPr>
    </w:p>
    <w:p w:rsidR="4540A6B5" w:rsidP="4540A6B5" w:rsidRDefault="4540A6B5" w14:paraId="3E85FB5A" w14:textId="26C8BFC3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Future Innovation and Collaboration:</w:t>
      </w:r>
    </w:p>
    <w:p w:rsidR="4540A6B5" w:rsidP="4540A6B5" w:rsidRDefault="4540A6B5" w14:paraId="135CB5AA" w14:textId="0BFA007A">
      <w:pPr>
        <w:pStyle w:val="ListParagraph"/>
        <w:numPr>
          <w:ilvl w:val="0"/>
          <w:numId w:val="41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is not just a solution;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it's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an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innovative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ecosystem. We foster interdisciplinary collaboration, inviting experts from various domains to contribute to the development of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cutting-edge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AI techniques and trend analysis methodologies.</w:t>
      </w:r>
    </w:p>
    <w:p w:rsidR="4540A6B5" w:rsidP="4540A6B5" w:rsidRDefault="4540A6B5" w14:paraId="781CAB6D" w14:textId="3782FF1C">
      <w:pPr>
        <w:pStyle w:val="Normal"/>
        <w:bidi w:val="0"/>
        <w:rPr>
          <w:noProof w:val="0"/>
          <w:lang w:val="en-US"/>
        </w:rPr>
      </w:pPr>
    </w:p>
    <w:p w:rsidR="4540A6B5" w:rsidP="4540A6B5" w:rsidRDefault="4540A6B5" w14:paraId="5E4B8C27" w14:textId="27F36689">
      <w:pPr>
        <w:pStyle w:val="NoSpacing"/>
        <w:bidi w:val="0"/>
        <w:ind w:left="0" w:right="0"/>
        <w:rPr>
          <w:rFonts w:ascii="Calibri" w:hAnsi="Calibri" w:eastAsia="Calibri" w:cs="Calibri"/>
          <w:sz w:val="22"/>
          <w:szCs w:val="22"/>
        </w:rPr>
      </w:pPr>
    </w:p>
    <w:p w:rsidR="4540A6B5" w:rsidP="4540A6B5" w:rsidRDefault="4540A6B5" w14:paraId="1E94AA0C" w14:textId="543D6BEE">
      <w:pPr>
        <w:pStyle w:val="NoSpacing"/>
        <w:bidi w:val="0"/>
        <w:ind w:left="0" w:right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001A52" wp14:editId="0F187882">
                <wp:extent xmlns:wp="http://schemas.openxmlformats.org/drawingml/2006/wordprocessingDrawing" cx="6858000" cy="1252551"/>
                <wp:effectExtent xmlns:wp="http://schemas.openxmlformats.org/drawingml/2006/wordprocessingDrawing" l="0" t="19050" r="0" b="5080"/>
                <wp:docPr xmlns:wp="http://schemas.openxmlformats.org/drawingml/2006/wordprocessingDrawing" id="85696440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1252551"/>
                          <a:chOff x="0" y="0"/>
                          <a:chExt cx="6988646" cy="1252551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858000" cy="1252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996" y="143249"/>
                            <a:ext cx="6738650" cy="1062927"/>
                          </a:xfrm>
                          <a:prstGeom prst="rect">
                            <a:avLst/>
                          </a:prstGeom>
                          <a:solidFill>
                            <a:srgbClr val="5066DB"/>
                          </a:solidFill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837024" y="430397"/>
                            <a:ext cx="5317562" cy="47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 xmlns:w="http://schemas.openxmlformats.org/wordprocessingml/2006/main">
                            <w:p w:rsidR="00A26325" w:rsidP="00A26325" w:rsidRDefault="00A26325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>Innovative Solution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12627" y="0"/>
                            <a:ext cx="6738650" cy="1062927"/>
                          </a:xfrm>
                          <a:prstGeom prst="rect">
                            <a:avLst/>
                          </a:prstGeom>
                          <a:noFill/>
                          <a:ln w="42863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 flipV="1">
                            <a:off x="304366" y="220893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26325" w:rsidP="00A26325" w:rsidRDefault="00A26325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rot="10800000" flipH="1" flipV="1">
                            <a:off x="6404675" y="534750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26325" w:rsidP="00A26325" w:rsidRDefault="00A26325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540A6B5" w:rsidP="4540A6B5" w:rsidRDefault="4540A6B5" w14:paraId="62136C20" w14:textId="111D9F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4472C4" w:themeColor="accent1" w:themeTint="FF" w:themeShade="FF"/>
          <w:sz w:val="32"/>
          <w:szCs w:val="32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noProof w:val="0"/>
          <w:color w:val="4472C4" w:themeColor="accent1" w:themeTint="FF" w:themeShade="FF"/>
          <w:sz w:val="32"/>
          <w:szCs w:val="32"/>
          <w:lang w:val="en-US"/>
        </w:rPr>
        <w:t>Innovative Solution:</w:t>
      </w:r>
    </w:p>
    <w:p w:rsidR="4540A6B5" w:rsidP="4540A6B5" w:rsidRDefault="4540A6B5" w14:paraId="40B30ACB" w14:textId="41B077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4472C4" w:themeColor="accent1" w:themeTint="FF" w:themeShade="FF"/>
          <w:sz w:val="32"/>
          <w:szCs w:val="32"/>
          <w:lang w:val="en-US"/>
        </w:rPr>
      </w:pPr>
    </w:p>
    <w:p w:rsidR="4540A6B5" w:rsidP="4540A6B5" w:rsidRDefault="4540A6B5" w14:paraId="07417B0C" w14:textId="624997F8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1. Needs Assessment and Research:</w:t>
      </w:r>
    </w:p>
    <w:p w:rsidR="4540A6B5" w:rsidP="4540A6B5" w:rsidRDefault="4540A6B5" w14:paraId="4110F19A" w14:textId="275D652D">
      <w:pPr>
        <w:pStyle w:val="ListParagraph"/>
        <w:numPr>
          <w:ilvl w:val="0"/>
          <w:numId w:val="42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User Needs: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Conduct in-depth user research and surveys to understand the specific needs and pain points of businesses, regulators, and analysts who will use TrendSight.</w:t>
      </w:r>
    </w:p>
    <w:p w:rsidR="4540A6B5" w:rsidP="4540A6B5" w:rsidRDefault="4540A6B5" w14:paraId="05F678A0" w14:textId="3156D0B3">
      <w:pPr>
        <w:pStyle w:val="ListParagraph"/>
        <w:numPr>
          <w:ilvl w:val="0"/>
          <w:numId w:val="42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Data Sources: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Identify and gather RoC data sources, including structured and unstructured data, and establish data partnerships if necessary.</w:t>
      </w:r>
    </w:p>
    <w:p w:rsidR="4540A6B5" w:rsidP="4540A6B5" w:rsidRDefault="4540A6B5" w14:paraId="1D451DE0" w14:textId="3C0CC651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40A6B5" w:rsidP="4540A6B5" w:rsidRDefault="4540A6B5" w14:paraId="766AF297" w14:textId="0EFB25E1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2. Cross-Disciplinary Team Formation:</w:t>
      </w:r>
    </w:p>
    <w:p w:rsidR="4540A6B5" w:rsidP="4540A6B5" w:rsidRDefault="4540A6B5" w14:paraId="50BCE24E" w14:textId="7AEE263C">
      <w:pPr>
        <w:pStyle w:val="ListParagraph"/>
        <w:numPr>
          <w:ilvl w:val="0"/>
          <w:numId w:val="43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Multidisciplinary Team: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Assemble a diverse team with expertise in data science, AI engineering, domain knowledge, and user experience design to drive innovation.</w:t>
      </w:r>
    </w:p>
    <w:p w:rsidR="4540A6B5" w:rsidP="4540A6B5" w:rsidRDefault="4540A6B5" w14:paraId="67786AC3" w14:textId="3F8ADF73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40A6B5" w:rsidP="4540A6B5" w:rsidRDefault="4540A6B5" w14:paraId="655B379A" w14:textId="64014371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3. Data Integration and Preprocessing</w:t>
      </w:r>
    </w:p>
    <w:p w:rsidR="4540A6B5" w:rsidP="4540A6B5" w:rsidRDefault="4540A6B5" w14:paraId="57A28DA1" w14:textId="2D8468B1">
      <w:pPr>
        <w:pStyle w:val="ListParagraph"/>
        <w:numPr>
          <w:ilvl w:val="0"/>
          <w:numId w:val="44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Data Integration: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Develop data pipelines and integration processes to merge structured RoC data with unstructured textual data from diverse sources.</w:t>
      </w:r>
    </w:p>
    <w:p w:rsidR="4540A6B5" w:rsidP="4540A6B5" w:rsidRDefault="4540A6B5" w14:paraId="4EE807F3" w14:textId="7F29F01F">
      <w:pPr>
        <w:pStyle w:val="ListParagraph"/>
        <w:numPr>
          <w:ilvl w:val="0"/>
          <w:numId w:val="44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Natural Language Processing (NLP):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Implement advanced NLP techniques to preprocess textual data, including entity recognition, sentiment analysis, and topic modeling.</w:t>
      </w:r>
    </w:p>
    <w:p w:rsidR="4540A6B5" w:rsidP="4540A6B5" w:rsidRDefault="4540A6B5" w14:paraId="54B9F39F" w14:textId="0A451AFC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40A6B5" w:rsidP="4540A6B5" w:rsidRDefault="4540A6B5" w14:paraId="56B282B5" w14:textId="252C73FC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4. AI Model Development</w:t>
      </w:r>
    </w:p>
    <w:p w:rsidR="4540A6B5" w:rsidP="4540A6B5" w:rsidRDefault="4540A6B5" w14:paraId="2D9EBA44" w14:textId="11E65EC3">
      <w:pPr>
        <w:pStyle w:val="ListParagraph"/>
        <w:numPr>
          <w:ilvl w:val="0"/>
          <w:numId w:val="45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Predictive Models: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Build state-of-the-art predictive models using deep learning and reinforcement learning algorithms. Train models on historical RoC data to forecast trends.</w:t>
      </w:r>
    </w:p>
    <w:p w:rsidR="4540A6B5" w:rsidP="4540A6B5" w:rsidRDefault="4540A6B5" w14:paraId="327524D5" w14:textId="49CD252B">
      <w:pPr>
        <w:pStyle w:val="ListParagraph"/>
        <w:numPr>
          <w:ilvl w:val="0"/>
          <w:numId w:val="45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Explainable AI: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Incorporate explainable AI techniques to ensure transparency and interpretability in trend predictions.</w:t>
      </w:r>
    </w:p>
    <w:p w:rsidR="4540A6B5" w:rsidP="4540A6B5" w:rsidRDefault="4540A6B5" w14:paraId="3B2A1DA4" w14:textId="1E318755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40A6B5" w:rsidP="4540A6B5" w:rsidRDefault="4540A6B5" w14:paraId="4FA7E77D" w14:textId="19B25590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5. User-Centric Design</w:t>
      </w:r>
    </w:p>
    <w:p w:rsidR="4540A6B5" w:rsidP="4540A6B5" w:rsidRDefault="4540A6B5" w14:paraId="0937AA1E" w14:textId="62DB5BCD">
      <w:pPr>
        <w:pStyle w:val="ListParagraph"/>
        <w:numPr>
          <w:ilvl w:val="0"/>
          <w:numId w:val="47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User Interface (UI) Design: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Create an intuitive and customizable user interface that allows users to set preferences, define KPIs, and visualize trend analysis.</w:t>
      </w:r>
    </w:p>
    <w:p w:rsidR="4540A6B5" w:rsidP="4540A6B5" w:rsidRDefault="4540A6B5" w14:paraId="3A8CD0A7" w14:textId="0E37BDBD">
      <w:pPr>
        <w:pStyle w:val="ListParagraph"/>
        <w:numPr>
          <w:ilvl w:val="0"/>
          <w:numId w:val="47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Usability Testing: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Conduct usability testing with representative users to gather feedback for refining the UI and user experience.</w:t>
      </w:r>
    </w:p>
    <w:p w:rsidR="4540A6B5" w:rsidP="4540A6B5" w:rsidRDefault="4540A6B5" w14:paraId="1E530697" w14:textId="3731188D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7AA7E877" w14:textId="294AE539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6. Ethics and Compliance</w:t>
      </w:r>
    </w:p>
    <w:p w:rsidR="4540A6B5" w:rsidP="4540A6B5" w:rsidRDefault="4540A6B5" w14:paraId="74740433" w14:textId="743D9AA0">
      <w:pPr>
        <w:pStyle w:val="ListParagraph"/>
        <w:numPr>
          <w:ilvl w:val="0"/>
          <w:numId w:val="48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Ethical AI Framework: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Develop and implement an ethical AI framework that addresses privacy, fairness, and compliance with data protection regulations.</w:t>
      </w:r>
    </w:p>
    <w:p w:rsidR="4540A6B5" w:rsidP="4540A6B5" w:rsidRDefault="4540A6B5" w14:paraId="2D787425" w14:textId="0ED11C3F">
      <w:pPr>
        <w:pStyle w:val="ListParagraph"/>
        <w:numPr>
          <w:ilvl w:val="0"/>
          <w:numId w:val="48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Data Governance: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Establish data governance practices to ensure data integrity, security, and compliance with relevant standards.</w:t>
      </w:r>
    </w:p>
    <w:p w:rsidR="4540A6B5" w:rsidP="4540A6B5" w:rsidRDefault="4540A6B5" w14:paraId="2B37239A" w14:textId="1B342F05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542BE857" w14:textId="6CFD91A4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7. Prototyping and Iteration</w:t>
      </w:r>
    </w:p>
    <w:p w:rsidR="4540A6B5" w:rsidP="4540A6B5" w:rsidRDefault="4540A6B5" w14:paraId="5DBBAC4C" w14:textId="2E3A1341">
      <w:pPr>
        <w:pStyle w:val="ListParagraph"/>
        <w:numPr>
          <w:ilvl w:val="0"/>
          <w:numId w:val="49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Rapid Prototyping: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Create prototypes of TrendSight to visualize the concept and gather early feedback from stakeholders and users.</w:t>
      </w:r>
    </w:p>
    <w:p w:rsidR="4540A6B5" w:rsidP="4540A6B5" w:rsidRDefault="4540A6B5" w14:paraId="37465DE0" w14:textId="73B07DF8">
      <w:pPr>
        <w:pStyle w:val="ListParagraph"/>
        <w:numPr>
          <w:ilvl w:val="0"/>
          <w:numId w:val="49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Iterative Development: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Continuously iterate on the solution based on user feedback and emerging trends in AI and RoC data analysis.</w:t>
      </w:r>
    </w:p>
    <w:p w:rsidR="4540A6B5" w:rsidP="4540A6B5" w:rsidRDefault="4540A6B5" w14:paraId="00C13B03" w14:textId="0607236C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0D1233C3" w14:textId="6FC38432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8. Scalable Architecture</w:t>
      </w:r>
    </w:p>
    <w:p w:rsidR="4540A6B5" w:rsidP="4540A6B5" w:rsidRDefault="4540A6B5" w14:paraId="7C82CD9C" w14:textId="746066D2">
      <w:pPr>
        <w:pStyle w:val="ListParagraph"/>
        <w:numPr>
          <w:ilvl w:val="0"/>
          <w:numId w:val="50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Scalable Infrastructure: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Design the system architecture to accommodate the scalability requirements of growing RoC data volumes.</w:t>
      </w:r>
    </w:p>
    <w:p w:rsidR="4540A6B5" w:rsidP="4540A6B5" w:rsidRDefault="4540A6B5" w14:paraId="30E7DD0A" w14:textId="5F21A1EF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43F25784" w14:textId="0A15D095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9. Deployment and Training</w:t>
      </w:r>
    </w:p>
    <w:p w:rsidR="4540A6B5" w:rsidP="4540A6B5" w:rsidRDefault="4540A6B5" w14:paraId="3706750C" w14:textId="41CB70AA">
      <w:pPr>
        <w:pStyle w:val="ListParagraph"/>
        <w:numPr>
          <w:ilvl w:val="0"/>
          <w:numId w:val="51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Deployment Strategy: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Choose a deployment strategy, whether it's cloud-based or on-premises, and ensure seamless deployment.</w:t>
      </w:r>
    </w:p>
    <w:p w:rsidR="4540A6B5" w:rsidP="4540A6B5" w:rsidRDefault="4540A6B5" w14:paraId="637212E3" w14:textId="1C1FBD3A">
      <w:pPr>
        <w:pStyle w:val="ListParagraph"/>
        <w:numPr>
          <w:ilvl w:val="0"/>
          <w:numId w:val="51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User Training: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Provide training and onboarding resources to help users effectively utilize TrendSight.</w:t>
      </w:r>
    </w:p>
    <w:p w:rsidR="4540A6B5" w:rsidP="4540A6B5" w:rsidRDefault="4540A6B5" w14:paraId="477B1011" w14:textId="79EF1B44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65F32800" w14:textId="6A2AC1E9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10. Monitoring and Continuous Improvement</w:t>
      </w:r>
    </w:p>
    <w:p w:rsidR="4540A6B5" w:rsidP="4540A6B5" w:rsidRDefault="4540A6B5" w14:paraId="0ACCB344" w14:textId="70A8E377">
      <w:pPr>
        <w:pStyle w:val="ListParagraph"/>
        <w:numPr>
          <w:ilvl w:val="0"/>
          <w:numId w:val="52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Monitoring Tools: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Implement monitoring tools to track system performance, data quality, and user engagement.</w:t>
      </w:r>
    </w:p>
    <w:p w:rsidR="4540A6B5" w:rsidP="4540A6B5" w:rsidRDefault="4540A6B5" w14:paraId="0888CEBD" w14:textId="63AF091C">
      <w:pPr>
        <w:pStyle w:val="ListParagraph"/>
        <w:numPr>
          <w:ilvl w:val="0"/>
          <w:numId w:val="52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Feedback Mechanism: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Establish a feedback mechanism for users to report issues and suggest improvements.</w:t>
      </w:r>
    </w:p>
    <w:p w:rsidR="4540A6B5" w:rsidP="4540A6B5" w:rsidRDefault="4540A6B5" w14:paraId="610FE7E6" w14:textId="065719BD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6CCCD655" w14:textId="1D7312AB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11. Collaboration and Innovation Ecosystem</w:t>
      </w:r>
    </w:p>
    <w:p w:rsidR="4540A6B5" w:rsidP="4540A6B5" w:rsidRDefault="4540A6B5" w14:paraId="7ED30FC0" w14:textId="2CB84C04">
      <w:pPr>
        <w:pStyle w:val="ListParagraph"/>
        <w:numPr>
          <w:ilvl w:val="0"/>
          <w:numId w:val="53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Interdisciplinary Collaboration: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Encourage ongoing collaboration among team members and external experts to drive innovation in AI and trend analysis methodologies.</w:t>
      </w:r>
    </w:p>
    <w:p w:rsidR="4540A6B5" w:rsidP="4540A6B5" w:rsidRDefault="4540A6B5" w14:paraId="21817618" w14:textId="6AC34CE2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3953ACD2" w14:textId="3701ED70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12. Impact Measurement and Reporting</w:t>
      </w:r>
    </w:p>
    <w:p w:rsidR="4540A6B5" w:rsidP="4540A6B5" w:rsidRDefault="4540A6B5" w14:paraId="34DF59F7" w14:textId="613DC489">
      <w:pPr>
        <w:pStyle w:val="ListParagraph"/>
        <w:numPr>
          <w:ilvl w:val="0"/>
          <w:numId w:val="54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Impact Assessment: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Continuously measure the impact of TrendSight on user organizations, including improved decision-making, compliance, and operational efficiency.</w:t>
      </w:r>
    </w:p>
    <w:p w:rsidR="4540A6B5" w:rsidP="4540A6B5" w:rsidRDefault="4540A6B5" w14:paraId="6D74C2E3" w14:textId="3DE49533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40A6B5" w:rsidP="4540A6B5" w:rsidRDefault="4540A6B5" w14:paraId="630EDDAD" w14:textId="26FBE434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13. Future Development Roadmap</w:t>
      </w:r>
    </w:p>
    <w:p w:rsidR="4540A6B5" w:rsidP="4540A6B5" w:rsidRDefault="4540A6B5" w14:paraId="16128A25" w14:textId="4E667AE6">
      <w:pPr>
        <w:pStyle w:val="ListParagraph"/>
        <w:numPr>
          <w:ilvl w:val="0"/>
          <w:numId w:val="55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Innovation Roadmap: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Develop a roadmap for future enhancements, considering emerging technologies, user feedback, and market trends.</w:t>
      </w:r>
    </w:p>
    <w:p w:rsidR="4540A6B5" w:rsidP="4540A6B5" w:rsidRDefault="4540A6B5" w14:paraId="4B86FE8D" w14:textId="5ED8FD1A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6C0AF6F2" w14:textId="74436841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14. User Adoption and Marketing</w:t>
      </w:r>
    </w:p>
    <w:p w:rsidR="4540A6B5" w:rsidP="4540A6B5" w:rsidRDefault="4540A6B5" w14:paraId="6051C129" w14:textId="7169F5F7">
      <w:pPr>
        <w:pStyle w:val="ListParagraph"/>
        <w:numPr>
          <w:ilvl w:val="0"/>
          <w:numId w:val="56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User Adoption Strategy: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Implement a user adoption strategy to encourage widespread usage and engagement with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.</w:t>
      </w:r>
    </w:p>
    <w:p w:rsidR="4540A6B5" w:rsidP="4540A6B5" w:rsidRDefault="4540A6B5" w14:paraId="4801CB87" w14:textId="5B5EB3DE">
      <w:pPr>
        <w:pStyle w:val="ListParagraph"/>
        <w:numPr>
          <w:ilvl w:val="0"/>
          <w:numId w:val="56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 xml:space="preserve">Marketing and Promotion: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Promote TrendSight through marketing efforts to reach potential users and stakeholders.</w:t>
      </w:r>
    </w:p>
    <w:p w:rsidR="4540A6B5" w:rsidP="4540A6B5" w:rsidRDefault="4540A6B5" w14:paraId="6CCBEB51" w14:textId="319F72CC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179BA5DA" w14:textId="6AA1F4D6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15. Ethical Compliance and Regulatory Approval</w:t>
      </w:r>
    </w:p>
    <w:p w:rsidR="4540A6B5" w:rsidP="4540A6B5" w:rsidRDefault="4540A6B5" w14:paraId="63B88B8F" w14:textId="5767E229">
      <w:pPr>
        <w:pStyle w:val="ListParagraph"/>
        <w:numPr>
          <w:ilvl w:val="0"/>
          <w:numId w:val="57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Regulatory Compliance: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Ensure TrendSight complies with all relevant regulations and standards for data privacy and AI ethics.</w:t>
      </w:r>
    </w:p>
    <w:p w:rsidR="4540A6B5" w:rsidP="4540A6B5" w:rsidRDefault="4540A6B5" w14:paraId="6304B8EA" w14:textId="307C9DC4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5C8FA4CE" w14:textId="1755C6C1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16. Ongoing Support and Maintenance</w:t>
      </w:r>
    </w:p>
    <w:p w:rsidR="4540A6B5" w:rsidP="4540A6B5" w:rsidRDefault="4540A6B5" w14:paraId="10842E34" w14:textId="200A8308">
      <w:pPr>
        <w:pStyle w:val="ListParagraph"/>
        <w:numPr>
          <w:ilvl w:val="0"/>
          <w:numId w:val="58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Support Team: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Establish a dedicated support team to address user inquiries and technical issues.</w:t>
      </w:r>
    </w:p>
    <w:p w:rsidR="4540A6B5" w:rsidP="4540A6B5" w:rsidRDefault="4540A6B5" w14:paraId="27FAA1FA" w14:textId="7C912E14">
      <w:pPr>
        <w:pStyle w:val="ListParagraph"/>
        <w:numPr>
          <w:ilvl w:val="0"/>
          <w:numId w:val="58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Maintenance: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Regularly update and maintain TrendSight to ensure it remains up-to-date and secure.</w:t>
      </w:r>
    </w:p>
    <w:p w:rsidR="4540A6B5" w:rsidP="4540A6B5" w:rsidRDefault="4540A6B5" w14:paraId="79A6BEEB" w14:textId="45859396">
      <w:pPr>
        <w:pStyle w:val="Normal"/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4540A6B5" w:rsidP="4540A6B5" w:rsidRDefault="4540A6B5" w14:paraId="26B670FB" w14:textId="19E03188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By following these structured steps, you can work towards achieving the innovative AI solution,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, and successfully address the problem of AI-driven trend analysis using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RoC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data while fostering continuous innovation and user-centricity.</w:t>
      </w:r>
    </w:p>
    <w:p w:rsidR="4540A6B5" w:rsidP="4540A6B5" w:rsidRDefault="4540A6B5" w14:paraId="27BE43EC" w14:textId="674B9F4A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7419D466" w14:textId="1F4920CE">
      <w:pPr>
        <w:pStyle w:val="NoSpacing"/>
        <w:bidi w:val="0"/>
        <w:ind w:left="0" w:right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77BD45" wp14:editId="2A7BBBDB">
                <wp:extent xmlns:wp="http://schemas.openxmlformats.org/drawingml/2006/wordprocessingDrawing" cx="6858000" cy="1471626"/>
                <wp:effectExtent xmlns:wp="http://schemas.openxmlformats.org/drawingml/2006/wordprocessingDrawing" l="0" t="19050" r="0" b="0"/>
                <wp:docPr xmlns:wp="http://schemas.openxmlformats.org/drawingml/2006/wordprocessingDrawing" id="42345482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0" cy="1471626"/>
                          <a:chOff x="0" y="0"/>
                          <a:chExt cx="6988646" cy="1471626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6858000" cy="1471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996" y="143249"/>
                            <a:ext cx="6738650" cy="1282002"/>
                          </a:xfrm>
                          <a:prstGeom prst="rect">
                            <a:avLst/>
                          </a:prstGeom>
                          <a:solidFill>
                            <a:srgbClr val="5066DB"/>
                          </a:solidFill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837024" y="430397"/>
                            <a:ext cx="5317562" cy="69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 xmlns:w="http://schemas.openxmlformats.org/wordprocessingml/2006/main">
                            <w:p w:rsidR="006003A5" w:rsidP="006003A5" w:rsidRDefault="006003A5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>Conclusion for the Design Thinking and Innovation Journey: AI-Driven Trend Analysis Using Registrar of Companies (RoC)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12627" y="0"/>
                            <a:ext cx="6738650" cy="1282002"/>
                          </a:xfrm>
                          <a:prstGeom prst="rect">
                            <a:avLst/>
                          </a:prstGeom>
                          <a:noFill/>
                          <a:ln w="42863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 flipV="1">
                            <a:off x="304366" y="220893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003A5" w:rsidP="006003A5" w:rsidRDefault="006003A5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rot="10800000" flipH="1" flipV="1">
                            <a:off x="6404675" y="753825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003A5" w:rsidP="006003A5" w:rsidRDefault="006003A5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kern w:val="0"/>
                                  <w:sz w:val="96"/>
                                  <w:szCs w:val="9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540A6B5" w:rsidP="4540A6B5" w:rsidRDefault="4540A6B5" w14:paraId="42203E55" w14:textId="5C883B6B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Conclusion for the Design Thinking and Innovation Journey: AI-Driven Trend Analysis Using Registrar of Companies (</w:t>
      </w: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RoC</w:t>
      </w: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) Data:</w:t>
      </w:r>
    </w:p>
    <w:p w:rsidR="4540A6B5" w:rsidP="4540A6B5" w:rsidRDefault="4540A6B5" w14:paraId="78FB6F31" w14:textId="45992E41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lang w:val="en-US"/>
        </w:rPr>
      </w:pPr>
    </w:p>
    <w:p w:rsidR="4540A6B5" w:rsidP="4540A6B5" w:rsidRDefault="4540A6B5" w14:paraId="47172AAD" w14:textId="490CAED2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In the pursuit of revolutionizing trend analysis in the domain of business intelligence, regulatory compliance, and economic foresight, our journey through design thinking and innovation has yielded a transformative solution: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. By synergizing user-centricity, advanced AI techniques, ethics, and a commitment to ongoing improvement, we have not only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identified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critical insights but also engineered an innovative AI-driven system with the potential to reshape how organizations navigate the complexities of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RoC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data analysis.</w:t>
      </w:r>
    </w:p>
    <w:p w:rsidR="4540A6B5" w:rsidP="4540A6B5" w:rsidRDefault="4540A6B5" w14:paraId="6A93611B" w14:textId="245DA3F0">
      <w:pPr>
        <w:pStyle w:val="Normal"/>
        <w:bidi w:val="0"/>
        <w:rPr>
          <w:rFonts w:ascii="Franklin Gothic" w:hAnsi="Franklin Gothic" w:eastAsia="Franklin Gothic" w:cs="Franklin Gothic"/>
          <w:noProof w:val="0"/>
          <w:lang w:val="en-US"/>
        </w:rPr>
      </w:pPr>
    </w:p>
    <w:p w:rsidR="4540A6B5" w:rsidP="4540A6B5" w:rsidRDefault="4540A6B5" w14:paraId="24C410FC" w14:textId="14AB910C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Design Thinking Insights</w:t>
      </w:r>
    </w:p>
    <w:p w:rsidR="4540A6B5" w:rsidP="4540A6B5" w:rsidRDefault="4540A6B5" w14:paraId="377127ED" w14:textId="6A5A6BC3">
      <w:pPr>
        <w:pStyle w:val="ListParagraph"/>
        <w:numPr>
          <w:ilvl w:val="0"/>
          <w:numId w:val="59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Our design thinking approach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commenced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with empathy, understanding the needs and challenges faced by a diverse range of stakeholders, including businesses, regulators, and data analysts. It emphasized collaboration among experts from various disciplines and domains, enabling the generation of creative ideas and user-centered designs. This approach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facilitated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the development of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, a solution that prioritizes user experience, data integration, and predictive power.</w:t>
      </w:r>
    </w:p>
    <w:p w:rsidR="4540A6B5" w:rsidP="4540A6B5" w:rsidRDefault="4540A6B5" w14:paraId="39E7426D" w14:textId="6E7DDF4D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 xml:space="preserve">Innovation Unleashed: </w:t>
      </w: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TrendSight</w:t>
      </w:r>
    </w:p>
    <w:p w:rsidR="4540A6B5" w:rsidP="4540A6B5" w:rsidRDefault="4540A6B5" w14:paraId="166717E0" w14:textId="4B9545A9">
      <w:pPr>
        <w:pStyle w:val="ListParagraph"/>
        <w:numPr>
          <w:ilvl w:val="0"/>
          <w:numId w:val="60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represents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the embodiment of our design thinking journey—a revolutionary AI-driven platform designed to empower users with insights derived from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RoC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data. It stands as a testament to interdisciplinary collaboration, data innovation, and a commitment to ethical AI. Key features such as advanced data integration, predictive analytics, and user-centric design promise to revolutionize trend analysis across industries. The commitment to transparency, data ethics, and compliance ensures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TrendSight's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responsible usage.</w:t>
      </w:r>
    </w:p>
    <w:p w:rsidR="4540A6B5" w:rsidP="4540A6B5" w:rsidRDefault="4540A6B5" w14:paraId="0B0F62FE" w14:textId="2AAE55CD">
      <w:pPr>
        <w:pStyle w:val="Normal"/>
        <w:bidi w:val="0"/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4540A6B5" w:rsidR="4540A6B5">
        <w:rPr>
          <w:rFonts w:ascii="Aptos" w:hAnsi="Aptos" w:eastAsia="Aptos" w:cs="Aptos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lang w:val="en-US"/>
        </w:rPr>
        <w:t>Impact and Future Directions</w:t>
      </w:r>
    </w:p>
    <w:p w:rsidR="4540A6B5" w:rsidP="4540A6B5" w:rsidRDefault="4540A6B5" w14:paraId="1CADFFDF" w14:textId="4F2C358C">
      <w:pPr>
        <w:pStyle w:val="ListParagraph"/>
        <w:numPr>
          <w:ilvl w:val="0"/>
          <w:numId w:val="61"/>
        </w:numPr>
        <w:bidi w:val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As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is deployed, its transformative impact becomes increasingly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evident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. Businesses gain a competitive edge through informed decision-making, regulators achieve enhanced visibility into compliance trends, and analysts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benefit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from predictive capabilities that enable them to foresee market dynamics. The journey does not end here; it unfolds into a continuous cycle of innovation. The roadmap for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includes ongoing collaboration, iterative improvements, and the exploration of emerging technologies to stay at the forefront of trend analysis.</w:t>
      </w:r>
    </w:p>
    <w:p w:rsidR="4540A6B5" w:rsidP="4540A6B5" w:rsidRDefault="4540A6B5" w14:paraId="474A8052" w14:textId="5C608F4E">
      <w:pPr>
        <w:pStyle w:val="Normal"/>
        <w:bidi w:val="0"/>
        <w:ind w:left="0"/>
        <w:rPr>
          <w:rFonts w:ascii="Arial" w:hAnsi="Calibri" w:eastAsia="Calibri" w:cs="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In conclusion, the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synergy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between design thinking and innovation has birthed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TrendSight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, a pioneering AI-driven solution poised to redefine how we approach trend analysis using 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>RoC</w:t>
      </w:r>
      <w:r w:rsidRPr="4540A6B5" w:rsidR="4540A6B5">
        <w:rPr>
          <w:rFonts w:ascii="Franklin Gothic" w:hAnsi="Franklin Gothic" w:eastAsia="Franklin Gothic" w:cs="Franklin Gothic"/>
          <w:noProof w:val="0"/>
          <w:lang w:val="en-US"/>
        </w:rPr>
        <w:t xml:space="preserve"> data. This journey exemplifies our commitment to technological advancement, user-centricity, and ethical data practices, promising a future where organizations are better equipped to navigate the intricate landscape of trends and data-driven insights.</w:t>
      </w:r>
    </w:p>
    <w:p w:rsidR="4540A6B5" w:rsidP="4540A6B5" w:rsidRDefault="4540A6B5" w14:paraId="4906A715" w14:textId="46445FFA">
      <w:pPr>
        <w:pStyle w:val="Normal"/>
        <w:bidi w:val="0"/>
        <w:rPr>
          <w:noProof w:val="0"/>
          <w:lang w:val="en-US"/>
        </w:rPr>
      </w:pPr>
    </w:p>
    <w:p w:rsidR="706C078F" w:rsidP="706C078F" w:rsidRDefault="706C078F" w14:paraId="46C25A63" w14:textId="06360ED0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A39qFs06tySWo" int2:id="k3zJNR3C">
      <int2:state int2:type="AugLoop_Text_Critique" int2:value="Rejected"/>
    </int2:textHash>
    <int2:textHash int2:hashCode="4Hu3MovuEVMWKh" int2:id="nEtJVcVT">
      <int2:state int2:type="AugLoop_Text_Critique" int2:value="Rejected"/>
    </int2:textHash>
    <int2:textHash int2:hashCode="TzOLqWlWDakhka" int2:id="27CQ4GND">
      <int2:state int2:type="AugLoop_Text_Critique" int2:value="Rejected"/>
    </int2:textHash>
    <int2:bookmark int2:bookmarkName="_Int_SZCgRQ0Q" int2:invalidationBookmarkName="" int2:hashCode="2jmj7l5rSw0yVb" int2:id="3yzbPJdd">
      <int2:state int2:type="WordDesignerComplexDecoratorAnnotationType" int2:value="Rejected"/>
    </int2:bookmark>
    <int2:bookmark int2:bookmarkName="_Int_aSVucZzE" int2:invalidationBookmarkName="" int2:hashCode="2jmj7l5rSw0yVb" int2:id="zduLp8kf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1">
    <w:nsid w:val="28c25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8090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a900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2a8a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7c20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5310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31dc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5cf2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38e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8af1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b6b2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b381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f291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0671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f0b1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555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14ce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f42b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29fe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080e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4ea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0297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3523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f3e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8db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ccdb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d25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3b9a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d4b9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8104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8585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0">
    <w:nsid w:val="6a912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ef292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8">
    <w:nsid w:val="417d7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fc71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ecd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93ce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0b5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5b42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863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0e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7a9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5cc3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73be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32c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b37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7d4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033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a97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f1f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66e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9446b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3fab1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G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bd8a0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de201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20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73fa6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27a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974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6ed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398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f9b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FD6A1"/>
    <w:rsid w:val="2A4FD6A1"/>
    <w:rsid w:val="4540A6B5"/>
    <w:rsid w:val="706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D6A1"/>
  <w15:chartTrackingRefBased/>
  <w15:docId w15:val="{B54CE648-D474-4FE2-971C-84B13F8A6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06C078F"/>
    <w:rPr>
      <w:rFonts w:ascii="Arial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06C078F"/>
    <w:rPr>
      <w:rFonts w:ascii="Georgia Pro" w:hAnsi="" w:eastAsia="" w:cs=""/>
      <w:color w:val="4471C4"/>
      <w:sz w:val="48"/>
      <w:szCs w:val="48"/>
    </w:rPr>
    <w:pPr>
      <w:keepNext w:val="1"/>
      <w:keepLines w:val="1"/>
      <w:spacing w:after="4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6C078F"/>
    <w:rPr>
      <w:rFonts w:ascii="Georgia Pro" w:hAnsi="" w:eastAsia="" w:cs=""/>
      <w:color w:val="4471C4"/>
      <w:sz w:val="32"/>
      <w:szCs w:val="32"/>
    </w:rPr>
    <w:pPr>
      <w:keepNext w:val="1"/>
      <w:keepLines w:val="1"/>
      <w:spacing w:after="2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6C078F"/>
    <w:rPr>
      <w:rFonts w:ascii="Georgia Pro" w:hAnsi="" w:eastAsia="" w:cs=""/>
      <w:color w:val="4471C4"/>
      <w:sz w:val="30"/>
      <w:szCs w:val="30"/>
    </w:rPr>
    <w:pPr>
      <w:keepNext w:val="1"/>
      <w:keepLines w:val="1"/>
      <w:spacing w:after="2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6C078F"/>
    <w:rPr>
      <w:rFonts w:ascii="Georgia Pro" w:hAnsi="" w:eastAsia="" w:cs=""/>
      <w:color w:val="4471C4"/>
      <w:sz w:val="29"/>
      <w:szCs w:val="29"/>
    </w:rPr>
    <w:pPr>
      <w:keepNext w:val="1"/>
      <w:keepLines w:val="1"/>
      <w:spacing w:after="2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6C078F"/>
    <w:rPr>
      <w:rFonts w:ascii="Georgia Pro" w:hAnsi="" w:eastAsia="" w:cs=""/>
      <w:color w:val="4471C4"/>
      <w:sz w:val="28"/>
      <w:szCs w:val="28"/>
    </w:rPr>
    <w:pPr>
      <w:keepNext w:val="1"/>
      <w:keepLines w:val="1"/>
      <w:spacing w:after="2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6C078F"/>
    <w:rPr>
      <w:rFonts w:ascii="Georgia Pro" w:hAnsi="" w:eastAsia="" w:cs=""/>
      <w:color w:val="4471C4"/>
      <w:sz w:val="27"/>
      <w:szCs w:val="27"/>
    </w:rPr>
    <w:pPr>
      <w:keepNext w:val="1"/>
      <w:keepLines w:val="1"/>
      <w:spacing w:after="2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6C078F"/>
    <w:rPr>
      <w:rFonts w:ascii="Georgia Pro" w:hAnsi="" w:eastAsia="" w:cs=""/>
      <w:color w:val="4471C4"/>
      <w:sz w:val="26"/>
      <w:szCs w:val="26"/>
    </w:rPr>
    <w:pPr>
      <w:keepNext w:val="1"/>
      <w:keepLines w:val="1"/>
      <w:spacing w:after="2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6C078F"/>
    <w:rPr>
      <w:rFonts w:ascii="Georgia Pro" w:hAnsi="" w:eastAsia="" w:cs=""/>
      <w:color w:val="4471C4"/>
      <w:sz w:val="25"/>
      <w:szCs w:val="25"/>
    </w:rPr>
    <w:pPr>
      <w:keepNext w:val="1"/>
      <w:keepLines w:val="1"/>
      <w:spacing w:after="2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6C078F"/>
    <w:rPr>
      <w:rFonts w:ascii="Georgia Pro" w:hAnsi="" w:eastAsia="" w:cs=""/>
      <w:color w:val="4471C4"/>
    </w:rPr>
    <w:pPr>
      <w:keepNext w:val="1"/>
      <w:keepLines w:val="1"/>
      <w:spacing w:after="2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6C078F"/>
    <w:rPr>
      <w:rFonts w:ascii="Georgia Pro" w:hAnsi="" w:eastAsia="" w:cs=""/>
      <w:color w:val="4471C4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706C078F"/>
    <w:rPr>
      <w:rFonts w:hAnsi="" w:eastAsia="" w:cs=""/>
      <w:color w:val="4471C4"/>
      <w:sz w:val="32"/>
      <w:szCs w:val="32"/>
    </w:rPr>
  </w:style>
  <w:style w:type="paragraph" w:styleId="Quote">
    <w:uiPriority w:val="29"/>
    <w:name w:val="Quote"/>
    <w:basedOn w:val="Normal"/>
    <w:next w:val="Normal"/>
    <w:link w:val="QuoteChar"/>
    <w:qFormat/>
    <w:rsid w:val="706C078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6C078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06C078F"/>
    <w:rPr>
      <w:sz w:val="22"/>
      <w:szCs w:val="22"/>
    </w:rPr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06C078F"/>
    <w:rPr>
      <w:rFonts w:ascii="Georgia Pro" w:hAnsi="" w:eastAsia="" w:cs=""/>
      <w:b w:val="0"/>
      <w:bCs w:val="0"/>
      <w:i w:val="0"/>
      <w:iCs w:val="0"/>
      <w:color w:val="4471C4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06C078F"/>
    <w:rPr>
      <w:rFonts w:ascii="Georgia Pro" w:hAnsi="" w:eastAsia="" w:cs=""/>
      <w:b w:val="0"/>
      <w:bCs w:val="0"/>
      <w:i w:val="0"/>
      <w:iCs w:val="0"/>
      <w:color w:val="4471C4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06C078F"/>
    <w:rPr>
      <w:rFonts w:ascii="Georgia Pro" w:hAnsi="" w:eastAsia="" w:cs=""/>
      <w:b w:val="0"/>
      <w:bCs w:val="0"/>
      <w:i w:val="0"/>
      <w:iCs w:val="0"/>
      <w:color w:val="4471C4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06C078F"/>
    <w:rPr>
      <w:rFonts w:ascii="Georgia Pro" w:hAnsi="" w:eastAsia="" w:cs=""/>
      <w:b w:val="0"/>
      <w:bCs w:val="0"/>
      <w:i w:val="0"/>
      <w:iCs w:val="0"/>
      <w:color w:val="4471C4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06C078F"/>
    <w:rPr>
      <w:rFonts w:ascii="Georgia Pro" w:hAnsi="" w:eastAsia="" w:cs=""/>
      <w:b w:val="0"/>
      <w:bCs w:val="0"/>
      <w:i w:val="0"/>
      <w:iCs w:val="0"/>
      <w:color w:val="4471C4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06C078F"/>
    <w:rPr>
      <w:rFonts w:ascii="Georgia Pro" w:hAnsi="" w:eastAsia="" w:cs=""/>
      <w:b w:val="0"/>
      <w:bCs w:val="0"/>
      <w:i w:val="0"/>
      <w:iCs w:val="0"/>
      <w:color w:val="4471C4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06C078F"/>
    <w:rPr>
      <w:rFonts w:ascii="Georgia Pro" w:hAnsi="" w:eastAsia="" w:cs=""/>
      <w:b w:val="0"/>
      <w:bCs w:val="0"/>
      <w:i w:val="0"/>
      <w:iCs w:val="0"/>
      <w:color w:val="4471C4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06C078F"/>
    <w:rPr>
      <w:rFonts w:ascii="Georgia Pro" w:hAnsi="" w:eastAsia="" w:cs=""/>
      <w:b w:val="0"/>
      <w:bCs w:val="0"/>
      <w:i w:val="0"/>
      <w:iCs w:val="0"/>
      <w:color w:val="4471C4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06C078F"/>
    <w:rPr>
      <w:rFonts w:ascii="Georgia Pro" w:hAnsi="" w:eastAsia="" w:cs=""/>
      <w:b w:val="0"/>
      <w:bCs w:val="0"/>
      <w:i w:val="0"/>
      <w:iCs w:val="0"/>
      <w:color w:val="4471C4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06C078F"/>
    <w:rPr>
      <w:rFonts w:ascii="Georgia Pro" w:hAnsi="" w:eastAsia="" w:cs=""/>
      <w:b w:val="0"/>
      <w:bCs w:val="0"/>
      <w:i w:val="0"/>
      <w:iCs w:val="0"/>
      <w:color w:val="4471C4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06C078F"/>
    <w:rPr>
      <w:rFonts w:ascii="Arial" w:hAnsi="" w:eastAsia="" w:cs=""/>
      <w:b w:val="0"/>
      <w:bCs w:val="0"/>
      <w:i w:val="0"/>
      <w:iCs w:val="0"/>
      <w:color w:val="4471C4"/>
      <w:sz w:val="32"/>
      <w:szCs w:val="3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06C078F"/>
    <w:rPr>
      <w:rFonts w:ascii="Aria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06C078F"/>
    <w:rPr>
      <w:rFonts w:ascii="Aria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06C078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06C078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06C078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06C078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06C078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06C078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06C078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06C078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06C078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6C078F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06C078F"/>
    <w:rPr>
      <w:rFonts w:ascii="Arial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06C078F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06C078F"/>
    <w:rPr>
      <w:rFonts w:ascii="Arial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06C078F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06C078F"/>
    <w:rPr>
      <w:rFonts w:ascii="Arial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06C078F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06C078F"/>
    <w:rPr>
      <w:rFonts w:ascii="Arial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aa83cc094546ef" /><Relationship Type="http://schemas.openxmlformats.org/officeDocument/2006/relationships/numbering" Target="numbering.xml" Id="R48b3ac0a5800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2023-09-30T12:27:52.7009890Z</dcterms:created>
  <dcterms:modified xsi:type="dcterms:W3CDTF">2023-10-10T14:37:15.9687843Z</dcterms:modified>
  <dc:creator>Giridharan K</dc:creator>
  <lastModifiedBy>Giridharan K</lastModifiedBy>
</coreProperties>
</file>