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D87" w:rsidRDefault="00586D87">
      <w:pPr>
        <w:spacing w:before="480" w:after="80"/>
        <w:rPr>
          <w:rFonts w:ascii="Outfit" w:hAnsi="Outfit"/>
          <w:b/>
          <w:color w:val="7C3AED"/>
          <w:sz w:val="48"/>
        </w:rPr>
      </w:pPr>
      <w:r>
        <w:rPr>
          <w:rFonts w:ascii="Outfit" w:hAnsi="Outfit"/>
          <w:b/>
          <w:noProof/>
          <w:color w:val="7C3AED"/>
          <w:sz w:val="48"/>
          <w:lang w:val="en-IN" w:eastAsia="en-IN"/>
        </w:rPr>
        <w:drawing>
          <wp:inline distT="0" distB="0" distL="0" distR="0">
            <wp:extent cx="2381250" cy="535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09 20420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394" cy="54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6D87">
        <w:rPr>
          <w:rFonts w:ascii="Outfit" w:hAnsi="Outfit"/>
          <w:b/>
          <w:color w:val="7C3AED"/>
          <w:sz w:val="48"/>
        </w:rPr>
        <w:drawing>
          <wp:inline distT="0" distB="0" distL="0" distR="0" wp14:anchorId="75FE7A90" wp14:editId="3226C595">
            <wp:extent cx="2476500" cy="530680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92861" cy="53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D87" w:rsidRDefault="00586D87">
      <w:pPr>
        <w:spacing w:before="480" w:after="80"/>
        <w:rPr>
          <w:rFonts w:ascii="Outfit" w:hAnsi="Outfit"/>
          <w:b/>
          <w:color w:val="7C3AED"/>
          <w:sz w:val="48"/>
        </w:rPr>
      </w:pPr>
    </w:p>
    <w:p w:rsidR="0057279C" w:rsidRDefault="00586D87">
      <w:pPr>
        <w:spacing w:before="480" w:after="80"/>
      </w:pPr>
      <w:r>
        <w:rPr>
          <w:rFonts w:ascii="Outfit" w:hAnsi="Outfit"/>
          <w:b/>
          <w:color w:val="7C3AED"/>
          <w:sz w:val="48"/>
        </w:rPr>
        <w:t>PROJECT PROPOSAL &amp; TECHNICAL APPROACH</w:t>
      </w:r>
    </w:p>
    <w:p w:rsidR="0057279C" w:rsidRDefault="00586D87">
      <w:pPr>
        <w:spacing w:after="480"/>
      </w:pPr>
      <w:r>
        <w:rPr>
          <w:rFonts w:ascii="Outfit" w:hAnsi="Outfit"/>
          <w:i/>
          <w:color w:val="6B7280"/>
          <w:sz w:val="28"/>
        </w:rPr>
        <w:t>Secure Field Operations Mobile Platform ("DeMars FieldOps Link")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57279C">
        <w:tc>
          <w:tcPr>
            <w:tcW w:w="2592" w:type="dxa"/>
          </w:tcPr>
          <w:p w:rsidR="0057279C" w:rsidRDefault="00586D87">
            <w:r>
              <w:rPr>
                <w:rFonts w:ascii="Plus Jakarta Sans" w:hAnsi="Plus Jakarta Sans"/>
                <w:b/>
                <w:color w:val="6B7280"/>
                <w:sz w:val="20"/>
              </w:rPr>
              <w:t>Prepared For:</w:t>
            </w:r>
          </w:p>
        </w:tc>
        <w:tc>
          <w:tcPr>
            <w:tcW w:w="6768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20"/>
              </w:rPr>
              <w:t>Kyle Morris, President &amp; Owner</w:t>
            </w:r>
            <w:r>
              <w:rPr>
                <w:rFonts w:ascii="Plus Jakarta Sans" w:hAnsi="Plus Jakarta Sans"/>
                <w:color w:val="111827"/>
                <w:sz w:val="20"/>
              </w:rPr>
              <w:br/>
              <w:t>DeMars &amp; Associates LTD</w:t>
            </w:r>
          </w:p>
        </w:tc>
      </w:tr>
      <w:tr w:rsidR="0057279C">
        <w:tc>
          <w:tcPr>
            <w:tcW w:w="2592" w:type="dxa"/>
          </w:tcPr>
          <w:p w:rsidR="0057279C" w:rsidRDefault="00586D87">
            <w:r>
              <w:rPr>
                <w:rFonts w:ascii="Plus Jakarta Sans" w:hAnsi="Plus Jakarta Sans"/>
                <w:b/>
                <w:color w:val="6B7280"/>
                <w:sz w:val="20"/>
              </w:rPr>
              <w:t>Prepared By:</w:t>
            </w:r>
          </w:p>
        </w:tc>
        <w:tc>
          <w:tcPr>
            <w:tcW w:w="6768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20"/>
              </w:rPr>
              <w:t>GS3 Solutions Technical Architecture Team</w:t>
            </w:r>
          </w:p>
        </w:tc>
      </w:tr>
      <w:tr w:rsidR="0057279C">
        <w:tc>
          <w:tcPr>
            <w:tcW w:w="2592" w:type="dxa"/>
          </w:tcPr>
          <w:p w:rsidR="0057279C" w:rsidRDefault="00586D87">
            <w:r>
              <w:rPr>
                <w:rFonts w:ascii="Plus Jakarta Sans" w:hAnsi="Plus Jakarta Sans"/>
                <w:b/>
                <w:color w:val="6B7280"/>
                <w:sz w:val="20"/>
              </w:rPr>
              <w:t>Project Name:</w:t>
            </w:r>
          </w:p>
        </w:tc>
        <w:tc>
          <w:tcPr>
            <w:tcW w:w="6768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20"/>
              </w:rPr>
              <w:t xml:space="preserve">DeMars </w:t>
            </w:r>
            <w:r>
              <w:rPr>
                <w:rFonts w:ascii="Plus Jakarta Sans" w:hAnsi="Plus Jakarta Sans"/>
                <w:color w:val="111827"/>
                <w:sz w:val="20"/>
              </w:rPr>
              <w:t>FieldOps Link (Secure Transfer Agent Portal)</w:t>
            </w:r>
          </w:p>
        </w:tc>
      </w:tr>
      <w:tr w:rsidR="0057279C">
        <w:tc>
          <w:tcPr>
            <w:tcW w:w="2592" w:type="dxa"/>
          </w:tcPr>
          <w:p w:rsidR="0057279C" w:rsidRDefault="00586D87">
            <w:r>
              <w:rPr>
                <w:rFonts w:ascii="Plus Jakarta Sans" w:hAnsi="Plus Jakarta Sans"/>
                <w:b/>
                <w:color w:val="6B7280"/>
                <w:sz w:val="20"/>
              </w:rPr>
              <w:t>Date:</w:t>
            </w:r>
          </w:p>
        </w:tc>
        <w:tc>
          <w:tcPr>
            <w:tcW w:w="6768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20"/>
              </w:rPr>
              <w:t>July 9, 2026</w:t>
            </w:r>
          </w:p>
        </w:tc>
      </w:tr>
    </w:tbl>
    <w:p w:rsidR="0057279C" w:rsidRDefault="0057279C">
      <w:pPr>
        <w:spacing w:after="480"/>
      </w:pPr>
    </w:p>
    <w:p w:rsidR="0057279C" w:rsidRDefault="00586D87">
      <w:pPr>
        <w:pStyle w:val="Heading1"/>
        <w:spacing w:before="240" w:after="120"/>
      </w:pPr>
      <w:r>
        <w:rPr>
          <w:rFonts w:ascii="Outfit" w:hAnsi="Outfit"/>
          <w:color w:val="7C3AED"/>
          <w:sz w:val="40"/>
        </w:rPr>
        <w:t>1. Executive Summary</w:t>
      </w:r>
    </w:p>
    <w:p w:rsidR="0057279C" w:rsidRDefault="00586D87">
      <w:r>
        <w:t xml:space="preserve">DeMars &amp; Associates LTD is a nationally recognized alternative dispute resolution (ADR) firm. To execute warranty buyback agreements and Lemon Law dispute resolutions, </w:t>
      </w:r>
      <w:r>
        <w:t>DeMars deploys on-site Transfer Agents (vehicle retitling specialists) to retail dealerships or consumer locations. These agents are tasked with executing crucial steps: verifying vehicle identification and mileage, auditing cosmetic/structural conditions,</w:t>
      </w:r>
      <w:r>
        <w:t xml:space="preserve"> obtaining owner signatures on retitling forms/vehicle titles, and exchanging legal manufacturer buyback checks.</w:t>
      </w:r>
    </w:p>
    <w:p w:rsidR="0057279C" w:rsidRDefault="00586D87">
      <w:pPr>
        <w:spacing w:after="360"/>
      </w:pPr>
      <w:r>
        <w:t xml:space="preserve">GS3 Solutions proposes DeMars FieldOps Link, a custom-designed, highly secure mobile application specifically built for Transfer Agents in the </w:t>
      </w:r>
      <w:r>
        <w:t>field. The platform streamlines inspection logging, ensures title documents are validly executed, archives photographic proofs, and bridges real-time communication with the DeMars Home Office. Built with an offline-first architecture and military-grade enc</w:t>
      </w:r>
      <w:r>
        <w:t>ryption, DeMars FieldOps Link guarantees complete data integrity and compliance, even in areas with zero cell coverage.</w:t>
      </w:r>
    </w:p>
    <w:p w:rsidR="0057279C" w:rsidRDefault="00586D87">
      <w:pPr>
        <w:pStyle w:val="Heading1"/>
        <w:spacing w:before="240" w:after="120"/>
      </w:pPr>
      <w:r>
        <w:rPr>
          <w:rFonts w:ascii="Outfit" w:hAnsi="Outfit"/>
          <w:color w:val="7C3AED"/>
          <w:sz w:val="40"/>
        </w:rPr>
        <w:lastRenderedPageBreak/>
        <w:t>2. Platform Architecture &amp; Tech Stack</w:t>
      </w:r>
    </w:p>
    <w:p w:rsidR="0057279C" w:rsidRDefault="00586D87">
      <w:r>
        <w:t>To ensure portability, rapid updates, and enterprise security, the mobile app and cloud-backend ar</w:t>
      </w:r>
      <w:r>
        <w:t>e structured using modern, standardized frameworks: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7279C">
        <w:tc>
          <w:tcPr>
            <w:tcW w:w="3120" w:type="dxa"/>
            <w:shd w:val="clear" w:color="auto" w:fill="7C3AED"/>
          </w:tcPr>
          <w:p w:rsidR="0057279C" w:rsidRDefault="00586D87">
            <w:r>
              <w:rPr>
                <w:rFonts w:ascii="Plus Jakarta Sans" w:hAnsi="Plus Jakarta Sans"/>
                <w:b/>
                <w:color w:val="FFFFFF"/>
                <w:sz w:val="20"/>
              </w:rPr>
              <w:t>Architectural Layer</w:t>
            </w:r>
          </w:p>
        </w:tc>
        <w:tc>
          <w:tcPr>
            <w:tcW w:w="3120" w:type="dxa"/>
            <w:shd w:val="clear" w:color="auto" w:fill="7C3AED"/>
          </w:tcPr>
          <w:p w:rsidR="0057279C" w:rsidRDefault="00586D87">
            <w:r>
              <w:rPr>
                <w:rFonts w:ascii="Plus Jakarta Sans" w:hAnsi="Plus Jakarta Sans"/>
                <w:b/>
                <w:color w:val="FFFFFF"/>
                <w:sz w:val="20"/>
              </w:rPr>
              <w:t>Selected Technology Stack</w:t>
            </w:r>
          </w:p>
        </w:tc>
        <w:tc>
          <w:tcPr>
            <w:tcW w:w="3120" w:type="dxa"/>
            <w:shd w:val="clear" w:color="auto" w:fill="7C3AED"/>
          </w:tcPr>
          <w:p w:rsidR="0057279C" w:rsidRDefault="00586D87">
            <w:r>
              <w:rPr>
                <w:rFonts w:ascii="Plus Jakarta Sans" w:hAnsi="Plus Jakarta Sans"/>
                <w:b/>
                <w:color w:val="FFFFFF"/>
                <w:sz w:val="20"/>
              </w:rPr>
              <w:t>Business Rationale</w:t>
            </w:r>
          </w:p>
        </w:tc>
      </w:tr>
      <w:tr w:rsidR="0057279C"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Mobile Client</w:t>
            </w:r>
          </w:p>
        </w:tc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React Native or Flutter</w:t>
            </w:r>
          </w:p>
        </w:tc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 xml:space="preserve">Cross-platform consistency on iOS and Android. High performance with native device access (camera </w:t>
            </w:r>
            <w:r>
              <w:rPr>
                <w:rFonts w:ascii="Plus Jakarta Sans" w:hAnsi="Plus Jakarta Sans"/>
                <w:color w:val="111827"/>
                <w:sz w:val="19"/>
              </w:rPr>
              <w:t>OCR, GPS, SQLCipher).</w:t>
            </w:r>
          </w:p>
        </w:tc>
      </w:tr>
      <w:tr w:rsidR="0057279C"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Local Storage</w:t>
            </w:r>
          </w:p>
        </w:tc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SQLite database via SQLCipher</w:t>
            </w:r>
          </w:p>
        </w:tc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Encrypted, on-device data cache. Guarantees that sensitive consumer details and signatures remain secure at rest.</w:t>
            </w:r>
          </w:p>
        </w:tc>
      </w:tr>
      <w:tr w:rsidR="0057279C"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Cloud Backend</w:t>
            </w:r>
          </w:p>
        </w:tc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Node.js (NestJS) or Go</w:t>
            </w:r>
          </w:p>
        </w:tc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Extremely fast, type-safe REST APIs c</w:t>
            </w:r>
            <w:r>
              <w:rPr>
                <w:rFonts w:ascii="Plus Jakarta Sans" w:hAnsi="Plus Jakarta Sans"/>
                <w:color w:val="111827"/>
                <w:sz w:val="19"/>
              </w:rPr>
              <w:t>apable of handling real-time status updates and document processing queues.</w:t>
            </w:r>
          </w:p>
        </w:tc>
      </w:tr>
      <w:tr w:rsidR="0057279C"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Data Security</w:t>
            </w:r>
          </w:p>
        </w:tc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AES-256 encryption at rest</w:t>
            </w:r>
            <w:r>
              <w:rPr>
                <w:rFonts w:ascii="Plus Jakarta Sans" w:hAnsi="Plus Jakarta Sans"/>
                <w:color w:val="111827"/>
                <w:sz w:val="19"/>
              </w:rPr>
              <w:br/>
              <w:t>TLS 1.3 transit encryption</w:t>
            </w:r>
          </w:p>
        </w:tc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Meets compliance standards for consumer financial/personal documentation. Protects titles and checks from inter</w:t>
            </w:r>
            <w:r>
              <w:rPr>
                <w:rFonts w:ascii="Plus Jakarta Sans" w:hAnsi="Plus Jakarta Sans"/>
                <w:color w:val="111827"/>
                <w:sz w:val="19"/>
              </w:rPr>
              <w:t>cept.</w:t>
            </w:r>
          </w:p>
        </w:tc>
      </w:tr>
      <w:tr w:rsidR="0057279C"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Cloud Hosting</w:t>
            </w:r>
          </w:p>
        </w:tc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Amazon Web Services (AWS)</w:t>
            </w:r>
          </w:p>
        </w:tc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Scaleable, SOC-2 compliant secure object buckets (S3) and RDS database instances with 99.99% operational uptime.</w:t>
            </w:r>
          </w:p>
        </w:tc>
      </w:tr>
    </w:tbl>
    <w:p w:rsidR="0057279C" w:rsidRDefault="0057279C">
      <w:pPr>
        <w:spacing w:after="360"/>
      </w:pPr>
    </w:p>
    <w:p w:rsidR="0057279C" w:rsidRDefault="00586D87">
      <w:pPr>
        <w:pStyle w:val="Heading1"/>
        <w:spacing w:before="240" w:after="120"/>
      </w:pPr>
      <w:r>
        <w:rPr>
          <w:rFonts w:ascii="Outfit" w:hAnsi="Outfit"/>
          <w:color w:val="7C3AED"/>
          <w:sz w:val="40"/>
        </w:rPr>
        <w:t>3. Core On-Site Buyback Workflows</w:t>
      </w:r>
    </w:p>
    <w:p w:rsidR="0057279C" w:rsidRDefault="00586D87">
      <w:r>
        <w:t>The application provides a structured, fail-safe wizard that</w:t>
      </w:r>
      <w:r>
        <w:t xml:space="preserve"> enforces DeMars' audit guidelines for vehicle retitling and delivery transactions:</w:t>
      </w:r>
    </w:p>
    <w:p w:rsidR="0057279C" w:rsidRDefault="00586D87">
      <w:pPr>
        <w:spacing w:after="120"/>
        <w:ind w:left="360"/>
      </w:pPr>
      <w:r>
        <w:rPr>
          <w:rFonts w:ascii="Plus Jakarta Sans" w:hAnsi="Plus Jakarta Sans"/>
          <w:b/>
          <w:color w:val="8B5CF6"/>
        </w:rPr>
        <w:t xml:space="preserve">•  Step 1: Odometer &amp; VIN Scan: </w:t>
      </w:r>
      <w:r>
        <w:rPr>
          <w:rFonts w:ascii="Plus Jakarta Sans" w:hAnsi="Plus Jakarta Sans"/>
          <w:color w:val="111827"/>
        </w:rPr>
        <w:t xml:space="preserve">The agent uses the smartphone's camera to scan the vehicle's metal VIN plate. The app runs real-time OCR text recognition and automatically </w:t>
      </w:r>
      <w:r>
        <w:rPr>
          <w:rFonts w:ascii="Plus Jakarta Sans" w:hAnsi="Plus Jakarta Sans"/>
          <w:color w:val="111827"/>
        </w:rPr>
        <w:t>cross-references the VIN against the DeMars schedule. Odometer mileage is logged with a mandatory dashboard photo overlay.</w:t>
      </w:r>
    </w:p>
    <w:p w:rsidR="0057279C" w:rsidRDefault="00586D87">
      <w:pPr>
        <w:spacing w:after="120"/>
        <w:ind w:left="360"/>
      </w:pPr>
      <w:r>
        <w:rPr>
          <w:rFonts w:ascii="Plus Jakarta Sans" w:hAnsi="Plus Jakarta Sans"/>
          <w:b/>
          <w:color w:val="8B5CF6"/>
        </w:rPr>
        <w:t xml:space="preserve">•  Step 2: Condition &amp; Key Checklist: </w:t>
      </w:r>
      <w:r>
        <w:rPr>
          <w:rFonts w:ascii="Plus Jakarta Sans" w:hAnsi="Plus Jakarta Sans"/>
          <w:color w:val="111827"/>
        </w:rPr>
        <w:t>Agents complete a physical checklist verifying the cosmetic panel conditions, tires, and mechan</w:t>
      </w:r>
      <w:r>
        <w:rPr>
          <w:rFonts w:ascii="Plus Jakarta Sans" w:hAnsi="Plus Jakarta Sans"/>
          <w:color w:val="111827"/>
        </w:rPr>
        <w:t>ical status. High-resolution photos are captured for each panel, embedding localized GPS and UTC timestamp metadata to prevent retroactive audit tampering.</w:t>
      </w:r>
    </w:p>
    <w:p w:rsidR="0057279C" w:rsidRDefault="00586D87">
      <w:pPr>
        <w:spacing w:after="120"/>
        <w:ind w:left="360"/>
      </w:pPr>
      <w:r>
        <w:rPr>
          <w:rFonts w:ascii="Plus Jakarta Sans" w:hAnsi="Plus Jakarta Sans"/>
          <w:b/>
          <w:color w:val="8B5CF6"/>
        </w:rPr>
        <w:t xml:space="preserve">•  Step 3: Document Verification: </w:t>
      </w:r>
      <w:r>
        <w:rPr>
          <w:rFonts w:ascii="Plus Jakarta Sans" w:hAnsi="Plus Jakarta Sans"/>
          <w:color w:val="111827"/>
        </w:rPr>
        <w:t>The agent inspects and scans the customer's vehicle title (verifyi</w:t>
      </w:r>
      <w:r>
        <w:rPr>
          <w:rFonts w:ascii="Plus Jakarta Sans" w:hAnsi="Plus Jakarta Sans"/>
          <w:color w:val="111827"/>
        </w:rPr>
        <w:t>ng signatures, release of bank liens, and power of attorney documents) and takes photographic proof of the check handed to the customer.</w:t>
      </w:r>
    </w:p>
    <w:p w:rsidR="0057279C" w:rsidRDefault="00586D87">
      <w:pPr>
        <w:spacing w:after="120"/>
        <w:ind w:left="360"/>
      </w:pPr>
      <w:r>
        <w:rPr>
          <w:rFonts w:ascii="Plus Jakarta Sans" w:hAnsi="Plus Jakarta Sans"/>
          <w:b/>
          <w:color w:val="8B5CF6"/>
        </w:rPr>
        <w:t xml:space="preserve">•  Step 4: Dual E-Signatures &amp; Checksum Seal: </w:t>
      </w:r>
      <w:r>
        <w:rPr>
          <w:rFonts w:ascii="Plus Jakarta Sans" w:hAnsi="Plus Jakarta Sans"/>
          <w:color w:val="111827"/>
        </w:rPr>
        <w:t xml:space="preserve">Once verification is completed, both the Transfer Agent and the customer </w:t>
      </w:r>
      <w:r>
        <w:rPr>
          <w:rFonts w:ascii="Plus Jakarta Sans" w:hAnsi="Plus Jakarta Sans"/>
          <w:color w:val="111827"/>
        </w:rPr>
        <w:t>sign the digital pads. The app captures coordinate points, signs the forms, and seals the record with a cryptographically secure SHA-256 hash.</w:t>
      </w:r>
    </w:p>
    <w:p w:rsidR="0057279C" w:rsidRDefault="0057279C">
      <w:pPr>
        <w:spacing w:after="360"/>
      </w:pPr>
    </w:p>
    <w:p w:rsidR="0057279C" w:rsidRDefault="00586D87">
      <w:pPr>
        <w:pStyle w:val="Heading1"/>
        <w:spacing w:before="240" w:after="120"/>
      </w:pPr>
      <w:r>
        <w:rPr>
          <w:rFonts w:ascii="Outfit" w:hAnsi="Outfit"/>
          <w:color w:val="7C3AED"/>
          <w:sz w:val="40"/>
        </w:rPr>
        <w:lastRenderedPageBreak/>
        <w:t>4. Security &amp; Cryptographic Integrity Controls</w:t>
      </w:r>
    </w:p>
    <w:p w:rsidR="0057279C" w:rsidRDefault="00586D87">
      <w:pPr>
        <w:spacing w:after="120"/>
        <w:ind w:left="360"/>
      </w:pPr>
      <w:r>
        <w:rPr>
          <w:rFonts w:ascii="Plus Jakarta Sans" w:hAnsi="Plus Jakarta Sans"/>
          <w:b/>
          <w:color w:val="7C3AED"/>
        </w:rPr>
        <w:t xml:space="preserve">•  Offline-First SQL Sync: </w:t>
      </w:r>
      <w:r>
        <w:rPr>
          <w:rFonts w:ascii="Plus Jakarta Sans" w:hAnsi="Plus Jakarta Sans"/>
          <w:color w:val="111827"/>
        </w:rPr>
        <w:t>Transfer Agents regularly work in deal</w:t>
      </w:r>
      <w:r>
        <w:rPr>
          <w:rFonts w:ascii="Plus Jakarta Sans" w:hAnsi="Plus Jakarta Sans"/>
          <w:color w:val="111827"/>
        </w:rPr>
        <w:t>ership basements, steel-frame lots, or remote areas. The platform securely caches all forms, photographs, and signatures in a local SQL database. Once a web connection is recovered, background sync tasks push logs back to DeMars cloud storage.</w:t>
      </w:r>
    </w:p>
    <w:p w:rsidR="0057279C" w:rsidRDefault="00586D87">
      <w:pPr>
        <w:spacing w:after="120"/>
        <w:ind w:left="360"/>
      </w:pPr>
      <w:r>
        <w:rPr>
          <w:rFonts w:ascii="Plus Jakarta Sans" w:hAnsi="Plus Jakarta Sans"/>
          <w:b/>
          <w:color w:val="7C3AED"/>
        </w:rPr>
        <w:t>•  SHA-256 H</w:t>
      </w:r>
      <w:r>
        <w:rPr>
          <w:rFonts w:ascii="Plus Jakarta Sans" w:hAnsi="Plus Jakarta Sans"/>
          <w:b/>
          <w:color w:val="7C3AED"/>
        </w:rPr>
        <w:t xml:space="preserve">andover Checksums: </w:t>
      </w:r>
      <w:r>
        <w:rPr>
          <w:rFonts w:ascii="Plus Jakarta Sans" w:hAnsi="Plus Jakarta Sans"/>
          <w:color w:val="111827"/>
        </w:rPr>
        <w:t>To satisfy manufacturer legal requirements, the application generates a local SHA-256 cryptographic hash of all combined data (VIN, odometer, photos, signatures) on submission. This checksum acts as a digital tamper-evident seal.</w:t>
      </w:r>
    </w:p>
    <w:p w:rsidR="0057279C" w:rsidRDefault="00586D87">
      <w:pPr>
        <w:spacing w:after="120"/>
        <w:ind w:left="360"/>
      </w:pPr>
      <w:r>
        <w:rPr>
          <w:rFonts w:ascii="Plus Jakarta Sans" w:hAnsi="Plus Jakarta Sans"/>
          <w:b/>
          <w:color w:val="7C3AED"/>
        </w:rPr>
        <w:t xml:space="preserve">•  GPS </w:t>
      </w:r>
      <w:r>
        <w:rPr>
          <w:rFonts w:ascii="Plus Jakarta Sans" w:hAnsi="Plus Jakarta Sans"/>
          <w:b/>
          <w:color w:val="7C3AED"/>
        </w:rPr>
        <w:t xml:space="preserve">Geofencing Validation: </w:t>
      </w:r>
      <w:r>
        <w:rPr>
          <w:rFonts w:ascii="Plus Jakarta Sans" w:hAnsi="Plus Jakarta Sans"/>
          <w:color w:val="111827"/>
        </w:rPr>
        <w:t>The app records the device's precise GPS coordinate bounds at the time of e-signature, legally verifying that the transaction occurred at the correct dealership location.</w:t>
      </w:r>
    </w:p>
    <w:p w:rsidR="0057279C" w:rsidRDefault="00586D87">
      <w:pPr>
        <w:spacing w:after="120"/>
        <w:ind w:left="360"/>
      </w:pPr>
      <w:r>
        <w:rPr>
          <w:rFonts w:ascii="Plus Jakarta Sans" w:hAnsi="Plus Jakarta Sans"/>
          <w:b/>
          <w:color w:val="7C3AED"/>
        </w:rPr>
        <w:t xml:space="preserve">•  Encrypted HQ Messenger: </w:t>
      </w:r>
      <w:r>
        <w:rPr>
          <w:rFonts w:ascii="Plus Jakarta Sans" w:hAnsi="Plus Jakarta Sans"/>
          <w:color w:val="111827"/>
        </w:rPr>
        <w:t>A secure messaging gateway connecti</w:t>
      </w:r>
      <w:r>
        <w:rPr>
          <w:rFonts w:ascii="Plus Jakarta Sans" w:hAnsi="Plus Jakarta Sans"/>
          <w:color w:val="111827"/>
        </w:rPr>
        <w:t>ng agents directly to DeMars support. If a lien dispute or check discrepancy arises, agents can text support, upload documents, and get real-time clearance.</w:t>
      </w:r>
    </w:p>
    <w:p w:rsidR="0057279C" w:rsidRDefault="0057279C">
      <w:pPr>
        <w:spacing w:after="360"/>
      </w:pPr>
    </w:p>
    <w:p w:rsidR="0057279C" w:rsidRDefault="00586D87">
      <w:pPr>
        <w:pStyle w:val="Heading1"/>
        <w:spacing w:before="240" w:after="120"/>
      </w:pPr>
      <w:r>
        <w:rPr>
          <w:rFonts w:ascii="Outfit" w:hAnsi="Outfit"/>
          <w:color w:val="7C3AED"/>
          <w:sz w:val="40"/>
        </w:rPr>
        <w:t>5. Project Implementation Roadmap</w:t>
      </w:r>
    </w:p>
    <w:p w:rsidR="0057279C" w:rsidRDefault="00586D87">
      <w:r>
        <w:t>GS3 Solutions proposes an agile 12-week development lifecycle to</w:t>
      </w:r>
      <w:r>
        <w:t xml:space="preserve"> design, build, and deploy the application: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7279C">
        <w:tc>
          <w:tcPr>
            <w:tcW w:w="3120" w:type="dxa"/>
            <w:shd w:val="clear" w:color="auto" w:fill="7C3AED"/>
          </w:tcPr>
          <w:p w:rsidR="0057279C" w:rsidRDefault="00586D87">
            <w:r>
              <w:rPr>
                <w:rFonts w:ascii="Plus Jakarta Sans" w:hAnsi="Plus Jakarta Sans"/>
                <w:b/>
                <w:color w:val="FFFFFF"/>
                <w:sz w:val="20"/>
              </w:rPr>
              <w:t>Development Phase</w:t>
            </w:r>
          </w:p>
        </w:tc>
        <w:tc>
          <w:tcPr>
            <w:tcW w:w="3120" w:type="dxa"/>
            <w:shd w:val="clear" w:color="auto" w:fill="7C3AED"/>
          </w:tcPr>
          <w:p w:rsidR="0057279C" w:rsidRDefault="00586D87">
            <w:r>
              <w:rPr>
                <w:rFonts w:ascii="Plus Jakarta Sans" w:hAnsi="Plus Jakarta Sans"/>
                <w:b/>
                <w:color w:val="FFFFFF"/>
                <w:sz w:val="20"/>
              </w:rPr>
              <w:t>Timeline</w:t>
            </w:r>
          </w:p>
        </w:tc>
        <w:tc>
          <w:tcPr>
            <w:tcW w:w="3120" w:type="dxa"/>
            <w:shd w:val="clear" w:color="auto" w:fill="7C3AED"/>
          </w:tcPr>
          <w:p w:rsidR="0057279C" w:rsidRDefault="00586D87">
            <w:r>
              <w:rPr>
                <w:rFonts w:ascii="Plus Jakarta Sans" w:hAnsi="Plus Jakarta Sans"/>
                <w:b/>
                <w:color w:val="FFFFFF"/>
                <w:sz w:val="20"/>
              </w:rPr>
              <w:t>Core Activities</w:t>
            </w:r>
          </w:p>
        </w:tc>
      </w:tr>
      <w:tr w:rsidR="0057279C"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Phase 1: UX/UI &amp; Workflows</w:t>
            </w:r>
          </w:p>
        </w:tc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Weeks 1 - 2</w:t>
            </w:r>
          </w:p>
        </w:tc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 xml:space="preserve">Detailed wireframing of Transfer Agent screens. Alignment on Lemon Law and buyback legal requirements. Interactive mockups </w:t>
            </w:r>
            <w:r>
              <w:rPr>
                <w:rFonts w:ascii="Plus Jakarta Sans" w:hAnsi="Plus Jakarta Sans"/>
                <w:color w:val="111827"/>
                <w:sz w:val="19"/>
              </w:rPr>
              <w:t>creation.</w:t>
            </w:r>
          </w:p>
        </w:tc>
      </w:tr>
      <w:tr w:rsidR="0057279C"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Phase 2: Mobile App Shell</w:t>
            </w:r>
          </w:p>
        </w:tc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Weeks 3 - 5</w:t>
            </w:r>
          </w:p>
        </w:tc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Setting up React Native / Flutter framework. Structuring local SQLite schemas with SQLCipher database encryption.</w:t>
            </w:r>
          </w:p>
        </w:tc>
      </w:tr>
      <w:tr w:rsidR="0057279C"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Phase 3: APIs &amp; Sync Engines</w:t>
            </w:r>
          </w:p>
        </w:tc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Weeks 6 - 8</w:t>
            </w:r>
          </w:p>
        </w:tc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Building Node.js cloud APIs, AWS S3 image upload tu</w:t>
            </w:r>
            <w:r>
              <w:rPr>
                <w:rFonts w:ascii="Plus Jakarta Sans" w:hAnsi="Plus Jakarta Sans"/>
                <w:color w:val="111827"/>
                <w:sz w:val="19"/>
              </w:rPr>
              <w:t>nnels, and robust offline sync queue managers.</w:t>
            </w:r>
          </w:p>
        </w:tc>
      </w:tr>
      <w:tr w:rsidR="0057279C"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Phase 4: Integrations &amp; OCR</w:t>
            </w:r>
          </w:p>
        </w:tc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Weeks 9 - 10</w:t>
            </w:r>
          </w:p>
        </w:tc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Integrating OCR camera parsing for VINs, building signature pads, and completing security penetration audits.</w:t>
            </w:r>
          </w:p>
        </w:tc>
      </w:tr>
      <w:tr w:rsidR="0057279C"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Phase 5: UAT &amp; App Store Launch</w:t>
            </w:r>
          </w:p>
        </w:tc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>Weeks 11 - 12</w:t>
            </w:r>
          </w:p>
        </w:tc>
        <w:tc>
          <w:tcPr>
            <w:tcW w:w="3120" w:type="dxa"/>
          </w:tcPr>
          <w:p w:rsidR="0057279C" w:rsidRDefault="00586D87">
            <w:r>
              <w:rPr>
                <w:rFonts w:ascii="Plus Jakarta Sans" w:hAnsi="Plus Jakarta Sans"/>
                <w:color w:val="111827"/>
                <w:sz w:val="19"/>
              </w:rPr>
              <w:t xml:space="preserve">User </w:t>
            </w:r>
            <w:r>
              <w:rPr>
                <w:rFonts w:ascii="Plus Jakarta Sans" w:hAnsi="Plus Jakarta Sans"/>
                <w:color w:val="111827"/>
                <w:sz w:val="19"/>
              </w:rPr>
              <w:t>acceptance testing with field agents. Finalizing compliance checks and submitting to Apple App Store and Google Play.</w:t>
            </w:r>
          </w:p>
        </w:tc>
      </w:tr>
    </w:tbl>
    <w:p w:rsidR="0057279C" w:rsidRDefault="0057279C">
      <w:pPr>
        <w:spacing w:after="360"/>
      </w:pPr>
    </w:p>
    <w:p w:rsidR="0057279C" w:rsidRDefault="00586D87">
      <w:pPr>
        <w:pStyle w:val="Heading1"/>
        <w:spacing w:before="240" w:after="120"/>
      </w:pPr>
      <w:r>
        <w:rPr>
          <w:rFonts w:ascii="Outfit" w:hAnsi="Outfit"/>
          <w:color w:val="7C3AED"/>
          <w:sz w:val="40"/>
        </w:rPr>
        <w:lastRenderedPageBreak/>
        <w:t>6. Post-Launch Maintenance &amp; Support SLA</w:t>
      </w:r>
    </w:p>
    <w:p w:rsidR="0057279C" w:rsidRDefault="00586D87">
      <w:r>
        <w:t>To ensure complete reliability in operational environments, GS3 Solutions provides continuous s</w:t>
      </w:r>
      <w:r>
        <w:t>upport:</w:t>
      </w:r>
    </w:p>
    <w:p w:rsidR="0057279C" w:rsidRDefault="00586D87">
      <w:pPr>
        <w:spacing w:after="120"/>
        <w:ind w:left="360"/>
      </w:pPr>
      <w:r>
        <w:rPr>
          <w:rFonts w:ascii="Plus Jakarta Sans" w:hAnsi="Plus Jakarta Sans"/>
          <w:b/>
          <w:color w:val="6B7280"/>
        </w:rPr>
        <w:t xml:space="preserve">•  Platform OS Upgrades: </w:t>
      </w:r>
      <w:r>
        <w:rPr>
          <w:rFonts w:ascii="Plus Jakarta Sans" w:hAnsi="Plus Jakarta Sans"/>
          <w:color w:val="111827"/>
        </w:rPr>
        <w:t>Annual updates for iOS and Android, ensuring the application remains backward compatible and functional with new mobile releases.</w:t>
      </w:r>
    </w:p>
    <w:p w:rsidR="0057279C" w:rsidRDefault="00586D87">
      <w:pPr>
        <w:spacing w:after="120"/>
        <w:ind w:left="360"/>
      </w:pPr>
      <w:r>
        <w:rPr>
          <w:rFonts w:ascii="Plus Jakarta Sans" w:hAnsi="Plus Jakarta Sans"/>
          <w:b/>
          <w:color w:val="6B7280"/>
        </w:rPr>
        <w:t xml:space="preserve">•  Database Security Audits: </w:t>
      </w:r>
      <w:r>
        <w:rPr>
          <w:rFonts w:ascii="Plus Jakarta Sans" w:hAnsi="Plus Jakarta Sans"/>
          <w:color w:val="111827"/>
        </w:rPr>
        <w:t xml:space="preserve">Biannual checks of SQLite and AWS server policies to prevent </w:t>
      </w:r>
      <w:r>
        <w:rPr>
          <w:rFonts w:ascii="Plus Jakarta Sans" w:hAnsi="Plus Jakarta Sans"/>
          <w:color w:val="111827"/>
        </w:rPr>
        <w:t>data leakage and maintain security standards.</w:t>
      </w:r>
    </w:p>
    <w:p w:rsidR="0057279C" w:rsidRDefault="00586D87">
      <w:pPr>
        <w:spacing w:after="120"/>
        <w:ind w:left="360"/>
        <w:rPr>
          <w:rFonts w:ascii="Plus Jakarta Sans" w:hAnsi="Plus Jakarta Sans"/>
          <w:color w:val="111827"/>
        </w:rPr>
      </w:pPr>
      <w:proofErr w:type="gramStart"/>
      <w:r>
        <w:rPr>
          <w:rFonts w:ascii="Plus Jakarta Sans" w:hAnsi="Plus Jakarta Sans"/>
          <w:b/>
          <w:color w:val="6B7280"/>
        </w:rPr>
        <w:t>•  24</w:t>
      </w:r>
      <w:proofErr w:type="gramEnd"/>
      <w:r>
        <w:rPr>
          <w:rFonts w:ascii="Plus Jakarta Sans" w:hAnsi="Plus Jakarta Sans"/>
          <w:b/>
          <w:color w:val="6B7280"/>
        </w:rPr>
        <w:t xml:space="preserve">/7 Field Support Hotline: </w:t>
      </w:r>
      <w:r>
        <w:rPr>
          <w:rFonts w:ascii="Plus Jakarta Sans" w:hAnsi="Plus Jakarta Sans"/>
          <w:color w:val="111827"/>
        </w:rPr>
        <w:t>A dedicated support line for Transfer Agents who encounter critical, blocker errors while executing vehicle buybacks on-site.</w:t>
      </w:r>
    </w:p>
    <w:p w:rsidR="00586D87" w:rsidRDefault="00586D87">
      <w:pPr>
        <w:spacing w:after="120"/>
        <w:ind w:left="360"/>
      </w:pPr>
    </w:p>
    <w:p w:rsidR="00586D87" w:rsidRDefault="00586D87">
      <w:pPr>
        <w:spacing w:after="120"/>
        <w:ind w:left="360"/>
      </w:pPr>
      <w:r>
        <w:rPr>
          <w:noProof/>
          <w:lang w:val="en-IN" w:eastAsia="en-IN"/>
        </w:rPr>
        <w:drawing>
          <wp:inline distT="0" distB="0" distL="0" distR="0">
            <wp:extent cx="1943100" cy="368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_Image_2025-05-26_at_18.30.50-removebg-previe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407" cy="38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6D8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utfit">
    <w:altName w:val="Times New Roman"/>
    <w:panose1 w:val="00000000000000000000"/>
    <w:charset w:val="00"/>
    <w:family w:val="roman"/>
    <w:notTrueType/>
    <w:pitch w:val="default"/>
  </w:font>
  <w:font w:name="Plus Jakarta Sa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279C"/>
    <w:rsid w:val="00586D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10F403"/>
  <w14:defaultImageDpi w14:val="300"/>
  <w15:docId w15:val="{497D6AEE-B653-4A17-98E4-0BD8EEC6F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C7A332-F84E-45AB-8DFB-DDB5B86D7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945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cp:lastPrinted>2026-07-09T15:13:00Z</cp:lastPrinted>
  <dcterms:created xsi:type="dcterms:W3CDTF">2013-12-23T23:15:00Z</dcterms:created>
  <dcterms:modified xsi:type="dcterms:W3CDTF">2026-07-09T15:14:00Z</dcterms:modified>
  <cp:category/>
</cp:coreProperties>
</file>