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B24C3" w14:textId="77777777" w:rsidR="00B13905" w:rsidRPr="003E0CF1" w:rsidRDefault="00B13905" w:rsidP="00F9519E">
      <w:pPr>
        <w:jc w:val="both"/>
        <w:rPr>
          <w:rFonts w:ascii="Times New Roman" w:hAnsi="Times New Roman" w:cs="Times New Roman"/>
          <w:b/>
          <w:bCs/>
          <w:sz w:val="24"/>
          <w:szCs w:val="24"/>
        </w:rPr>
      </w:pPr>
      <w:r>
        <w:rPr>
          <w:rFonts w:ascii="Times New Roman" w:hAnsi="Times New Roman" w:cs="Times New Roman"/>
          <w:sz w:val="24"/>
          <w:szCs w:val="24"/>
          <w:highlight w:val="yellow"/>
        </w:rPr>
        <w:t>Experimental Development and Exploratory Evaluation of Ancient Temple-Inspired Mineral Matrix Composites for Sustainable Engineering Applications</w:t>
      </w:r>
    </w:p>
    <w:p w14:paraId="799E20C2" w14:textId="77777777" w:rsidR="00366C3D" w:rsidRPr="003E0CF1" w:rsidRDefault="00366C3D" w:rsidP="00F9519E">
      <w:pPr>
        <w:jc w:val="both"/>
        <w:rPr>
          <w:rFonts w:ascii="Times New Roman" w:hAnsi="Times New Roman" w:cs="Times New Roman"/>
          <w:sz w:val="24"/>
          <w:szCs w:val="24"/>
        </w:rPr>
      </w:pPr>
      <w:r>
        <w:rPr>
          <w:rFonts w:ascii="Times New Roman" w:hAnsi="Times New Roman" w:cs="Times New Roman"/>
          <w:sz w:val="24"/>
          <w:szCs w:val="24"/>
        </w:rPr>
        <w:t xml:space="preserve">Giriraj </w:t>
      </w:r>
      <w:proofErr w:type="spellStart"/>
      <w:r>
        <w:rPr>
          <w:rFonts w:ascii="Times New Roman" w:hAnsi="Times New Roman" w:cs="Times New Roman"/>
          <w:sz w:val="24"/>
          <w:szCs w:val="24"/>
        </w:rPr>
        <w:t>Mannayee</w:t>
      </w:r>
      <w:proofErr w:type="spellEnd"/>
    </w:p>
    <w:p w14:paraId="425B9D1A" w14:textId="77777777" w:rsidR="00366C3D" w:rsidRPr="003E0CF1" w:rsidRDefault="00366C3D" w:rsidP="00F9519E">
      <w:pPr>
        <w:jc w:val="both"/>
        <w:rPr>
          <w:rFonts w:ascii="Times New Roman" w:hAnsi="Times New Roman" w:cs="Times New Roman"/>
          <w:sz w:val="24"/>
          <w:szCs w:val="24"/>
        </w:rPr>
      </w:pPr>
      <w:r>
        <w:rPr>
          <w:rFonts w:ascii="Times New Roman" w:hAnsi="Times New Roman" w:cs="Times New Roman"/>
          <w:sz w:val="24"/>
          <w:szCs w:val="24"/>
        </w:rPr>
        <w:t>Vellore Institute of Technology, Vellore 632014, India; m.giriraj@vit.ac.in,</w:t>
      </w:r>
    </w:p>
    <w:p w14:paraId="4FA6B434" w14:textId="77777777" w:rsidR="00366C3D" w:rsidRPr="003E0CF1" w:rsidRDefault="00366C3D" w:rsidP="00F9519E">
      <w:pPr>
        <w:jc w:val="both"/>
        <w:rPr>
          <w:rFonts w:ascii="Times New Roman" w:hAnsi="Times New Roman" w:cs="Times New Roman"/>
          <w:sz w:val="24"/>
          <w:szCs w:val="24"/>
        </w:rPr>
      </w:pPr>
      <w:r>
        <w:rPr>
          <w:rFonts w:ascii="Times New Roman" w:hAnsi="Times New Roman" w:cs="Times New Roman"/>
          <w:sz w:val="24"/>
          <w:szCs w:val="24"/>
        </w:rPr>
        <w:t xml:space="preserve">Corresponding author: Giriraj </w:t>
      </w:r>
      <w:proofErr w:type="spellStart"/>
      <w:r>
        <w:rPr>
          <w:rFonts w:ascii="Times New Roman" w:hAnsi="Times New Roman" w:cs="Times New Roman"/>
          <w:sz w:val="24"/>
          <w:szCs w:val="24"/>
        </w:rPr>
        <w:t>Mannayee</w:t>
      </w:r>
      <w:proofErr w:type="spellEnd"/>
    </w:p>
    <w:p w14:paraId="495C0CDA" w14:textId="77777777" w:rsidR="00F741DE" w:rsidRPr="003E0CF1" w:rsidRDefault="00E71383" w:rsidP="00F9519E">
      <w:pPr>
        <w:pStyle w:val="Heading1"/>
        <w:jc w:val="both"/>
        <w:rPr>
          <w:rFonts w:ascii="Times New Roman" w:hAnsi="Times New Roman" w:cs="Times New Roman"/>
          <w:color w:val="auto"/>
          <w:sz w:val="24"/>
          <w:szCs w:val="24"/>
        </w:rPr>
      </w:pPr>
      <w:r>
        <w:rPr>
          <w:rFonts w:ascii="Times New Roman" w:hAnsi="Times New Roman" w:cs="Times New Roman"/>
          <w:b/>
          <w:bCs/>
          <w:color w:val="auto"/>
          <w:sz w:val="24"/>
          <w:szCs w:val="24"/>
        </w:rPr>
        <w:t>Abstract</w:t>
      </w:r>
    </w:p>
    <w:p w14:paraId="6B65D87D" w14:textId="77777777" w:rsidR="00F741DE" w:rsidRPr="003E0CF1" w:rsidRDefault="007F6138" w:rsidP="00F9519E">
      <w:pPr>
        <w:jc w:val="both"/>
        <w:rPr>
          <w:rFonts w:ascii="Times New Roman" w:hAnsi="Times New Roman" w:cs="Times New Roman"/>
          <w:sz w:val="24"/>
          <w:szCs w:val="24"/>
        </w:rPr>
      </w:pPr>
      <w:r>
        <w:rPr>
          <w:rFonts w:ascii="Times New Roman" w:hAnsi="Times New Roman" w:cs="Times New Roman"/>
          <w:sz w:val="24"/>
          <w:szCs w:val="24"/>
          <w:highlight w:val="yellow"/>
        </w:rPr>
        <w:t xml:space="preserve">Ancient temple mortars provide case-specific inspiration for mineral-based construction, but a single historic sample cannot represent ancient mortars generally. This study characterizes one detached, non-load-bearing mortar sample from a 12th-century granite temple in Tamil Nadu and descriptively compares seven reported mixtures: an ordinary Portland cement (OPC) control and six lime–metakaolin formulations containing granite waste powder and chopped basalt </w:t>
      </w:r>
      <w:proofErr w:type="spellStart"/>
      <w:r>
        <w:rPr>
          <w:rFonts w:ascii="Times New Roman" w:hAnsi="Times New Roman" w:cs="Times New Roman"/>
          <w:sz w:val="24"/>
          <w:szCs w:val="24"/>
          <w:highlight w:val="yellow"/>
        </w:rPr>
        <w:t>fibres</w:t>
      </w:r>
      <w:proofErr w:type="spellEnd"/>
      <w:r>
        <w:rPr>
          <w:rFonts w:ascii="Times New Roman" w:hAnsi="Times New Roman" w:cs="Times New Roman"/>
          <w:sz w:val="24"/>
          <w:szCs w:val="24"/>
          <w:highlight w:val="yellow"/>
        </w:rPr>
        <w:t>. XRF, XRD and SEM–EDS were used to characterize source materials and selected specimens. Among the reported 28-day summary values, AT6 has the highest listed compressive strength (55.4 MPa), flexural strength (9.28 MPa), splitting tensile strength (4.95 MPa) and fracture toughness (2.35 MPa·m</w:t>
      </w:r>
      <w:r>
        <w:rPr>
          <w:rFonts w:ascii="Times New Roman" w:hAnsi="Times New Roman" w:cs="Times New Roman"/>
          <w:sz w:val="24"/>
          <w:szCs w:val="24"/>
          <w:highlight w:val="yellow"/>
          <w:vertAlign w:val="superscript"/>
        </w:rPr>
        <w:t>0.5</w:t>
      </w:r>
      <w:r>
        <w:rPr>
          <w:rFonts w:ascii="Times New Roman" w:hAnsi="Times New Roman" w:cs="Times New Roman"/>
          <w:sz w:val="24"/>
          <w:szCs w:val="24"/>
          <w:highlight w:val="yellow"/>
        </w:rPr>
        <w:t>), and the lowest listed water absorption (3.61%) and apparent porosity (7.82%). These are rankings within the seven reported mixtures, not proof of a globally optimized formulation. Because specimen-level results, replicate counts and dispersion measures are not available in the supplied manuscript, inferential ANOVA and response-surface claims are not treated as confirmatory evidence. The mixture design is non-orthogonal and changes several constituents together, so independent factor effects cannot be identified. The listed AT5 and AT6 sand fractions (34.0% and 33.5%) make the listed solids sum to 100%, but the actual batches must be verified against original weighing sheets before these corrections can be considered confirmed. The reported desirability value of 0.86 and 46.1% reduction in global warming potential (GWP) remain provisional because the model settings and life-cycle inventory are not independently reproducible from the supplied records. The work is an exploratory comparison and does not establish a global optimum, validated prediction model, long-term field durability or generalized environmental advantage.</w:t>
      </w:r>
    </w:p>
    <w:p w14:paraId="3D2F36AF"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highlight w:val="yellow"/>
        </w:rPr>
        <w:t xml:space="preserve">Keywords: historic mortar; mineral matrix composite; granite waste powder; lime–metakaolin binder; basalt </w:t>
      </w:r>
      <w:proofErr w:type="spellStart"/>
      <w:r>
        <w:rPr>
          <w:rFonts w:ascii="Times New Roman" w:hAnsi="Times New Roman" w:cs="Times New Roman"/>
          <w:sz w:val="24"/>
          <w:szCs w:val="24"/>
          <w:highlight w:val="yellow"/>
        </w:rPr>
        <w:t>fibre</w:t>
      </w:r>
      <w:proofErr w:type="spellEnd"/>
      <w:r>
        <w:rPr>
          <w:rFonts w:ascii="Times New Roman" w:hAnsi="Times New Roman" w:cs="Times New Roman"/>
          <w:sz w:val="24"/>
          <w:szCs w:val="24"/>
          <w:highlight w:val="yellow"/>
        </w:rPr>
        <w:t>; fracture toughness; durability screening; exploratory mixture comparison; life-cycle assessment; circular economy.</w:t>
      </w:r>
    </w:p>
    <w:p w14:paraId="5751BA67" w14:textId="77777777" w:rsidR="00F741DE" w:rsidRPr="003E0CF1" w:rsidRDefault="00E71383" w:rsidP="00F9519E">
      <w:pPr>
        <w:pStyle w:val="Heading1"/>
        <w:jc w:val="both"/>
        <w:rPr>
          <w:rFonts w:ascii="Times New Roman" w:hAnsi="Times New Roman" w:cs="Times New Roman"/>
          <w:color w:val="auto"/>
          <w:sz w:val="24"/>
          <w:szCs w:val="24"/>
        </w:rPr>
      </w:pPr>
      <w:r>
        <w:rPr>
          <w:rFonts w:ascii="Times New Roman" w:hAnsi="Times New Roman" w:cs="Times New Roman"/>
          <w:b/>
          <w:bCs/>
          <w:color w:val="auto"/>
          <w:sz w:val="24"/>
          <w:szCs w:val="24"/>
        </w:rPr>
        <w:t>1. Introduction</w:t>
      </w:r>
    </w:p>
    <w:p w14:paraId="7568F1A8" w14:textId="77777777" w:rsidR="00F741DE" w:rsidRPr="003E0CF1" w:rsidRDefault="000B06B4" w:rsidP="00F9519E">
      <w:pPr>
        <w:jc w:val="both"/>
        <w:rPr>
          <w:rFonts w:ascii="Times New Roman" w:hAnsi="Times New Roman" w:cs="Times New Roman"/>
          <w:sz w:val="24"/>
          <w:szCs w:val="24"/>
        </w:rPr>
      </w:pPr>
      <w:r>
        <w:rPr>
          <w:rFonts w:ascii="Times New Roman" w:hAnsi="Times New Roman" w:cs="Times New Roman"/>
          <w:sz w:val="24"/>
          <w:szCs w:val="24"/>
        </w:rPr>
        <w:t xml:space="preserve">The longevity of ancient buildings </w:t>
      </w:r>
      <w:r>
        <w:rPr>
          <w:rFonts w:ascii="Times New Roman" w:hAnsi="Times New Roman" w:cs="Times New Roman"/>
          <w:sz w:val="24"/>
          <w:szCs w:val="24"/>
          <w:highlight w:val="yellow"/>
        </w:rPr>
        <w:t>provides a useful</w:t>
      </w:r>
      <w:r>
        <w:rPr>
          <w:rFonts w:ascii="Times New Roman" w:hAnsi="Times New Roman" w:cs="Times New Roman"/>
          <w:sz w:val="24"/>
          <w:szCs w:val="24"/>
        </w:rPr>
        <w:t xml:space="preserve"> source of </w:t>
      </w:r>
      <w:r>
        <w:rPr>
          <w:rFonts w:ascii="Times New Roman" w:hAnsi="Times New Roman" w:cs="Times New Roman"/>
          <w:sz w:val="24"/>
          <w:szCs w:val="24"/>
          <w:highlight w:val="yellow"/>
        </w:rPr>
        <w:t>hypotheses</w:t>
      </w:r>
      <w:r>
        <w:rPr>
          <w:rFonts w:ascii="Times New Roman" w:hAnsi="Times New Roman" w:cs="Times New Roman"/>
          <w:sz w:val="24"/>
          <w:szCs w:val="24"/>
        </w:rPr>
        <w:t xml:space="preserve"> for modern materials science. </w:t>
      </w:r>
      <w:r>
        <w:rPr>
          <w:rFonts w:ascii="Times New Roman" w:hAnsi="Times New Roman" w:cs="Times New Roman"/>
          <w:sz w:val="24"/>
          <w:szCs w:val="24"/>
          <w:highlight w:val="yellow"/>
        </w:rPr>
        <w:t>Historic stone</w:t>
      </w:r>
      <w:r>
        <w:rPr>
          <w:rFonts w:ascii="Times New Roman" w:hAnsi="Times New Roman" w:cs="Times New Roman"/>
          <w:sz w:val="24"/>
          <w:szCs w:val="24"/>
        </w:rPr>
        <w:t xml:space="preserve"> buildings and mineral mortars have </w:t>
      </w:r>
      <w:r>
        <w:rPr>
          <w:rFonts w:ascii="Times New Roman" w:hAnsi="Times New Roman" w:cs="Times New Roman"/>
          <w:sz w:val="24"/>
          <w:szCs w:val="24"/>
          <w:highlight w:val="yellow"/>
        </w:rPr>
        <w:t>experienced long periods of</w:t>
      </w:r>
      <w:r>
        <w:rPr>
          <w:rFonts w:ascii="Times New Roman" w:hAnsi="Times New Roman" w:cs="Times New Roman"/>
          <w:sz w:val="24"/>
          <w:szCs w:val="24"/>
        </w:rPr>
        <w:t xml:space="preserve"> exposure to moisture, </w:t>
      </w:r>
      <w:r>
        <w:rPr>
          <w:rFonts w:ascii="Times New Roman" w:hAnsi="Times New Roman" w:cs="Times New Roman"/>
          <w:sz w:val="24"/>
          <w:szCs w:val="24"/>
          <w:highlight w:val="yellow"/>
        </w:rPr>
        <w:t>temperature variation</w:t>
      </w:r>
      <w:r>
        <w:rPr>
          <w:rFonts w:ascii="Times New Roman" w:hAnsi="Times New Roman" w:cs="Times New Roman"/>
          <w:sz w:val="24"/>
          <w:szCs w:val="24"/>
        </w:rPr>
        <w:t xml:space="preserve">, mechanical </w:t>
      </w:r>
      <w:r>
        <w:rPr>
          <w:rFonts w:ascii="Times New Roman" w:hAnsi="Times New Roman" w:cs="Times New Roman"/>
          <w:sz w:val="24"/>
          <w:szCs w:val="24"/>
          <w:highlight w:val="yellow"/>
        </w:rPr>
        <w:t>stress</w:t>
      </w:r>
      <w:r>
        <w:rPr>
          <w:rFonts w:ascii="Times New Roman" w:hAnsi="Times New Roman" w:cs="Times New Roman"/>
          <w:sz w:val="24"/>
          <w:szCs w:val="24"/>
        </w:rPr>
        <w:t xml:space="preserve"> and environmental </w:t>
      </w:r>
      <w:r>
        <w:rPr>
          <w:rFonts w:ascii="Times New Roman" w:hAnsi="Times New Roman" w:cs="Times New Roman"/>
          <w:sz w:val="24"/>
          <w:szCs w:val="24"/>
          <w:highlight w:val="yellow"/>
        </w:rPr>
        <w:t>weathering</w:t>
      </w:r>
      <w:r>
        <w:rPr>
          <w:rFonts w:ascii="Times New Roman" w:hAnsi="Times New Roman" w:cs="Times New Roman"/>
          <w:sz w:val="24"/>
          <w:szCs w:val="24"/>
        </w:rPr>
        <w:t xml:space="preserve">. However, </w:t>
      </w:r>
      <w:r>
        <w:rPr>
          <w:rFonts w:ascii="Times New Roman" w:hAnsi="Times New Roman" w:cs="Times New Roman"/>
          <w:sz w:val="24"/>
          <w:szCs w:val="24"/>
          <w:highlight w:val="yellow"/>
        </w:rPr>
        <w:t>the survival of selected historic structures does not by itself establish the performance or composition of all ancient mortars. Modern Portland-cement</w:t>
      </w:r>
      <w:r>
        <w:rPr>
          <w:rFonts w:ascii="Times New Roman" w:hAnsi="Times New Roman" w:cs="Times New Roman"/>
          <w:sz w:val="24"/>
          <w:szCs w:val="24"/>
        </w:rPr>
        <w:t xml:space="preserve"> materials offer advantages </w:t>
      </w:r>
      <w:r>
        <w:rPr>
          <w:rFonts w:ascii="Times New Roman" w:hAnsi="Times New Roman" w:cs="Times New Roman"/>
          <w:sz w:val="24"/>
          <w:szCs w:val="24"/>
          <w:highlight w:val="yellow"/>
        </w:rPr>
        <w:t>in</w:t>
      </w:r>
      <w:r>
        <w:rPr>
          <w:rFonts w:ascii="Times New Roman" w:hAnsi="Times New Roman" w:cs="Times New Roman"/>
          <w:sz w:val="24"/>
          <w:szCs w:val="24"/>
        </w:rPr>
        <w:t xml:space="preserve"> strength and </w:t>
      </w:r>
      <w:r>
        <w:rPr>
          <w:rFonts w:ascii="Times New Roman" w:hAnsi="Times New Roman" w:cs="Times New Roman"/>
          <w:sz w:val="24"/>
          <w:szCs w:val="24"/>
          <w:highlight w:val="yellow"/>
        </w:rPr>
        <w:t>production consistency,</w:t>
      </w:r>
      <w:r>
        <w:rPr>
          <w:rFonts w:ascii="Times New Roman" w:hAnsi="Times New Roman" w:cs="Times New Roman"/>
          <w:sz w:val="24"/>
          <w:szCs w:val="24"/>
        </w:rPr>
        <w:t xml:space="preserve"> but </w:t>
      </w:r>
      <w:r>
        <w:rPr>
          <w:rFonts w:ascii="Times New Roman" w:hAnsi="Times New Roman" w:cs="Times New Roman"/>
          <w:sz w:val="24"/>
          <w:szCs w:val="24"/>
          <w:highlight w:val="yellow"/>
        </w:rPr>
        <w:t>clinker manufacture and raw-material</w:t>
      </w:r>
      <w:r>
        <w:rPr>
          <w:rFonts w:ascii="Times New Roman" w:hAnsi="Times New Roman" w:cs="Times New Roman"/>
          <w:sz w:val="24"/>
          <w:szCs w:val="24"/>
        </w:rPr>
        <w:t xml:space="preserve"> extraction </w:t>
      </w:r>
      <w:r>
        <w:rPr>
          <w:rFonts w:ascii="Times New Roman" w:hAnsi="Times New Roman" w:cs="Times New Roman"/>
          <w:sz w:val="24"/>
          <w:szCs w:val="24"/>
          <w:highlight w:val="yellow"/>
        </w:rPr>
        <w:t>can carry substantial environmental burdens</w:t>
      </w:r>
      <w:r>
        <w:rPr>
          <w:rFonts w:ascii="Times New Roman" w:hAnsi="Times New Roman" w:cs="Times New Roman"/>
          <w:sz w:val="24"/>
          <w:szCs w:val="24"/>
        </w:rPr>
        <w:t xml:space="preserve">. </w:t>
      </w:r>
      <w:r>
        <w:rPr>
          <w:rFonts w:ascii="Times New Roman" w:hAnsi="Times New Roman" w:cs="Times New Roman"/>
          <w:sz w:val="24"/>
          <w:szCs w:val="24"/>
          <w:highlight w:val="yellow"/>
        </w:rPr>
        <w:t>Granite</w:t>
      </w:r>
      <w:r>
        <w:rPr>
          <w:rFonts w:ascii="Times New Roman" w:hAnsi="Times New Roman" w:cs="Times New Roman"/>
          <w:sz w:val="24"/>
          <w:szCs w:val="24"/>
        </w:rPr>
        <w:t xml:space="preserve"> processing </w:t>
      </w:r>
      <w:r>
        <w:rPr>
          <w:rFonts w:ascii="Times New Roman" w:hAnsi="Times New Roman" w:cs="Times New Roman"/>
          <w:sz w:val="24"/>
          <w:szCs w:val="24"/>
          <w:highlight w:val="yellow"/>
        </w:rPr>
        <w:t>also generates</w:t>
      </w:r>
      <w:r>
        <w:rPr>
          <w:rFonts w:ascii="Times New Roman" w:hAnsi="Times New Roman" w:cs="Times New Roman"/>
          <w:sz w:val="24"/>
          <w:szCs w:val="24"/>
        </w:rPr>
        <w:t xml:space="preserve"> mineral waste, </w:t>
      </w:r>
      <w:r>
        <w:rPr>
          <w:rFonts w:ascii="Times New Roman" w:hAnsi="Times New Roman" w:cs="Times New Roman"/>
          <w:sz w:val="24"/>
          <w:szCs w:val="24"/>
          <w:highlight w:val="yellow"/>
        </w:rPr>
        <w:t>including</w:t>
      </w:r>
      <w:r>
        <w:rPr>
          <w:rFonts w:ascii="Times New Roman" w:hAnsi="Times New Roman" w:cs="Times New Roman"/>
          <w:sz w:val="24"/>
          <w:szCs w:val="24"/>
        </w:rPr>
        <w:t xml:space="preserve"> powder and particulates, </w:t>
      </w:r>
      <w:r>
        <w:rPr>
          <w:rFonts w:ascii="Times New Roman" w:hAnsi="Times New Roman" w:cs="Times New Roman"/>
          <w:sz w:val="24"/>
          <w:szCs w:val="24"/>
          <w:highlight w:val="yellow"/>
        </w:rPr>
        <w:t>that may be suitable for selected material applications</w:t>
      </w:r>
      <w:r>
        <w:rPr>
          <w:rFonts w:ascii="Times New Roman" w:hAnsi="Times New Roman" w:cs="Times New Roman"/>
          <w:sz w:val="24"/>
          <w:szCs w:val="24"/>
        </w:rPr>
        <w:t xml:space="preserve">. Granite </w:t>
      </w:r>
      <w:r>
        <w:rPr>
          <w:rFonts w:ascii="Times New Roman" w:hAnsi="Times New Roman" w:cs="Times New Roman"/>
          <w:sz w:val="24"/>
          <w:szCs w:val="24"/>
          <w:highlight w:val="yellow"/>
        </w:rPr>
        <w:t>powder is rich in crystalline silica and feldspar, but</w:t>
      </w:r>
      <w:r>
        <w:rPr>
          <w:rFonts w:ascii="Times New Roman" w:hAnsi="Times New Roman" w:cs="Times New Roman"/>
          <w:sz w:val="24"/>
          <w:szCs w:val="24"/>
        </w:rPr>
        <w:t xml:space="preserve"> its </w:t>
      </w:r>
      <w:r>
        <w:rPr>
          <w:rFonts w:ascii="Times New Roman" w:hAnsi="Times New Roman" w:cs="Times New Roman"/>
          <w:sz w:val="24"/>
          <w:szCs w:val="24"/>
          <w:highlight w:val="yellow"/>
        </w:rPr>
        <w:t>contribution depends on source</w:t>
      </w:r>
      <w:r>
        <w:rPr>
          <w:rFonts w:ascii="Times New Roman" w:hAnsi="Times New Roman" w:cs="Times New Roman"/>
          <w:sz w:val="24"/>
          <w:szCs w:val="24"/>
        </w:rPr>
        <w:t xml:space="preserve">, </w:t>
      </w:r>
      <w:r>
        <w:rPr>
          <w:rFonts w:ascii="Times New Roman" w:hAnsi="Times New Roman" w:cs="Times New Roman"/>
          <w:sz w:val="24"/>
          <w:szCs w:val="24"/>
          <w:highlight w:val="yellow"/>
        </w:rPr>
        <w:t>grading, particle packing</w:t>
      </w:r>
      <w:r>
        <w:rPr>
          <w:rFonts w:ascii="Times New Roman" w:hAnsi="Times New Roman" w:cs="Times New Roman"/>
          <w:sz w:val="24"/>
          <w:szCs w:val="24"/>
        </w:rPr>
        <w:t xml:space="preserve"> and matrix </w:t>
      </w:r>
      <w:r>
        <w:rPr>
          <w:rFonts w:ascii="Times New Roman" w:hAnsi="Times New Roman" w:cs="Times New Roman"/>
          <w:sz w:val="24"/>
          <w:szCs w:val="24"/>
          <w:highlight w:val="yellow"/>
        </w:rPr>
        <w:t>compatibility;</w:t>
      </w:r>
      <w:r>
        <w:rPr>
          <w:rFonts w:ascii="Times New Roman" w:hAnsi="Times New Roman" w:cs="Times New Roman"/>
          <w:sz w:val="24"/>
          <w:szCs w:val="24"/>
        </w:rPr>
        <w:t xml:space="preserve"> chemical reactivity </w:t>
      </w:r>
      <w:r>
        <w:rPr>
          <w:rFonts w:ascii="Times New Roman" w:hAnsi="Times New Roman" w:cs="Times New Roman"/>
          <w:sz w:val="24"/>
          <w:szCs w:val="24"/>
          <w:highlight w:val="yellow"/>
        </w:rPr>
        <w:t>should not be assumed</w:t>
      </w:r>
      <w:r>
        <w:rPr>
          <w:rFonts w:ascii="Times New Roman" w:hAnsi="Times New Roman" w:cs="Times New Roman"/>
          <w:sz w:val="24"/>
          <w:szCs w:val="24"/>
        </w:rPr>
        <w:t xml:space="preserve"> from </w:t>
      </w:r>
      <w:r>
        <w:rPr>
          <w:rFonts w:ascii="Times New Roman" w:hAnsi="Times New Roman" w:cs="Times New Roman"/>
          <w:sz w:val="24"/>
          <w:szCs w:val="24"/>
          <w:highlight w:val="yellow"/>
        </w:rPr>
        <w:t>oxide composition alone</w:t>
      </w:r>
      <w:r>
        <w:rPr>
          <w:rFonts w:ascii="Times New Roman" w:hAnsi="Times New Roman" w:cs="Times New Roman"/>
          <w:sz w:val="24"/>
          <w:szCs w:val="24"/>
        </w:rPr>
        <w:t xml:space="preserve">. </w:t>
      </w:r>
      <w:r>
        <w:rPr>
          <w:rFonts w:ascii="Times New Roman" w:hAnsi="Times New Roman" w:cs="Times New Roman"/>
          <w:sz w:val="24"/>
          <w:szCs w:val="24"/>
          <w:highlight w:val="yellow"/>
        </w:rPr>
        <w:t>Lime</w:t>
      </w:r>
      <w:r>
        <w:rPr>
          <w:rFonts w:ascii="Times New Roman" w:hAnsi="Times New Roman" w:cs="Times New Roman"/>
          <w:sz w:val="24"/>
          <w:szCs w:val="24"/>
        </w:rPr>
        <w:t xml:space="preserve">-based mineral systems </w:t>
      </w:r>
      <w:r>
        <w:rPr>
          <w:rFonts w:ascii="Times New Roman" w:hAnsi="Times New Roman" w:cs="Times New Roman"/>
          <w:sz w:val="24"/>
          <w:szCs w:val="24"/>
          <w:highlight w:val="yellow"/>
        </w:rPr>
        <w:t>and metakaolin therefore provide</w:t>
      </w:r>
      <w:r>
        <w:rPr>
          <w:rFonts w:ascii="Times New Roman" w:hAnsi="Times New Roman" w:cs="Times New Roman"/>
          <w:sz w:val="24"/>
          <w:szCs w:val="24"/>
        </w:rPr>
        <w:t xml:space="preserve"> a </w:t>
      </w:r>
      <w:r>
        <w:rPr>
          <w:rFonts w:ascii="Times New Roman" w:hAnsi="Times New Roman" w:cs="Times New Roman"/>
          <w:sz w:val="24"/>
          <w:szCs w:val="24"/>
          <w:highlight w:val="yellow"/>
        </w:rPr>
        <w:t>possible design inspiration</w:t>
      </w:r>
      <w:r>
        <w:rPr>
          <w:rFonts w:ascii="Times New Roman" w:hAnsi="Times New Roman" w:cs="Times New Roman"/>
          <w:sz w:val="24"/>
          <w:szCs w:val="24"/>
        </w:rPr>
        <w:t xml:space="preserve">, </w:t>
      </w:r>
      <w:r>
        <w:rPr>
          <w:rFonts w:ascii="Times New Roman" w:hAnsi="Times New Roman" w:cs="Times New Roman"/>
          <w:sz w:val="24"/>
          <w:szCs w:val="24"/>
          <w:highlight w:val="yellow"/>
        </w:rPr>
        <w:t>while the actual</w:t>
      </w:r>
      <w:r>
        <w:rPr>
          <w:rFonts w:ascii="Times New Roman" w:hAnsi="Times New Roman" w:cs="Times New Roman"/>
          <w:sz w:val="24"/>
          <w:szCs w:val="24"/>
        </w:rPr>
        <w:t xml:space="preserve"> reaction products and </w:t>
      </w:r>
      <w:r>
        <w:rPr>
          <w:rFonts w:ascii="Times New Roman" w:hAnsi="Times New Roman" w:cs="Times New Roman"/>
          <w:sz w:val="24"/>
          <w:szCs w:val="24"/>
          <w:highlight w:val="yellow"/>
        </w:rPr>
        <w:t>performance of any new formulation require direct testing. Short</w:t>
      </w:r>
      <w:r>
        <w:rPr>
          <w:rFonts w:ascii="Times New Roman" w:hAnsi="Times New Roman" w:cs="Times New Roman"/>
          <w:sz w:val="24"/>
          <w:szCs w:val="24"/>
        </w:rPr>
        <w:t xml:space="preserve"> mineral </w:t>
      </w:r>
      <w:proofErr w:type="spellStart"/>
      <w:r>
        <w:rPr>
          <w:rFonts w:ascii="Times New Roman" w:hAnsi="Times New Roman" w:cs="Times New Roman"/>
          <w:sz w:val="24"/>
          <w:szCs w:val="24"/>
          <w:highlight w:val="yellow"/>
        </w:rPr>
        <w:t>fibres</w:t>
      </w:r>
      <w:proofErr w:type="spellEnd"/>
      <w:r>
        <w:rPr>
          <w:rFonts w:ascii="Times New Roman" w:hAnsi="Times New Roman" w:cs="Times New Roman"/>
          <w:sz w:val="24"/>
          <w:szCs w:val="24"/>
          <w:highlight w:val="yellow"/>
        </w:rPr>
        <w:t xml:space="preserve"> such as</w:t>
      </w:r>
      <w:r>
        <w:rPr>
          <w:rFonts w:ascii="Times New Roman" w:hAnsi="Times New Roman" w:cs="Times New Roman"/>
          <w:sz w:val="24"/>
          <w:szCs w:val="24"/>
        </w:rPr>
        <w:t xml:space="preserve"> basalt </w:t>
      </w:r>
      <w:r>
        <w:rPr>
          <w:rFonts w:ascii="Times New Roman" w:hAnsi="Times New Roman" w:cs="Times New Roman"/>
          <w:sz w:val="24"/>
          <w:szCs w:val="24"/>
          <w:highlight w:val="yellow"/>
        </w:rPr>
        <w:t>may improve crack bridging</w:t>
      </w:r>
      <w:r>
        <w:rPr>
          <w:rFonts w:ascii="Times New Roman" w:hAnsi="Times New Roman" w:cs="Times New Roman"/>
          <w:sz w:val="24"/>
          <w:szCs w:val="24"/>
        </w:rPr>
        <w:t xml:space="preserve"> and post-</w:t>
      </w:r>
      <w:r>
        <w:rPr>
          <w:rFonts w:ascii="Times New Roman" w:hAnsi="Times New Roman" w:cs="Times New Roman"/>
          <w:sz w:val="24"/>
          <w:szCs w:val="24"/>
          <w:highlight w:val="yellow"/>
        </w:rPr>
        <w:t xml:space="preserve">cracking </w:t>
      </w:r>
      <w:proofErr w:type="spellStart"/>
      <w:r>
        <w:rPr>
          <w:rFonts w:ascii="Times New Roman" w:hAnsi="Times New Roman" w:cs="Times New Roman"/>
          <w:sz w:val="24"/>
          <w:szCs w:val="24"/>
          <w:highlight w:val="yellow"/>
        </w:rPr>
        <w:t>behaviour</w:t>
      </w:r>
      <w:proofErr w:type="spellEnd"/>
      <w:r>
        <w:rPr>
          <w:rFonts w:ascii="Times New Roman" w:hAnsi="Times New Roman" w:cs="Times New Roman"/>
          <w:sz w:val="24"/>
          <w:szCs w:val="24"/>
        </w:rPr>
        <w:t xml:space="preserve">, </w:t>
      </w:r>
      <w:r>
        <w:rPr>
          <w:rFonts w:ascii="Times New Roman" w:hAnsi="Times New Roman" w:cs="Times New Roman"/>
          <w:sz w:val="24"/>
          <w:szCs w:val="24"/>
          <w:highlight w:val="yellow"/>
        </w:rPr>
        <w:t>but this effect must</w:t>
      </w:r>
      <w:r>
        <w:rPr>
          <w:rFonts w:ascii="Times New Roman" w:hAnsi="Times New Roman" w:cs="Times New Roman"/>
          <w:sz w:val="24"/>
          <w:szCs w:val="24"/>
        </w:rPr>
        <w:t xml:space="preserve"> be </w:t>
      </w:r>
      <w:r>
        <w:rPr>
          <w:rFonts w:ascii="Times New Roman" w:hAnsi="Times New Roman" w:cs="Times New Roman"/>
          <w:sz w:val="24"/>
          <w:szCs w:val="24"/>
          <w:highlight w:val="yellow"/>
        </w:rPr>
        <w:t>demonstrated using suitable mechanical data</w:t>
      </w:r>
      <w:r>
        <w:rPr>
          <w:rFonts w:ascii="Times New Roman" w:hAnsi="Times New Roman" w:cs="Times New Roman"/>
          <w:sz w:val="24"/>
          <w:szCs w:val="24"/>
        </w:rPr>
        <w:t>.</w:t>
      </w:r>
    </w:p>
    <w:p w14:paraId="560BBDFB" w14:textId="77777777" w:rsidR="00F741DE" w:rsidRPr="003E0CF1" w:rsidRDefault="00BA3180" w:rsidP="00F9519E">
      <w:pPr>
        <w:ind w:firstLine="720"/>
        <w:jc w:val="both"/>
        <w:rPr>
          <w:rFonts w:ascii="Times New Roman" w:hAnsi="Times New Roman" w:cs="Times New Roman"/>
          <w:sz w:val="24"/>
          <w:szCs w:val="24"/>
        </w:rPr>
      </w:pPr>
      <w:r>
        <w:rPr>
          <w:rFonts w:ascii="Times New Roman" w:hAnsi="Times New Roman" w:cs="Times New Roman"/>
          <w:sz w:val="24"/>
          <w:szCs w:val="24"/>
        </w:rPr>
        <w:t xml:space="preserve">This research </w:t>
      </w:r>
      <w:r>
        <w:rPr>
          <w:rFonts w:ascii="Times New Roman" w:hAnsi="Times New Roman" w:cs="Times New Roman"/>
          <w:sz w:val="24"/>
          <w:szCs w:val="24"/>
          <w:highlight w:val="yellow"/>
        </w:rPr>
        <w:t>presents</w:t>
      </w:r>
      <w:r>
        <w:rPr>
          <w:rFonts w:ascii="Times New Roman" w:hAnsi="Times New Roman" w:cs="Times New Roman"/>
          <w:sz w:val="24"/>
          <w:szCs w:val="24"/>
        </w:rPr>
        <w:t xml:space="preserve"> an Ancient Temple</w:t>
      </w:r>
      <w:r>
        <w:rPr>
          <w:rFonts w:ascii="Times New Roman" w:hAnsi="Times New Roman" w:cs="Times New Roman"/>
          <w:sz w:val="24"/>
          <w:szCs w:val="24"/>
          <w:highlight w:val="yellow"/>
        </w:rPr>
        <w:t>-Inspired</w:t>
      </w:r>
      <w:r>
        <w:rPr>
          <w:rFonts w:ascii="Times New Roman" w:hAnsi="Times New Roman" w:cs="Times New Roman"/>
          <w:sz w:val="24"/>
          <w:szCs w:val="24"/>
        </w:rPr>
        <w:t xml:space="preserve"> Mineral Matrix Composite (AT-MMC)</w:t>
      </w:r>
      <w:r>
        <w:rPr>
          <w:rFonts w:ascii="Times New Roman" w:hAnsi="Times New Roman" w:cs="Times New Roman"/>
          <w:sz w:val="24"/>
          <w:szCs w:val="24"/>
          <w:highlight w:val="yellow"/>
        </w:rPr>
        <w:t>, using one</w:t>
      </w:r>
      <w:r>
        <w:rPr>
          <w:rFonts w:ascii="Times New Roman" w:hAnsi="Times New Roman" w:cs="Times New Roman"/>
          <w:sz w:val="24"/>
          <w:szCs w:val="24"/>
        </w:rPr>
        <w:t xml:space="preserve"> mortar </w:t>
      </w:r>
      <w:r>
        <w:rPr>
          <w:rFonts w:ascii="Times New Roman" w:hAnsi="Times New Roman" w:cs="Times New Roman"/>
          <w:sz w:val="24"/>
          <w:szCs w:val="24"/>
          <w:highlight w:val="yellow"/>
        </w:rPr>
        <w:t>sample from</w:t>
      </w:r>
      <w:r>
        <w:rPr>
          <w:rFonts w:ascii="Times New Roman" w:hAnsi="Times New Roman" w:cs="Times New Roman"/>
          <w:sz w:val="24"/>
          <w:szCs w:val="24"/>
        </w:rPr>
        <w:t xml:space="preserve"> a 12th</w:t>
      </w:r>
      <w:r>
        <w:rPr>
          <w:rFonts w:ascii="Times New Roman" w:hAnsi="Times New Roman" w:cs="Times New Roman"/>
          <w:sz w:val="24"/>
          <w:szCs w:val="24"/>
          <w:highlight w:val="yellow"/>
        </w:rPr>
        <w:t>-</w:t>
      </w:r>
      <w:r>
        <w:rPr>
          <w:rFonts w:ascii="Times New Roman" w:hAnsi="Times New Roman" w:cs="Times New Roman"/>
          <w:sz w:val="24"/>
          <w:szCs w:val="24"/>
        </w:rPr>
        <w:t xml:space="preserve">century granite temple </w:t>
      </w:r>
      <w:r>
        <w:rPr>
          <w:rFonts w:ascii="Times New Roman" w:hAnsi="Times New Roman" w:cs="Times New Roman"/>
          <w:sz w:val="24"/>
          <w:szCs w:val="24"/>
          <w:highlight w:val="yellow"/>
        </w:rPr>
        <w:t>in Tamil Nadu as a case-specific source of design inspiration for</w:t>
      </w:r>
      <w:r>
        <w:rPr>
          <w:rFonts w:ascii="Times New Roman" w:hAnsi="Times New Roman" w:cs="Times New Roman"/>
          <w:sz w:val="24"/>
          <w:szCs w:val="24"/>
        </w:rPr>
        <w:t xml:space="preserve"> a granite</w:t>
      </w:r>
      <w:r>
        <w:rPr>
          <w:rFonts w:ascii="Times New Roman" w:hAnsi="Times New Roman" w:cs="Times New Roman"/>
          <w:sz w:val="24"/>
          <w:szCs w:val="24"/>
          <w:highlight w:val="yellow"/>
        </w:rPr>
        <w:t>-</w:t>
      </w:r>
      <w:r>
        <w:rPr>
          <w:rFonts w:ascii="Times New Roman" w:hAnsi="Times New Roman" w:cs="Times New Roman"/>
          <w:sz w:val="24"/>
          <w:szCs w:val="24"/>
        </w:rPr>
        <w:t xml:space="preserve">waste composite </w:t>
      </w:r>
      <w:r>
        <w:rPr>
          <w:rFonts w:ascii="Times New Roman" w:hAnsi="Times New Roman" w:cs="Times New Roman"/>
          <w:sz w:val="24"/>
          <w:szCs w:val="24"/>
          <w:highlight w:val="yellow"/>
        </w:rPr>
        <w:t>reinforced with</w:t>
      </w:r>
      <w:r>
        <w:rPr>
          <w:rFonts w:ascii="Times New Roman" w:hAnsi="Times New Roman" w:cs="Times New Roman"/>
          <w:sz w:val="24"/>
          <w:szCs w:val="24"/>
        </w:rPr>
        <w:t xml:space="preserve"> basalt </w:t>
      </w:r>
      <w:proofErr w:type="spellStart"/>
      <w:r>
        <w:rPr>
          <w:rFonts w:ascii="Times New Roman" w:hAnsi="Times New Roman" w:cs="Times New Roman"/>
          <w:sz w:val="24"/>
          <w:szCs w:val="24"/>
          <w:highlight w:val="yellow"/>
        </w:rPr>
        <w:t>fibre</w:t>
      </w:r>
      <w:proofErr w:type="spellEnd"/>
      <w:r>
        <w:rPr>
          <w:rFonts w:ascii="Times New Roman" w:hAnsi="Times New Roman" w:cs="Times New Roman"/>
          <w:sz w:val="24"/>
          <w:szCs w:val="24"/>
        </w:rPr>
        <w:t xml:space="preserve">. The </w:t>
      </w:r>
      <w:r>
        <w:rPr>
          <w:rFonts w:ascii="Times New Roman" w:hAnsi="Times New Roman" w:cs="Times New Roman"/>
          <w:sz w:val="24"/>
          <w:szCs w:val="24"/>
          <w:highlight w:val="yellow"/>
        </w:rPr>
        <w:t>objectives</w:t>
      </w:r>
      <w:r>
        <w:rPr>
          <w:rFonts w:ascii="Times New Roman" w:hAnsi="Times New Roman" w:cs="Times New Roman"/>
          <w:sz w:val="24"/>
          <w:szCs w:val="24"/>
        </w:rPr>
        <w:t xml:space="preserve"> are to: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r>
        <w:rPr>
          <w:rFonts w:ascii="Times New Roman" w:hAnsi="Times New Roman" w:cs="Times New Roman"/>
          <w:sz w:val="24"/>
          <w:szCs w:val="24"/>
          <w:highlight w:val="yellow"/>
        </w:rPr>
        <w:t>characterize</w:t>
      </w:r>
      <w:r>
        <w:rPr>
          <w:rFonts w:ascii="Times New Roman" w:hAnsi="Times New Roman" w:cs="Times New Roman"/>
          <w:sz w:val="24"/>
          <w:szCs w:val="24"/>
        </w:rPr>
        <w:t xml:space="preserve"> the </w:t>
      </w:r>
      <w:r>
        <w:rPr>
          <w:rFonts w:ascii="Times New Roman" w:hAnsi="Times New Roman" w:cs="Times New Roman"/>
          <w:sz w:val="24"/>
          <w:szCs w:val="24"/>
          <w:highlight w:val="yellow"/>
        </w:rPr>
        <w:t>sampled</w:t>
      </w:r>
      <w:r>
        <w:rPr>
          <w:rFonts w:ascii="Times New Roman" w:hAnsi="Times New Roman" w:cs="Times New Roman"/>
          <w:sz w:val="24"/>
          <w:szCs w:val="24"/>
        </w:rPr>
        <w:t xml:space="preserve"> mortar and </w:t>
      </w:r>
      <w:r>
        <w:rPr>
          <w:rFonts w:ascii="Times New Roman" w:hAnsi="Times New Roman" w:cs="Times New Roman"/>
          <w:sz w:val="24"/>
          <w:szCs w:val="24"/>
          <w:highlight w:val="yellow"/>
        </w:rPr>
        <w:t>candidate materials</w:t>
      </w:r>
      <w:r>
        <w:rPr>
          <w:rFonts w:ascii="Times New Roman" w:hAnsi="Times New Roman" w:cs="Times New Roman"/>
          <w:sz w:val="24"/>
          <w:szCs w:val="24"/>
        </w:rPr>
        <w:t xml:space="preserve">; (ii) </w:t>
      </w:r>
      <w:r>
        <w:rPr>
          <w:rFonts w:ascii="Times New Roman" w:hAnsi="Times New Roman" w:cs="Times New Roman"/>
          <w:sz w:val="24"/>
          <w:szCs w:val="24"/>
          <w:highlight w:val="yellow"/>
        </w:rPr>
        <w:t>compare</w:t>
      </w:r>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the </w:t>
      </w:r>
      <w:r>
        <w:rPr>
          <w:rFonts w:ascii="Times New Roman" w:hAnsi="Times New Roman" w:cs="Times New Roman"/>
          <w:sz w:val="24"/>
          <w:szCs w:val="24"/>
          <w:highlight w:val="yellow"/>
        </w:rPr>
        <w:t>reported</w:t>
      </w:r>
      <w:r>
        <w:rPr>
          <w:rFonts w:ascii="Times New Roman" w:hAnsi="Times New Roman" w:cs="Times New Roman"/>
          <w:sz w:val="24"/>
          <w:szCs w:val="24"/>
        </w:rPr>
        <w:t xml:space="preserve"> physical and mechanical properties of </w:t>
      </w:r>
      <w:r>
        <w:rPr>
          <w:rFonts w:ascii="Times New Roman" w:hAnsi="Times New Roman" w:cs="Times New Roman"/>
          <w:sz w:val="24"/>
          <w:szCs w:val="24"/>
          <w:highlight w:val="yellow"/>
        </w:rPr>
        <w:t xml:space="preserve">six exploratory AT-MMC formulations against an OPC control; (iii) describe associations among the reported properties and </w:t>
      </w:r>
      <w:proofErr w:type="spellStart"/>
      <w:r>
        <w:rPr>
          <w:rFonts w:ascii="Times New Roman" w:hAnsi="Times New Roman" w:cs="Times New Roman"/>
          <w:sz w:val="24"/>
          <w:szCs w:val="24"/>
          <w:highlight w:val="yellow"/>
        </w:rPr>
        <w:t>analyse</w:t>
      </w:r>
      <w:proofErr w:type="spellEnd"/>
      <w:r>
        <w:rPr>
          <w:rFonts w:ascii="Times New Roman" w:hAnsi="Times New Roman" w:cs="Times New Roman"/>
          <w:sz w:val="24"/>
          <w:szCs w:val="24"/>
          <w:highlight w:val="yellow"/>
        </w:rPr>
        <w:t xml:space="preserve"> their variance (ANOVA);</w:t>
      </w:r>
      <w:r>
        <w:rPr>
          <w:rFonts w:ascii="Times New Roman" w:hAnsi="Times New Roman" w:cs="Times New Roman"/>
          <w:sz w:val="24"/>
          <w:szCs w:val="24"/>
        </w:rPr>
        <w:t xml:space="preserve"> (iv) </w:t>
      </w:r>
      <w:r>
        <w:rPr>
          <w:rFonts w:ascii="Times New Roman" w:hAnsi="Times New Roman" w:cs="Times New Roman"/>
          <w:sz w:val="24"/>
          <w:szCs w:val="24"/>
          <w:highlight w:val="yellow"/>
        </w:rPr>
        <w:t>report a provisional multi</w:t>
      </w:r>
      <w:r>
        <w:rPr>
          <w:rFonts w:ascii="Times New Roman" w:hAnsi="Times New Roman" w:cs="Times New Roman"/>
          <w:sz w:val="24"/>
          <w:szCs w:val="24"/>
        </w:rPr>
        <w:t>-</w:t>
      </w:r>
      <w:r>
        <w:rPr>
          <w:rFonts w:ascii="Times New Roman" w:hAnsi="Times New Roman" w:cs="Times New Roman"/>
          <w:sz w:val="24"/>
          <w:szCs w:val="24"/>
          <w:highlight w:val="yellow"/>
        </w:rPr>
        <w:t>criteria desirability</w:t>
      </w:r>
      <w:r>
        <w:rPr>
          <w:rFonts w:ascii="Times New Roman" w:hAnsi="Times New Roman" w:cs="Times New Roman"/>
          <w:sz w:val="24"/>
          <w:szCs w:val="24"/>
        </w:rPr>
        <w:t xml:space="preserve"> analysis; (v) </w:t>
      </w:r>
      <w:r>
        <w:rPr>
          <w:rFonts w:ascii="Times New Roman" w:hAnsi="Times New Roman" w:cs="Times New Roman"/>
          <w:sz w:val="24"/>
          <w:szCs w:val="24"/>
          <w:highlight w:val="yellow"/>
        </w:rPr>
        <w:t>summarize a preliminary</w:t>
      </w:r>
      <w:r>
        <w:rPr>
          <w:rFonts w:ascii="Times New Roman" w:hAnsi="Times New Roman" w:cs="Times New Roman"/>
          <w:sz w:val="24"/>
          <w:szCs w:val="24"/>
        </w:rPr>
        <w:t xml:space="preserve"> comparative life-cycle assessment; and (</w:t>
      </w:r>
      <w:r>
        <w:rPr>
          <w:rFonts w:ascii="Times New Roman" w:hAnsi="Times New Roman" w:cs="Times New Roman"/>
          <w:sz w:val="24"/>
          <w:szCs w:val="24"/>
          <w:highlight w:val="yellow"/>
        </w:rPr>
        <w:t>vi</w:t>
      </w:r>
      <w:r>
        <w:rPr>
          <w:rFonts w:ascii="Times New Roman" w:hAnsi="Times New Roman" w:cs="Times New Roman"/>
          <w:sz w:val="24"/>
          <w:szCs w:val="24"/>
        </w:rPr>
        <w:t xml:space="preserve">) </w:t>
      </w:r>
      <w:r>
        <w:rPr>
          <w:rFonts w:ascii="Times New Roman" w:hAnsi="Times New Roman" w:cs="Times New Roman"/>
          <w:sz w:val="24"/>
          <w:szCs w:val="24"/>
          <w:highlight w:val="yellow"/>
        </w:rPr>
        <w:t>identify</w:t>
      </w:r>
      <w:r>
        <w:rPr>
          <w:rFonts w:ascii="Times New Roman" w:hAnsi="Times New Roman" w:cs="Times New Roman"/>
          <w:sz w:val="24"/>
          <w:szCs w:val="24"/>
        </w:rPr>
        <w:t xml:space="preserve"> data </w:t>
      </w:r>
      <w:r>
        <w:rPr>
          <w:rFonts w:ascii="Times New Roman" w:hAnsi="Times New Roman" w:cs="Times New Roman"/>
          <w:sz w:val="24"/>
          <w:szCs w:val="24"/>
          <w:highlight w:val="yellow"/>
        </w:rPr>
        <w:t>requirements for</w:t>
      </w:r>
      <w:r>
        <w:rPr>
          <w:rFonts w:ascii="Times New Roman" w:hAnsi="Times New Roman" w:cs="Times New Roman"/>
          <w:sz w:val="24"/>
          <w:szCs w:val="24"/>
        </w:rPr>
        <w:t xml:space="preserve"> future </w:t>
      </w:r>
      <w:r>
        <w:rPr>
          <w:rFonts w:ascii="Times New Roman" w:hAnsi="Times New Roman" w:cs="Times New Roman"/>
          <w:sz w:val="24"/>
          <w:szCs w:val="24"/>
          <w:highlight w:val="yellow"/>
        </w:rPr>
        <w:t>mixture</w:t>
      </w:r>
      <w:r>
        <w:rPr>
          <w:rFonts w:ascii="Times New Roman" w:hAnsi="Times New Roman" w:cs="Times New Roman"/>
          <w:sz w:val="24"/>
          <w:szCs w:val="24"/>
        </w:rPr>
        <w:t xml:space="preserve">-design research. The </w:t>
      </w:r>
      <w:r>
        <w:rPr>
          <w:rFonts w:ascii="Times New Roman" w:hAnsi="Times New Roman" w:cs="Times New Roman"/>
          <w:sz w:val="24"/>
          <w:szCs w:val="24"/>
          <w:highlight w:val="yellow"/>
        </w:rPr>
        <w:t>seven-mixture set is small and non-orthogonal, so it</w:t>
      </w:r>
      <w:r>
        <w:rPr>
          <w:rFonts w:ascii="Times New Roman" w:hAnsi="Times New Roman" w:cs="Times New Roman"/>
          <w:sz w:val="24"/>
          <w:szCs w:val="24"/>
        </w:rPr>
        <w:t xml:space="preserve"> is not </w:t>
      </w:r>
      <w:r>
        <w:rPr>
          <w:rFonts w:ascii="Times New Roman" w:hAnsi="Times New Roman" w:cs="Times New Roman"/>
          <w:sz w:val="24"/>
          <w:szCs w:val="24"/>
          <w:highlight w:val="yellow"/>
        </w:rPr>
        <w:t>sufficient to isolate all constituent effects or interactions</w:t>
      </w:r>
      <w:r>
        <w:rPr>
          <w:rFonts w:ascii="Times New Roman" w:hAnsi="Times New Roman" w:cs="Times New Roman"/>
          <w:sz w:val="24"/>
          <w:szCs w:val="24"/>
        </w:rPr>
        <w:t xml:space="preserve">, </w:t>
      </w:r>
      <w:r>
        <w:rPr>
          <w:rFonts w:ascii="Times New Roman" w:hAnsi="Times New Roman" w:cs="Times New Roman"/>
          <w:sz w:val="24"/>
          <w:szCs w:val="24"/>
          <w:highlight w:val="yellow"/>
        </w:rPr>
        <w:t>validate</w:t>
      </w:r>
      <w:r>
        <w:rPr>
          <w:rFonts w:ascii="Times New Roman" w:hAnsi="Times New Roman" w:cs="Times New Roman"/>
          <w:sz w:val="24"/>
          <w:szCs w:val="24"/>
        </w:rPr>
        <w:t xml:space="preserve"> a </w:t>
      </w:r>
      <w:r>
        <w:rPr>
          <w:rFonts w:ascii="Times New Roman" w:hAnsi="Times New Roman" w:cs="Times New Roman"/>
          <w:sz w:val="24"/>
          <w:szCs w:val="24"/>
          <w:highlight w:val="yellow"/>
        </w:rPr>
        <w:t>global optimum, or support general predictive claims</w:t>
      </w:r>
      <w:r>
        <w:rPr>
          <w:rFonts w:ascii="Times New Roman" w:hAnsi="Times New Roman" w:cs="Times New Roman"/>
          <w:sz w:val="24"/>
          <w:szCs w:val="24"/>
        </w:rPr>
        <w:t>.</w:t>
      </w:r>
    </w:p>
    <w:p w14:paraId="1B841B14" w14:textId="77777777" w:rsidR="00F741DE" w:rsidRPr="003E0CF1" w:rsidRDefault="00E71383" w:rsidP="00F9519E">
      <w:pPr>
        <w:pStyle w:val="Heading1"/>
        <w:jc w:val="both"/>
        <w:rPr>
          <w:rFonts w:ascii="Times New Roman" w:hAnsi="Times New Roman" w:cs="Times New Roman"/>
          <w:color w:val="auto"/>
          <w:sz w:val="24"/>
          <w:szCs w:val="24"/>
        </w:rPr>
      </w:pPr>
      <w:r>
        <w:rPr>
          <w:rFonts w:ascii="Times New Roman" w:hAnsi="Times New Roman" w:cs="Times New Roman"/>
          <w:b/>
          <w:bCs/>
          <w:color w:val="auto"/>
          <w:sz w:val="24"/>
          <w:szCs w:val="24"/>
        </w:rPr>
        <w:t>2. Background and Literature Review</w:t>
      </w:r>
    </w:p>
    <w:p w14:paraId="360FA063" w14:textId="77777777" w:rsidR="00F741DE" w:rsidRPr="003E0CF1" w:rsidRDefault="00E71383" w:rsidP="00F9519E">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2.1 Ancient lime-pozzolan mortars as durability benchmarks</w:t>
      </w:r>
    </w:p>
    <w:p w14:paraId="1088D2CE" w14:textId="77777777" w:rsidR="00264833" w:rsidRPr="003E0CF1" w:rsidRDefault="00654E38" w:rsidP="00F9519E">
      <w:pPr>
        <w:jc w:val="both"/>
        <w:rPr>
          <w:rFonts w:ascii="Times New Roman" w:hAnsi="Times New Roman" w:cs="Times New Roman"/>
          <w:sz w:val="24"/>
          <w:szCs w:val="24"/>
        </w:rPr>
      </w:pPr>
      <w:r>
        <w:rPr>
          <w:rFonts w:ascii="Times New Roman" w:hAnsi="Times New Roman" w:cs="Times New Roman"/>
          <w:sz w:val="24"/>
          <w:szCs w:val="24"/>
          <w:highlight w:val="yellow"/>
        </w:rPr>
        <w:t>Historic</w:t>
      </w:r>
      <w:r>
        <w:rPr>
          <w:rFonts w:ascii="Times New Roman" w:hAnsi="Times New Roman" w:cs="Times New Roman"/>
          <w:sz w:val="24"/>
          <w:szCs w:val="24"/>
        </w:rPr>
        <w:t xml:space="preserve"> lime mortars </w:t>
      </w:r>
      <w:r>
        <w:rPr>
          <w:rFonts w:ascii="Times New Roman" w:hAnsi="Times New Roman" w:cs="Times New Roman"/>
          <w:sz w:val="24"/>
          <w:szCs w:val="24"/>
          <w:highlight w:val="yellow"/>
        </w:rPr>
        <w:t>are often associated with</w:t>
      </w:r>
      <w:r>
        <w:rPr>
          <w:rFonts w:ascii="Times New Roman" w:hAnsi="Times New Roman" w:cs="Times New Roman"/>
          <w:sz w:val="24"/>
          <w:szCs w:val="24"/>
        </w:rPr>
        <w:t xml:space="preserve"> low interconnected porosity and a well-carbonated calcium carbonate matrix. </w:t>
      </w:r>
      <w:r>
        <w:rPr>
          <w:rFonts w:ascii="Times New Roman" w:hAnsi="Times New Roman" w:cs="Times New Roman"/>
          <w:sz w:val="24"/>
          <w:szCs w:val="24"/>
          <w:highlight w:val="yellow"/>
        </w:rPr>
        <w:t>In mortars containing</w:t>
      </w:r>
      <w:r>
        <w:rPr>
          <w:rFonts w:ascii="Times New Roman" w:hAnsi="Times New Roman" w:cs="Times New Roman"/>
          <w:sz w:val="24"/>
          <w:szCs w:val="24"/>
        </w:rPr>
        <w:t xml:space="preserve"> pozzolanic additions such as crushed brick, volcanic ash or aluminosilicate minerals, long-term stability may </w:t>
      </w:r>
      <w:r>
        <w:rPr>
          <w:rFonts w:ascii="Times New Roman" w:hAnsi="Times New Roman" w:cs="Times New Roman"/>
          <w:sz w:val="24"/>
          <w:szCs w:val="24"/>
          <w:highlight w:val="yellow"/>
        </w:rPr>
        <w:t>be linked to</w:t>
      </w:r>
      <w:r>
        <w:rPr>
          <w:rFonts w:ascii="Times New Roman" w:hAnsi="Times New Roman" w:cs="Times New Roman"/>
          <w:sz w:val="24"/>
          <w:szCs w:val="24"/>
        </w:rPr>
        <w:t xml:space="preserve"> calcium-aluminosilicate </w:t>
      </w:r>
      <w:r>
        <w:rPr>
          <w:rFonts w:ascii="Times New Roman" w:hAnsi="Times New Roman" w:cs="Times New Roman"/>
          <w:sz w:val="24"/>
          <w:szCs w:val="24"/>
          <w:highlight w:val="yellow"/>
        </w:rPr>
        <w:t>hydrate formation</w:t>
      </w:r>
      <w:r>
        <w:rPr>
          <w:rFonts w:ascii="Times New Roman" w:hAnsi="Times New Roman" w:cs="Times New Roman"/>
          <w:sz w:val="24"/>
          <w:szCs w:val="24"/>
        </w:rPr>
        <w:t xml:space="preserve">. Nanoindentation </w:t>
      </w:r>
      <w:r>
        <w:rPr>
          <w:rFonts w:ascii="Times New Roman" w:hAnsi="Times New Roman" w:cs="Times New Roman"/>
          <w:sz w:val="24"/>
          <w:szCs w:val="24"/>
          <w:highlight w:val="yellow"/>
        </w:rPr>
        <w:t>studies</w:t>
      </w:r>
      <w:r>
        <w:rPr>
          <w:rFonts w:ascii="Times New Roman" w:hAnsi="Times New Roman" w:cs="Times New Roman"/>
          <w:sz w:val="24"/>
          <w:szCs w:val="24"/>
        </w:rPr>
        <w:t xml:space="preserve"> of </w:t>
      </w:r>
      <w:r>
        <w:rPr>
          <w:rFonts w:ascii="Times New Roman" w:hAnsi="Times New Roman" w:cs="Times New Roman"/>
          <w:sz w:val="24"/>
          <w:szCs w:val="24"/>
          <w:highlight w:val="yellow"/>
        </w:rPr>
        <w:t>historic</w:t>
      </w:r>
      <w:r>
        <w:rPr>
          <w:rFonts w:ascii="Times New Roman" w:hAnsi="Times New Roman" w:cs="Times New Roman"/>
          <w:sz w:val="24"/>
          <w:szCs w:val="24"/>
        </w:rPr>
        <w:t xml:space="preserve"> clay-based </w:t>
      </w:r>
      <w:r>
        <w:rPr>
          <w:rFonts w:ascii="Times New Roman" w:hAnsi="Times New Roman" w:cs="Times New Roman"/>
          <w:sz w:val="24"/>
          <w:szCs w:val="24"/>
          <w:highlight w:val="yellow"/>
        </w:rPr>
        <w:t>composites report phase combinations associated with</w:t>
      </w:r>
      <w:r>
        <w:rPr>
          <w:rFonts w:ascii="Times New Roman" w:hAnsi="Times New Roman" w:cs="Times New Roman"/>
          <w:sz w:val="24"/>
          <w:szCs w:val="24"/>
        </w:rPr>
        <w:t xml:space="preserve"> slow densification [1]. </w:t>
      </w:r>
      <w:r>
        <w:rPr>
          <w:rFonts w:ascii="Times New Roman" w:hAnsi="Times New Roman" w:cs="Times New Roman"/>
          <w:sz w:val="24"/>
          <w:szCs w:val="24"/>
          <w:highlight w:val="yellow"/>
        </w:rPr>
        <w:t>These gradual reactions differ</w:t>
      </w:r>
      <w:r>
        <w:rPr>
          <w:rFonts w:ascii="Times New Roman" w:hAnsi="Times New Roman" w:cs="Times New Roman"/>
          <w:sz w:val="24"/>
          <w:szCs w:val="24"/>
        </w:rPr>
        <w:t xml:space="preserve"> from the </w:t>
      </w:r>
      <w:r>
        <w:rPr>
          <w:rFonts w:ascii="Times New Roman" w:hAnsi="Times New Roman" w:cs="Times New Roman"/>
          <w:sz w:val="24"/>
          <w:szCs w:val="24"/>
          <w:highlight w:val="yellow"/>
        </w:rPr>
        <w:t>faster</w:t>
      </w:r>
      <w:r>
        <w:rPr>
          <w:rFonts w:ascii="Times New Roman" w:hAnsi="Times New Roman" w:cs="Times New Roman"/>
          <w:sz w:val="24"/>
          <w:szCs w:val="24"/>
        </w:rPr>
        <w:t xml:space="preserve"> early-age hydration of Portland cement systems and </w:t>
      </w:r>
      <w:r>
        <w:rPr>
          <w:rFonts w:ascii="Times New Roman" w:hAnsi="Times New Roman" w:cs="Times New Roman"/>
          <w:sz w:val="24"/>
          <w:szCs w:val="24"/>
          <w:highlight w:val="yellow"/>
        </w:rPr>
        <w:t>offer useful hypotheses</w:t>
      </w:r>
      <w:r>
        <w:rPr>
          <w:rFonts w:ascii="Times New Roman" w:hAnsi="Times New Roman" w:cs="Times New Roman"/>
          <w:sz w:val="24"/>
          <w:szCs w:val="24"/>
        </w:rPr>
        <w:t xml:space="preserve"> for </w:t>
      </w:r>
      <w:r>
        <w:rPr>
          <w:rFonts w:ascii="Times New Roman" w:hAnsi="Times New Roman" w:cs="Times New Roman"/>
          <w:sz w:val="24"/>
          <w:szCs w:val="24"/>
          <w:highlight w:val="yellow"/>
        </w:rPr>
        <w:t>studying</w:t>
      </w:r>
      <w:r>
        <w:rPr>
          <w:rFonts w:ascii="Times New Roman" w:hAnsi="Times New Roman" w:cs="Times New Roman"/>
          <w:sz w:val="24"/>
          <w:szCs w:val="24"/>
        </w:rPr>
        <w:t xml:space="preserve"> long-</w:t>
      </w:r>
      <w:r>
        <w:rPr>
          <w:rFonts w:ascii="Times New Roman" w:hAnsi="Times New Roman" w:cs="Times New Roman"/>
          <w:sz w:val="24"/>
          <w:szCs w:val="24"/>
          <w:highlight w:val="yellow"/>
        </w:rPr>
        <w:t>term</w:t>
      </w:r>
      <w:r>
        <w:rPr>
          <w:rFonts w:ascii="Times New Roman" w:hAnsi="Times New Roman" w:cs="Times New Roman"/>
          <w:sz w:val="24"/>
          <w:szCs w:val="24"/>
        </w:rPr>
        <w:t xml:space="preserve"> mortar </w:t>
      </w:r>
      <w:proofErr w:type="spellStart"/>
      <w:r>
        <w:rPr>
          <w:rFonts w:ascii="Times New Roman" w:hAnsi="Times New Roman" w:cs="Times New Roman"/>
          <w:sz w:val="24"/>
          <w:szCs w:val="24"/>
          <w:highlight w:val="yellow"/>
        </w:rPr>
        <w:t>behaviour</w:t>
      </w:r>
      <w:proofErr w:type="spellEnd"/>
      <w:r>
        <w:rPr>
          <w:rFonts w:ascii="Times New Roman" w:hAnsi="Times New Roman" w:cs="Times New Roman"/>
          <w:sz w:val="24"/>
          <w:szCs w:val="24"/>
        </w:rPr>
        <w:t xml:space="preserve"> [1].</w:t>
      </w:r>
    </w:p>
    <w:p w14:paraId="6C0BDE55"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2.2 Granite waste and mineral fillers in cementitious and geopolymer systems</w:t>
      </w:r>
    </w:p>
    <w:p w14:paraId="1E5D573F" w14:textId="77777777" w:rsidR="00264833" w:rsidRPr="003E0CF1" w:rsidRDefault="00264833" w:rsidP="00F9519E">
      <w:pPr>
        <w:jc w:val="both"/>
        <w:rPr>
          <w:rFonts w:ascii="Times New Roman" w:hAnsi="Times New Roman" w:cs="Times New Roman"/>
          <w:sz w:val="24"/>
          <w:szCs w:val="24"/>
        </w:rPr>
      </w:pPr>
      <w:r>
        <w:rPr>
          <w:rFonts w:ascii="Times New Roman" w:hAnsi="Times New Roman" w:cs="Times New Roman"/>
          <w:sz w:val="24"/>
          <w:szCs w:val="24"/>
          <w:highlight w:val="yellow"/>
        </w:rPr>
        <w:t>Granite-processing waste includes blocks, slurry and quarry dust. Depending on source and grading, granite powder can serve as a mineral filler and improve particle packing. The silica-rich chemical and mineralogical profile reported here supports its initial evaluation as a filler; direct reactivity measurements in future work can determine any additional pozzolanic contribution. Its performance is considered alongside the lime–metakaolin binder [4,10].</w:t>
      </w:r>
    </w:p>
    <w:p w14:paraId="7DE8C2C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2.3 Lime-metakaolin binder chemistry</w:t>
      </w:r>
    </w:p>
    <w:p w14:paraId="65865E82" w14:textId="77777777" w:rsidR="00F741DE" w:rsidRPr="003E0CF1" w:rsidRDefault="002D7FD0" w:rsidP="00F9519E">
      <w:pPr>
        <w:jc w:val="both"/>
        <w:rPr>
          <w:rFonts w:ascii="Times New Roman" w:hAnsi="Times New Roman" w:cs="Times New Roman"/>
          <w:sz w:val="24"/>
          <w:szCs w:val="24"/>
        </w:rPr>
      </w:pPr>
      <w:r>
        <w:rPr>
          <w:rFonts w:ascii="Times New Roman" w:hAnsi="Times New Roman" w:cs="Times New Roman"/>
          <w:sz w:val="24"/>
          <w:szCs w:val="24"/>
          <w:highlight w:val="yellow"/>
        </w:rPr>
        <w:t>Metakaolin is a reactive aluminosilicate material that may react with hydrated lime to form calcium silicate hydrate (C-S-H) and calcium aluminosilicate hydrate (C-A-S-H)-type products. These products provide plausible explanations for the performance of related lime–metakaolin systems. In the present study, XRF, XRD and SEM–EDS provide compositional and morphological context; future phase-sensitive analysis can quantify reaction products and test this interpretation. Nanoindentation and multiscale studies of related systems report distinct mechanical signatures for different reaction-product phases [2,3,5–9,11–14].</w:t>
      </w:r>
    </w:p>
    <w:p w14:paraId="6EE47CDC" w14:textId="77777777" w:rsidR="00F741DE" w:rsidRPr="003E0CF1" w:rsidRDefault="00E71383" w:rsidP="00F9519E">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 xml:space="preserve">2.4 </w:t>
      </w:r>
      <w:proofErr w:type="spellStart"/>
      <w:r>
        <w:rPr>
          <w:rFonts w:ascii="Times New Roman" w:hAnsi="Times New Roman" w:cs="Times New Roman"/>
          <w:b/>
          <w:bCs/>
          <w:color w:val="auto"/>
          <w:sz w:val="24"/>
          <w:szCs w:val="24"/>
        </w:rPr>
        <w:t>Fibre</w:t>
      </w:r>
      <w:proofErr w:type="spellEnd"/>
      <w:r>
        <w:rPr>
          <w:rFonts w:ascii="Times New Roman" w:hAnsi="Times New Roman" w:cs="Times New Roman"/>
          <w:b/>
          <w:bCs/>
          <w:color w:val="auto"/>
          <w:sz w:val="24"/>
          <w:szCs w:val="24"/>
        </w:rPr>
        <w:t xml:space="preserve"> reinforcement and fracture </w:t>
      </w:r>
      <w:proofErr w:type="spellStart"/>
      <w:r>
        <w:rPr>
          <w:rFonts w:ascii="Times New Roman" w:hAnsi="Times New Roman" w:cs="Times New Roman"/>
          <w:b/>
          <w:bCs/>
          <w:color w:val="auto"/>
          <w:sz w:val="24"/>
          <w:szCs w:val="24"/>
        </w:rPr>
        <w:t>behaviour</w:t>
      </w:r>
      <w:proofErr w:type="spellEnd"/>
    </w:p>
    <w:p w14:paraId="4E9709BE" w14:textId="77777777" w:rsidR="00F741DE" w:rsidRPr="003E0CF1" w:rsidRDefault="00687105" w:rsidP="00F9519E">
      <w:pPr>
        <w:jc w:val="both"/>
        <w:rPr>
          <w:rFonts w:ascii="Times New Roman" w:hAnsi="Times New Roman" w:cs="Times New Roman"/>
          <w:sz w:val="24"/>
          <w:szCs w:val="24"/>
        </w:rPr>
      </w:pPr>
      <w:r>
        <w:rPr>
          <w:rFonts w:ascii="Times New Roman" w:hAnsi="Times New Roman" w:cs="Times New Roman"/>
          <w:sz w:val="24"/>
          <w:szCs w:val="24"/>
        </w:rPr>
        <w:t xml:space="preserve">These types of mineral matrices are inherently fragile and possess a low capacity for tensile strain. The incorporation of short randomly oriented </w:t>
      </w:r>
      <w:proofErr w:type="spellStart"/>
      <w:r>
        <w:rPr>
          <w:rFonts w:ascii="Times New Roman" w:hAnsi="Times New Roman" w:cs="Times New Roman"/>
          <w:sz w:val="24"/>
          <w:szCs w:val="24"/>
        </w:rPr>
        <w:t>fibres</w:t>
      </w:r>
      <w:proofErr w:type="spellEnd"/>
      <w:r>
        <w:rPr>
          <w:rFonts w:ascii="Times New Roman" w:hAnsi="Times New Roman" w:cs="Times New Roman"/>
          <w:sz w:val="24"/>
          <w:szCs w:val="24"/>
        </w:rPr>
        <w:t xml:space="preserve"> such as basalt, glass or synthetic </w:t>
      </w:r>
      <w:proofErr w:type="spellStart"/>
      <w:r>
        <w:rPr>
          <w:rFonts w:ascii="Times New Roman" w:hAnsi="Times New Roman" w:cs="Times New Roman"/>
          <w:sz w:val="24"/>
          <w:szCs w:val="24"/>
        </w:rPr>
        <w:t>fibre</w:t>
      </w:r>
      <w:proofErr w:type="spellEnd"/>
      <w:r>
        <w:rPr>
          <w:rFonts w:ascii="Times New Roman" w:hAnsi="Times New Roman" w:cs="Times New Roman"/>
          <w:sz w:val="24"/>
          <w:szCs w:val="24"/>
        </w:rPr>
        <w:t xml:space="preserve"> acts to increase fracture toughness and energy by bridging the microcracks formed during the initiation and propagation of cracks. This material is of specific significance in designing a heritage-based composite owing to its nature as a natural mineral </w:t>
      </w:r>
      <w:proofErr w:type="spellStart"/>
      <w:r>
        <w:rPr>
          <w:rFonts w:ascii="Times New Roman" w:hAnsi="Times New Roman" w:cs="Times New Roman"/>
          <w:sz w:val="24"/>
          <w:szCs w:val="24"/>
        </w:rPr>
        <w:t>fibre</w:t>
      </w:r>
      <w:proofErr w:type="spellEnd"/>
      <w:r>
        <w:rPr>
          <w:rFonts w:ascii="Times New Roman" w:hAnsi="Times New Roman" w:cs="Times New Roman"/>
          <w:sz w:val="24"/>
          <w:szCs w:val="24"/>
        </w:rPr>
        <w:t xml:space="preserve">, its stability in the presence of alkalis and heat compared to many other artificial </w:t>
      </w:r>
      <w:proofErr w:type="spellStart"/>
      <w:r>
        <w:rPr>
          <w:rFonts w:ascii="Times New Roman" w:hAnsi="Times New Roman" w:cs="Times New Roman"/>
          <w:sz w:val="24"/>
          <w:szCs w:val="24"/>
          <w:highlight w:val="yellow"/>
        </w:rPr>
        <w:t>fibres</w:t>
      </w:r>
      <w:proofErr w:type="spellEnd"/>
      <w:r>
        <w:rPr>
          <w:rFonts w:ascii="Times New Roman" w:hAnsi="Times New Roman" w:cs="Times New Roman"/>
          <w:sz w:val="24"/>
          <w:szCs w:val="24"/>
        </w:rPr>
        <w:t xml:space="preserve">, and its compatibility with the lime-metakaolin-based matrix. According to recent models of basalt </w:t>
      </w:r>
      <w:proofErr w:type="spellStart"/>
      <w:r>
        <w:rPr>
          <w:rFonts w:ascii="Times New Roman" w:hAnsi="Times New Roman" w:cs="Times New Roman"/>
          <w:sz w:val="24"/>
          <w:szCs w:val="24"/>
          <w:highlight w:val="yellow"/>
        </w:rPr>
        <w:t>fibre</w:t>
      </w:r>
      <w:proofErr w:type="spellEnd"/>
      <w:r>
        <w:rPr>
          <w:rFonts w:ascii="Times New Roman" w:hAnsi="Times New Roman" w:cs="Times New Roman"/>
          <w:sz w:val="24"/>
          <w:szCs w:val="24"/>
        </w:rPr>
        <w:t xml:space="preserve"> composites, the interface properties between the </w:t>
      </w:r>
      <w:proofErr w:type="spellStart"/>
      <w:r>
        <w:rPr>
          <w:rFonts w:ascii="Times New Roman" w:hAnsi="Times New Roman" w:cs="Times New Roman"/>
          <w:sz w:val="24"/>
          <w:szCs w:val="24"/>
          <w:highlight w:val="yellow"/>
        </w:rPr>
        <w:t>fibre</w:t>
      </w:r>
      <w:proofErr w:type="spellEnd"/>
      <w:r>
        <w:rPr>
          <w:rFonts w:ascii="Times New Roman" w:hAnsi="Times New Roman" w:cs="Times New Roman"/>
          <w:sz w:val="24"/>
          <w:szCs w:val="24"/>
        </w:rPr>
        <w:t xml:space="preserve"> and the matrix material, and not just </w:t>
      </w:r>
      <w:proofErr w:type="spellStart"/>
      <w:r>
        <w:rPr>
          <w:rFonts w:ascii="Times New Roman" w:hAnsi="Times New Roman" w:cs="Times New Roman"/>
          <w:sz w:val="24"/>
          <w:szCs w:val="24"/>
          <w:highlight w:val="yellow"/>
        </w:rPr>
        <w:t>fibre</w:t>
      </w:r>
      <w:proofErr w:type="spellEnd"/>
      <w:r>
        <w:rPr>
          <w:rFonts w:ascii="Times New Roman" w:hAnsi="Times New Roman" w:cs="Times New Roman"/>
          <w:sz w:val="24"/>
          <w:szCs w:val="24"/>
        </w:rPr>
        <w:t xml:space="preserve"> tensile strength, influence the cracking bridging and post cracking load carrying capacity of such composites [15].</w:t>
      </w:r>
    </w:p>
    <w:p w14:paraId="135DA7C0" w14:textId="77777777" w:rsidR="00F741DE" w:rsidRPr="003E0CF1" w:rsidRDefault="00E71383" w:rsidP="00F9519E">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2.5 Research gap addressed in this study</w:t>
      </w:r>
    </w:p>
    <w:p w14:paraId="0AF92F8B" w14:textId="77777777" w:rsidR="00F741DE" w:rsidRPr="003E0CF1" w:rsidRDefault="00647B2E" w:rsidP="00F9519E">
      <w:pPr>
        <w:jc w:val="both"/>
        <w:rPr>
          <w:rFonts w:ascii="Times New Roman" w:hAnsi="Times New Roman" w:cs="Times New Roman"/>
          <w:sz w:val="24"/>
          <w:szCs w:val="24"/>
        </w:rPr>
      </w:pPr>
      <w:r>
        <w:rPr>
          <w:rFonts w:ascii="Times New Roman" w:hAnsi="Times New Roman" w:cs="Times New Roman"/>
          <w:sz w:val="24"/>
          <w:szCs w:val="24"/>
          <w:highlight w:val="yellow"/>
        </w:rPr>
        <w:t>This study combines characterization of one historic mortar sample, granite-waste use, basalt-</w:t>
      </w:r>
      <w:proofErr w:type="spellStart"/>
      <w:r>
        <w:rPr>
          <w:rFonts w:ascii="Times New Roman" w:hAnsi="Times New Roman" w:cs="Times New Roman"/>
          <w:sz w:val="24"/>
          <w:szCs w:val="24"/>
          <w:highlight w:val="yellow"/>
        </w:rPr>
        <w:t>fibre</w:t>
      </w:r>
      <w:proofErr w:type="spellEnd"/>
      <w:r>
        <w:rPr>
          <w:rFonts w:ascii="Times New Roman" w:hAnsi="Times New Roman" w:cs="Times New Roman"/>
          <w:sz w:val="24"/>
          <w:szCs w:val="24"/>
          <w:highlight w:val="yellow"/>
        </w:rPr>
        <w:t xml:space="preserve"> reinforcement, physical and mechanical testing, durability endpoints, thermal properties and a preliminary environmental comparison. Its exploratory contribution is to document the reported </w:t>
      </w:r>
      <w:proofErr w:type="spellStart"/>
      <w:r>
        <w:rPr>
          <w:rFonts w:ascii="Times New Roman" w:hAnsi="Times New Roman" w:cs="Times New Roman"/>
          <w:sz w:val="24"/>
          <w:szCs w:val="24"/>
          <w:highlight w:val="yellow"/>
        </w:rPr>
        <w:t>behaviour</w:t>
      </w:r>
      <w:proofErr w:type="spellEnd"/>
      <w:r>
        <w:rPr>
          <w:rFonts w:ascii="Times New Roman" w:hAnsi="Times New Roman" w:cs="Times New Roman"/>
          <w:sz w:val="24"/>
          <w:szCs w:val="24"/>
          <w:highlight w:val="yellow"/>
        </w:rPr>
        <w:t xml:space="preserve"> of seven mixtures and establish a practical foundation for a larger, better-designed experimental </w:t>
      </w:r>
      <w:proofErr w:type="spellStart"/>
      <w:r>
        <w:rPr>
          <w:rFonts w:ascii="Times New Roman" w:hAnsi="Times New Roman" w:cs="Times New Roman"/>
          <w:sz w:val="24"/>
          <w:szCs w:val="24"/>
          <w:highlight w:val="yellow"/>
        </w:rPr>
        <w:t>programme</w:t>
      </w:r>
      <w:proofErr w:type="spellEnd"/>
      <w:r>
        <w:rPr>
          <w:rFonts w:ascii="Times New Roman" w:hAnsi="Times New Roman" w:cs="Times New Roman"/>
          <w:sz w:val="24"/>
          <w:szCs w:val="24"/>
          <w:highlight w:val="yellow"/>
        </w:rPr>
        <w:t>. The resulting framework can support future research on mixture design, validation and sustainable mineral composites.</w:t>
      </w:r>
    </w:p>
    <w:p w14:paraId="14A1A338" w14:textId="77777777" w:rsidR="00F741DE" w:rsidRPr="003E0CF1" w:rsidRDefault="00E71383" w:rsidP="00F9519E">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2.6 Artificial intelligence and machine learning in cementitious materials design: related work</w:t>
      </w:r>
    </w:p>
    <w:p w14:paraId="17FF45E8" w14:textId="77777777" w:rsidR="00F741DE" w:rsidRPr="003E0CF1" w:rsidRDefault="00647B2E" w:rsidP="00F9519E">
      <w:pPr>
        <w:jc w:val="both"/>
        <w:rPr>
          <w:rFonts w:ascii="Times New Roman" w:hAnsi="Times New Roman" w:cs="Times New Roman"/>
          <w:sz w:val="24"/>
          <w:szCs w:val="24"/>
        </w:rPr>
      </w:pPr>
      <w:r>
        <w:rPr>
          <w:rFonts w:ascii="Times New Roman" w:hAnsi="Times New Roman" w:cs="Times New Roman"/>
          <w:sz w:val="24"/>
          <w:szCs w:val="24"/>
          <w:highlight w:val="yellow"/>
        </w:rPr>
        <w:lastRenderedPageBreak/>
        <w:t xml:space="preserve">Machine-learning methods have been used to predict and optimize cementitious-material properties, but their reliability depends on adequate, representative data and independent validation [16–21]. The seven-mixture dataset in this study is too small and confounded to train or validate a reliable predictive model. It should be treated as a preliminary descriptive dataset that may help plan a larger design-of-experiments study, not as a validated AI/ML seed dataset. Future work should use a larger mixture matrix, specimen-level measurements, uncertainty estimates and independent validation before applying machine learning or </w:t>
      </w:r>
      <w:proofErr w:type="spellStart"/>
      <w:r>
        <w:rPr>
          <w:rFonts w:ascii="Times New Roman" w:hAnsi="Times New Roman" w:cs="Times New Roman"/>
          <w:sz w:val="24"/>
          <w:szCs w:val="24"/>
          <w:highlight w:val="yellow"/>
        </w:rPr>
        <w:t>optimisation</w:t>
      </w:r>
      <w:proofErr w:type="spellEnd"/>
      <w:r>
        <w:rPr>
          <w:rFonts w:ascii="Times New Roman" w:hAnsi="Times New Roman" w:cs="Times New Roman"/>
          <w:sz w:val="24"/>
          <w:szCs w:val="24"/>
          <w:highlight w:val="yellow"/>
        </w:rPr>
        <w:t xml:space="preserve"> algorithms.</w:t>
      </w:r>
    </w:p>
    <w:p w14:paraId="37298F5A" w14:textId="77777777" w:rsidR="00F741DE" w:rsidRPr="003E0CF1" w:rsidRDefault="00E71383" w:rsidP="00F9519E">
      <w:pPr>
        <w:pStyle w:val="Heading1"/>
        <w:jc w:val="both"/>
        <w:rPr>
          <w:rFonts w:ascii="Times New Roman" w:hAnsi="Times New Roman" w:cs="Times New Roman"/>
          <w:color w:val="auto"/>
          <w:sz w:val="24"/>
          <w:szCs w:val="24"/>
        </w:rPr>
      </w:pPr>
      <w:r>
        <w:rPr>
          <w:rFonts w:ascii="Times New Roman" w:hAnsi="Times New Roman" w:cs="Times New Roman"/>
          <w:b/>
          <w:bCs/>
          <w:color w:val="auto"/>
          <w:sz w:val="24"/>
          <w:szCs w:val="24"/>
        </w:rPr>
        <w:t>3. Materials and Methods</w:t>
      </w:r>
    </w:p>
    <w:p w14:paraId="506D40C4" w14:textId="77777777" w:rsidR="00F741DE" w:rsidRPr="003E0CF1" w:rsidRDefault="00E71383" w:rsidP="00F9519E">
      <w:pPr>
        <w:pStyle w:val="Heading2"/>
        <w:jc w:val="both"/>
        <w:rPr>
          <w:rFonts w:ascii="Times New Roman" w:hAnsi="Times New Roman" w:cs="Times New Roman"/>
          <w:sz w:val="24"/>
          <w:szCs w:val="24"/>
        </w:rPr>
      </w:pPr>
      <w:r>
        <w:rPr>
          <w:rFonts w:ascii="Times New Roman" w:hAnsi="Times New Roman" w:cs="Times New Roman"/>
          <w:sz w:val="24"/>
          <w:szCs w:val="24"/>
        </w:rPr>
        <w:t xml:space="preserve">Ancient temple mortar (ATM): </w:t>
      </w:r>
      <w:r>
        <w:rPr>
          <w:rFonts w:ascii="Times New Roman" w:hAnsi="Times New Roman" w:cs="Times New Roman"/>
          <w:sz w:val="24"/>
          <w:szCs w:val="24"/>
          <w:highlight w:val="yellow"/>
        </w:rPr>
        <w:t>one loose</w:t>
      </w:r>
      <w:r>
        <w:rPr>
          <w:rFonts w:ascii="Times New Roman" w:hAnsi="Times New Roman" w:cs="Times New Roman"/>
          <w:sz w:val="24"/>
          <w:szCs w:val="24"/>
        </w:rPr>
        <w:t xml:space="preserve">, </w:t>
      </w:r>
      <w:r>
        <w:rPr>
          <w:rFonts w:ascii="Times New Roman" w:hAnsi="Times New Roman" w:cs="Times New Roman"/>
          <w:sz w:val="24"/>
          <w:szCs w:val="24"/>
          <w:highlight w:val="yellow"/>
        </w:rPr>
        <w:t>detached, non-load-bearing jointing sample was collected</w:t>
      </w:r>
      <w:r>
        <w:rPr>
          <w:rFonts w:ascii="Times New Roman" w:hAnsi="Times New Roman" w:cs="Times New Roman"/>
          <w:sz w:val="24"/>
          <w:szCs w:val="24"/>
        </w:rPr>
        <w:t xml:space="preserve"> from a 12th</w:t>
      </w:r>
      <w:r>
        <w:rPr>
          <w:rFonts w:ascii="Times New Roman" w:hAnsi="Times New Roman" w:cs="Times New Roman"/>
          <w:sz w:val="24"/>
          <w:szCs w:val="24"/>
          <w:highlight w:val="yellow"/>
        </w:rPr>
        <w:t>-</w:t>
      </w:r>
      <w:r>
        <w:rPr>
          <w:rFonts w:ascii="Times New Roman" w:hAnsi="Times New Roman" w:cs="Times New Roman"/>
          <w:sz w:val="24"/>
          <w:szCs w:val="24"/>
        </w:rPr>
        <w:t xml:space="preserve">century granite temple </w:t>
      </w:r>
      <w:r>
        <w:rPr>
          <w:rFonts w:ascii="Times New Roman" w:hAnsi="Times New Roman" w:cs="Times New Roman"/>
          <w:sz w:val="24"/>
          <w:szCs w:val="24"/>
          <w:highlight w:val="yellow"/>
        </w:rPr>
        <w:t>in</w:t>
      </w:r>
      <w:r>
        <w:rPr>
          <w:rFonts w:ascii="Times New Roman" w:hAnsi="Times New Roman" w:cs="Times New Roman"/>
          <w:sz w:val="24"/>
          <w:szCs w:val="24"/>
        </w:rPr>
        <w:t xml:space="preserve"> Tamil Nadu</w:t>
      </w:r>
      <w:r>
        <w:rPr>
          <w:rFonts w:ascii="Times New Roman" w:hAnsi="Times New Roman" w:cs="Times New Roman"/>
          <w:sz w:val="24"/>
          <w:szCs w:val="24"/>
          <w:highlight w:val="yellow"/>
        </w:rPr>
        <w:t>, India, following conservation permissions. This sample provides</w:t>
      </w:r>
      <w:r>
        <w:rPr>
          <w:rFonts w:ascii="Times New Roman" w:hAnsi="Times New Roman" w:cs="Times New Roman"/>
          <w:sz w:val="24"/>
          <w:szCs w:val="24"/>
        </w:rPr>
        <w:t xml:space="preserve"> a </w:t>
      </w:r>
      <w:r>
        <w:rPr>
          <w:rFonts w:ascii="Times New Roman" w:hAnsi="Times New Roman" w:cs="Times New Roman"/>
          <w:sz w:val="24"/>
          <w:szCs w:val="24"/>
          <w:highlight w:val="yellow"/>
        </w:rPr>
        <w:t>case-specific material reference. Future sampling across documented locations, weathering states</w:t>
      </w:r>
      <w:r>
        <w:rPr>
          <w:rFonts w:ascii="Times New Roman" w:hAnsi="Times New Roman" w:cs="Times New Roman"/>
          <w:sz w:val="24"/>
          <w:szCs w:val="24"/>
        </w:rPr>
        <w:t xml:space="preserve"> and </w:t>
      </w:r>
      <w:r>
        <w:rPr>
          <w:rFonts w:ascii="Times New Roman" w:hAnsi="Times New Roman" w:cs="Times New Roman"/>
          <w:sz w:val="24"/>
          <w:szCs w:val="24"/>
          <w:highlight w:val="yellow"/>
        </w:rPr>
        <w:t>repair histories will help assess the broader variability of historic mortars</w:t>
      </w:r>
      <w:r>
        <w:rPr>
          <w:rFonts w:ascii="Times New Roman" w:hAnsi="Times New Roman" w:cs="Times New Roman"/>
          <w:sz w:val="24"/>
          <w:szCs w:val="24"/>
        </w:rPr>
        <w:t>.</w:t>
      </w:r>
    </w:p>
    <w:p w14:paraId="0A5A8D93" w14:textId="77777777" w:rsidR="007B4391" w:rsidRPr="003E0CF1" w:rsidRDefault="007B4391" w:rsidP="00F9519E">
      <w:pPr>
        <w:pStyle w:val="Heading2"/>
        <w:jc w:val="both"/>
        <w:rPr>
          <w:rFonts w:ascii="Times New Roman" w:hAnsi="Times New Roman" w:cs="Times New Roman"/>
          <w:sz w:val="24"/>
          <w:szCs w:val="24"/>
        </w:rPr>
      </w:pPr>
    </w:p>
    <w:p w14:paraId="4EF6093B" w14:textId="77777777" w:rsidR="007B4391" w:rsidRPr="003E0CF1" w:rsidRDefault="0015735E" w:rsidP="00F9519E">
      <w:pPr>
        <w:pStyle w:val="Heading2"/>
        <w:jc w:val="both"/>
        <w:rPr>
          <w:rFonts w:ascii="Times New Roman" w:hAnsi="Times New Roman" w:cs="Times New Roman"/>
          <w:color w:val="auto"/>
          <w:sz w:val="24"/>
          <w:szCs w:val="24"/>
        </w:rPr>
      </w:pPr>
      <w:r>
        <w:rPr>
          <w:rFonts w:ascii="Times New Roman" w:hAnsi="Times New Roman" w:cs="Times New Roman"/>
          <w:noProof/>
          <w:sz w:val="24"/>
          <w:szCs w:val="24"/>
        </w:rPr>
        <w:drawing>
          <wp:inline distT="0" distB="0" distL="0" distR="0" wp14:anchorId="1D67EA53" wp14:editId="09E9D77A">
            <wp:extent cx="5732780" cy="3745230"/>
            <wp:effectExtent l="0" t="0" r="1270" b="7620"/>
            <wp:docPr id="280411978" name="Picture 1" descr="Ancient temple mortar sampling: masonry joints, detached fragment, drying, sieving and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11978" name=""/>
                    <pic:cNvPicPr/>
                  </pic:nvPicPr>
                  <pic:blipFill>
                    <a:blip r:embed="rId6"/>
                    <a:stretch>
                      <a:fillRect/>
                    </a:stretch>
                  </pic:blipFill>
                  <pic:spPr>
                    <a:xfrm>
                      <a:off x="0" y="0"/>
                      <a:ext cx="5732780" cy="3745230"/>
                    </a:xfrm>
                    <a:prstGeom prst="rect">
                      <a:avLst/>
                    </a:prstGeom>
                  </pic:spPr>
                </pic:pic>
              </a:graphicData>
            </a:graphic>
          </wp:inline>
        </w:drawing>
      </w:r>
    </w:p>
    <w:p w14:paraId="4FCD0B8D" w14:textId="77777777" w:rsidR="00855B4A" w:rsidRPr="003E0CF1" w:rsidRDefault="00855B4A" w:rsidP="00F9519E">
      <w:pPr>
        <w:jc w:val="both"/>
        <w:rPr>
          <w:rFonts w:ascii="Times New Roman" w:hAnsi="Times New Roman" w:cs="Times New Roman"/>
          <w:sz w:val="24"/>
          <w:szCs w:val="24"/>
        </w:rPr>
      </w:pPr>
    </w:p>
    <w:p w14:paraId="08410860" w14:textId="77777777" w:rsidR="00855B4A"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cyan"/>
        </w:rPr>
        <w:t>Figure 1. Ancient temple mortar sampling: (a) masonry joints; (b) detached fragment; (c) drying, sieving and storage.</w:t>
      </w:r>
    </w:p>
    <w:p w14:paraId="41EB10C9" w14:textId="77777777" w:rsidR="00C91A49"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cyan"/>
        </w:rPr>
        <w:t>Figure 1 documents the field-to-laboratory pathway. Panel (a) shows temple masonry with weathered mortar joints and a localized view; panel (b) shows the detached mortar fragment with scale; and panel (c) shows drying, size reduction, 1.18 mm sieving and labelled storage. The lower panel contrasts the coarse, heterogeneous field fragment with the processed, finer powder and summarizes their visible differences. The images document the sample state and preparation pathway; they do not, by themselves, establish the historical composition or representativeness of the mortar.</w:t>
      </w:r>
    </w:p>
    <w:p w14:paraId="71EFB48D" w14:textId="77777777" w:rsidR="00855B4A"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 xml:space="preserve">The historical-mortar evidence is based on one detached sample. To strengthen traceability, the provenance details—including collection date, precise location, conservation permission, sample identifier and image metadata—should be checked against the original records and added where available. Accordingly, the sample is used as a case-specific design reference </w:t>
      </w:r>
      <w:r>
        <w:rPr>
          <w:rFonts w:ascii="Times New Roman" w:hAnsi="Times New Roman" w:cs="Times New Roman"/>
          <w:sz w:val="24"/>
          <w:szCs w:val="24"/>
          <w:highlight w:val="yellow"/>
        </w:rPr>
        <w:lastRenderedPageBreak/>
        <w:t>rather than as a representative of historic temple mortars generally. The 1.18 mm sieve aperture and image scale bars should likewise be retained only where confirmed by the laboratory and image-acquisition records.</w:t>
      </w:r>
    </w:p>
    <w:p w14:paraId="13EE74A5" w14:textId="77777777" w:rsidR="0038021B" w:rsidRPr="003E0CF1" w:rsidRDefault="0038021B" w:rsidP="00F9519E">
      <w:pPr>
        <w:jc w:val="both"/>
        <w:rPr>
          <w:rFonts w:ascii="Times New Roman" w:hAnsi="Times New Roman" w:cs="Times New Roman"/>
          <w:sz w:val="24"/>
          <w:szCs w:val="24"/>
        </w:rPr>
      </w:pPr>
      <w:r>
        <w:rPr>
          <w:rFonts w:ascii="Times New Roman" w:hAnsi="Times New Roman" w:cs="Times New Roman"/>
          <w:sz w:val="24"/>
          <w:szCs w:val="24"/>
          <w:highlight w:val="yellow"/>
        </w:rPr>
        <w:t>The historical mortar is used as a case-specific design reference. Future work will expand sampling across multiple locations and specimens to quantify archaeological variability and representativeness.</w:t>
      </w:r>
    </w:p>
    <w:p w14:paraId="3DFD9550" w14:textId="77777777" w:rsidR="00295223"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 xml:space="preserve">Sample-state distinction: the detached fragment represents the as-collected historic mortar, whereas the powder shown after drying, crushing and sieving is a processed analytical fraction. Processing improves handling and promotes a more controlled particle-size range for selected laboratory analyses, but it changes particle size and may alter aggregate visibility and packing </w:t>
      </w:r>
      <w:proofErr w:type="spellStart"/>
      <w:r>
        <w:rPr>
          <w:rFonts w:ascii="Times New Roman" w:hAnsi="Times New Roman" w:cs="Times New Roman"/>
          <w:sz w:val="24"/>
          <w:szCs w:val="24"/>
          <w:highlight w:val="yellow"/>
        </w:rPr>
        <w:t>behaviour</w:t>
      </w:r>
      <w:proofErr w:type="spellEnd"/>
      <w:r>
        <w:rPr>
          <w:rFonts w:ascii="Times New Roman" w:hAnsi="Times New Roman" w:cs="Times New Roman"/>
          <w:sz w:val="24"/>
          <w:szCs w:val="24"/>
          <w:highlight w:val="yellow"/>
        </w:rPr>
        <w:t>. Results obtained from the prepared powder should therefore be reported as properties of that prepared fraction, not automatically attributed to the intact historic mortar or to the original in-situ joint.</w:t>
      </w:r>
    </w:p>
    <w:p w14:paraId="445600D1" w14:textId="77777777" w:rsidR="0038021B" w:rsidRPr="003E0CF1" w:rsidRDefault="0038021B" w:rsidP="00F9519E">
      <w:pPr>
        <w:jc w:val="both"/>
        <w:rPr>
          <w:rFonts w:ascii="Times New Roman" w:hAnsi="Times New Roman" w:cs="Times New Roman"/>
          <w:sz w:val="24"/>
          <w:szCs w:val="24"/>
        </w:rPr>
      </w:pPr>
      <w:r>
        <w:rPr>
          <w:rFonts w:ascii="Times New Roman" w:hAnsi="Times New Roman" w:cs="Times New Roman"/>
          <w:sz w:val="24"/>
          <w:szCs w:val="24"/>
        </w:rPr>
        <w:t>Granite waste powder (GWP): sampled from a local granite quarry and stone dressing industry, dried and sieved to specific particle-size distribution.</w:t>
      </w:r>
    </w:p>
    <w:p w14:paraId="306DF53C"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 xml:space="preserve">Metakaolin (MK): commercially supplied </w:t>
      </w:r>
    </w:p>
    <w:p w14:paraId="0565D33F"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 xml:space="preserve">Basalt </w:t>
      </w:r>
      <w:proofErr w:type="spellStart"/>
      <w:r>
        <w:rPr>
          <w:rFonts w:ascii="Times New Roman" w:hAnsi="Times New Roman" w:cs="Times New Roman"/>
          <w:sz w:val="24"/>
          <w:szCs w:val="24"/>
        </w:rPr>
        <w:t>fibre</w:t>
      </w:r>
      <w:proofErr w:type="spellEnd"/>
      <w:r>
        <w:rPr>
          <w:rFonts w:ascii="Times New Roman" w:hAnsi="Times New Roman" w:cs="Times New Roman"/>
          <w:sz w:val="24"/>
          <w:szCs w:val="24"/>
        </w:rPr>
        <w:t xml:space="preserve"> (BF): chopped, 12 mm nominal length.</w:t>
      </w:r>
    </w:p>
    <w:p w14:paraId="2E65C033" w14:textId="77777777" w:rsidR="00F741DE" w:rsidRPr="003E0CF1" w:rsidRDefault="00495C85" w:rsidP="00F9519E">
      <w:pPr>
        <w:jc w:val="both"/>
        <w:rPr>
          <w:rFonts w:ascii="Times New Roman" w:hAnsi="Times New Roman" w:cs="Times New Roman"/>
          <w:sz w:val="24"/>
          <w:szCs w:val="24"/>
        </w:rPr>
      </w:pPr>
      <w:r>
        <w:rPr>
          <w:rFonts w:ascii="Times New Roman" w:hAnsi="Times New Roman" w:cs="Times New Roman"/>
          <w:sz w:val="24"/>
          <w:szCs w:val="24"/>
          <w:highlight w:val="yellow"/>
        </w:rPr>
        <w:t xml:space="preserve">Before batching, the historic mortar and granite waste powder were oven-dried and sealed; hydrated lime and metakaolin were stored in sealed containers, and basalt </w:t>
      </w:r>
      <w:proofErr w:type="spellStart"/>
      <w:r>
        <w:rPr>
          <w:rFonts w:ascii="Times New Roman" w:hAnsi="Times New Roman" w:cs="Times New Roman"/>
          <w:sz w:val="24"/>
          <w:szCs w:val="24"/>
          <w:highlight w:val="yellow"/>
        </w:rPr>
        <w:t>fibre</w:t>
      </w:r>
      <w:proofErr w:type="spellEnd"/>
      <w:r>
        <w:rPr>
          <w:rFonts w:ascii="Times New Roman" w:hAnsi="Times New Roman" w:cs="Times New Roman"/>
          <w:sz w:val="24"/>
          <w:szCs w:val="24"/>
          <w:highlight w:val="yellow"/>
        </w:rPr>
        <w:t xml:space="preserve"> was kept dry. For full reproducibility, the conditioning record can be strengthened by documenting drying temperatures and durations, source-specific grading, supplier and material grade, and any moisture corrections applied before batching.</w:t>
      </w:r>
    </w:p>
    <w:p w14:paraId="108B33BB" w14:textId="77777777" w:rsidR="00F741DE" w:rsidRPr="003E0CF1" w:rsidRDefault="00E71383" w:rsidP="00F9519E">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3.2 Mix proportions</w:t>
      </w:r>
    </w:p>
    <w:p w14:paraId="474C402F" w14:textId="77777777" w:rsidR="00495C85" w:rsidRPr="003E0CF1" w:rsidRDefault="00495C85" w:rsidP="00F9519E">
      <w:pPr>
        <w:jc w:val="both"/>
        <w:rPr>
          <w:rFonts w:ascii="Times New Roman" w:hAnsi="Times New Roman" w:cs="Times New Roman"/>
          <w:sz w:val="24"/>
          <w:szCs w:val="24"/>
        </w:rPr>
      </w:pPr>
      <w:r>
        <w:rPr>
          <w:rFonts w:ascii="Times New Roman" w:hAnsi="Times New Roman" w:cs="Times New Roman"/>
          <w:sz w:val="24"/>
          <w:szCs w:val="24"/>
          <w:highlight w:val="cyan"/>
        </w:rPr>
        <w:t>Seven formulations (Table 1) were included</w:t>
      </w:r>
      <w:r>
        <w:rPr>
          <w:rFonts w:ascii="Times New Roman" w:hAnsi="Times New Roman" w:cs="Times New Roman"/>
          <w:sz w:val="24"/>
          <w:szCs w:val="24"/>
          <w:highlight w:val="yellow"/>
        </w:rPr>
        <w:t xml:space="preserve"> as an exploratory screening set: one ordinary Portland cement (OPC) control (C0) and six AT-MMC mixtures (AT1–AT6). The set is non-orthogonal, with several variables changing together between AT1–AT4 and AT5–AT6. The reported water-to-binder ratio is 0.40–0.42; the binder definition and C0 batch composition should be cross-checked against the original batching sheets to support reproducibility. The results are therefore interpreted as descriptive comparisons rather than estimates of independent constituent effects.</w:t>
      </w:r>
    </w:p>
    <w:p w14:paraId="53472E34"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 xml:space="preserve">Table 1. </w:t>
      </w:r>
      <w:r>
        <w:rPr>
          <w:rFonts w:ascii="Times New Roman" w:hAnsi="Times New Roman" w:cs="Times New Roman"/>
          <w:i/>
          <w:iCs/>
          <w:sz w:val="24"/>
          <w:szCs w:val="24"/>
        </w:rPr>
        <w:t>Mix proportions of AT-MMC (mass % of solid content).</w:t>
      </w:r>
    </w:p>
    <w:tbl>
      <w:tblPr>
        <w:tblStyle w:val="TableGrid"/>
        <w:tblW w:w="9108" w:type="dxa"/>
        <w:tblLook w:val="04A0" w:firstRow="1" w:lastRow="0" w:firstColumn="1" w:lastColumn="0" w:noHBand="0" w:noVBand="1"/>
      </w:tblPr>
      <w:tblGrid>
        <w:gridCol w:w="1110"/>
        <w:gridCol w:w="1218"/>
        <w:gridCol w:w="868"/>
        <w:gridCol w:w="1390"/>
        <w:gridCol w:w="1239"/>
        <w:gridCol w:w="869"/>
        <w:gridCol w:w="1047"/>
        <w:gridCol w:w="1367"/>
      </w:tblGrid>
      <w:tr w:rsidR="008A62E8" w:rsidRPr="003E0CF1" w14:paraId="522C6651" w14:textId="77777777" w:rsidTr="00495C85">
        <w:tc>
          <w:tcPr>
            <w:tcW w:w="1110" w:type="dxa"/>
          </w:tcPr>
          <w:p w14:paraId="6CC466A4"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Mix ID</w:t>
            </w:r>
          </w:p>
        </w:tc>
        <w:tc>
          <w:tcPr>
            <w:tcW w:w="1218" w:type="dxa"/>
          </w:tcPr>
          <w:p w14:paraId="45A2950B"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Binder system</w:t>
            </w:r>
          </w:p>
        </w:tc>
        <w:tc>
          <w:tcPr>
            <w:tcW w:w="868" w:type="dxa"/>
          </w:tcPr>
          <w:p w14:paraId="093C9D64"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Lime (%)</w:t>
            </w:r>
          </w:p>
        </w:tc>
        <w:tc>
          <w:tcPr>
            <w:tcW w:w="1390" w:type="dxa"/>
          </w:tcPr>
          <w:p w14:paraId="756EC95C"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Metakaolin (%)</w:t>
            </w:r>
          </w:p>
        </w:tc>
        <w:tc>
          <w:tcPr>
            <w:tcW w:w="1239" w:type="dxa"/>
          </w:tcPr>
          <w:p w14:paraId="362FCBED"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Granite waste (%)</w:t>
            </w:r>
          </w:p>
        </w:tc>
        <w:tc>
          <w:tcPr>
            <w:tcW w:w="869" w:type="dxa"/>
          </w:tcPr>
          <w:p w14:paraId="62AF2687"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Sand (%)</w:t>
            </w:r>
          </w:p>
        </w:tc>
        <w:tc>
          <w:tcPr>
            <w:tcW w:w="1047" w:type="dxa"/>
          </w:tcPr>
          <w:p w14:paraId="7465E44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 xml:space="preserve">Basalt </w:t>
            </w:r>
            <w:proofErr w:type="spellStart"/>
            <w:r>
              <w:rPr>
                <w:rFonts w:ascii="Times New Roman" w:hAnsi="Times New Roman" w:cs="Times New Roman"/>
                <w:b/>
                <w:bCs/>
                <w:sz w:val="24"/>
                <w:szCs w:val="24"/>
              </w:rPr>
              <w:t>fibre</w:t>
            </w:r>
            <w:proofErr w:type="spellEnd"/>
            <w:r>
              <w:rPr>
                <w:rFonts w:ascii="Times New Roman" w:hAnsi="Times New Roman" w:cs="Times New Roman"/>
                <w:b/>
                <w:bCs/>
                <w:sz w:val="24"/>
                <w:szCs w:val="24"/>
              </w:rPr>
              <w:t xml:space="preserve"> (%)</w:t>
            </w:r>
          </w:p>
        </w:tc>
        <w:tc>
          <w:tcPr>
            <w:tcW w:w="1367" w:type="dxa"/>
          </w:tcPr>
          <w:p w14:paraId="03F46752"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w/b ratio</w:t>
            </w:r>
          </w:p>
        </w:tc>
      </w:tr>
      <w:tr w:rsidR="008A62E8" w:rsidRPr="003E0CF1" w14:paraId="633C0117" w14:textId="77777777" w:rsidTr="00495C85">
        <w:tc>
          <w:tcPr>
            <w:tcW w:w="1110" w:type="dxa"/>
          </w:tcPr>
          <w:p w14:paraId="0C5E0DB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highlight w:val="yellow"/>
              </w:rPr>
              <w:t>C0 (Control)</w:t>
            </w:r>
          </w:p>
        </w:tc>
        <w:tc>
          <w:tcPr>
            <w:tcW w:w="1218" w:type="dxa"/>
          </w:tcPr>
          <w:p w14:paraId="0F41DD1C"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highlight w:val="yellow"/>
              </w:rPr>
              <w:t>OPC</w:t>
            </w:r>
          </w:p>
        </w:tc>
        <w:tc>
          <w:tcPr>
            <w:tcW w:w="868" w:type="dxa"/>
          </w:tcPr>
          <w:p w14:paraId="6CCC3FA7"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highlight w:val="yellow"/>
              </w:rPr>
              <w:t>-</w:t>
            </w:r>
          </w:p>
        </w:tc>
        <w:tc>
          <w:tcPr>
            <w:tcW w:w="1390" w:type="dxa"/>
          </w:tcPr>
          <w:p w14:paraId="72B2EA9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highlight w:val="yellow"/>
              </w:rPr>
              <w:t>-</w:t>
            </w:r>
          </w:p>
        </w:tc>
        <w:tc>
          <w:tcPr>
            <w:tcW w:w="1239" w:type="dxa"/>
          </w:tcPr>
          <w:p w14:paraId="54DFA077"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highlight w:val="yellow"/>
              </w:rPr>
              <w:t>0</w:t>
            </w:r>
          </w:p>
        </w:tc>
        <w:tc>
          <w:tcPr>
            <w:tcW w:w="869" w:type="dxa"/>
          </w:tcPr>
          <w:p w14:paraId="221BD2D1"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highlight w:val="yellow"/>
              </w:rPr>
              <w:t>100</w:t>
            </w:r>
          </w:p>
        </w:tc>
        <w:tc>
          <w:tcPr>
            <w:tcW w:w="1047" w:type="dxa"/>
          </w:tcPr>
          <w:p w14:paraId="207370BF"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highlight w:val="yellow"/>
              </w:rPr>
              <w:t>0</w:t>
            </w:r>
          </w:p>
        </w:tc>
        <w:tc>
          <w:tcPr>
            <w:tcW w:w="1367" w:type="dxa"/>
          </w:tcPr>
          <w:p w14:paraId="07B91A8B"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highlight w:val="yellow"/>
              </w:rPr>
              <w:t>0.40</w:t>
            </w:r>
          </w:p>
        </w:tc>
      </w:tr>
      <w:tr w:rsidR="008A62E8" w:rsidRPr="003E0CF1" w14:paraId="36D71C6C" w14:textId="77777777" w:rsidTr="00495C85">
        <w:tc>
          <w:tcPr>
            <w:tcW w:w="1110" w:type="dxa"/>
          </w:tcPr>
          <w:p w14:paraId="1002AAD9"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AT1</w:t>
            </w:r>
          </w:p>
        </w:tc>
        <w:tc>
          <w:tcPr>
            <w:tcW w:w="1218" w:type="dxa"/>
          </w:tcPr>
          <w:p w14:paraId="5160F1FD"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Lime-MK</w:t>
            </w:r>
          </w:p>
        </w:tc>
        <w:tc>
          <w:tcPr>
            <w:tcW w:w="868" w:type="dxa"/>
          </w:tcPr>
          <w:p w14:paraId="0F3068BB"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20</w:t>
            </w:r>
          </w:p>
        </w:tc>
        <w:tc>
          <w:tcPr>
            <w:tcW w:w="1390" w:type="dxa"/>
          </w:tcPr>
          <w:p w14:paraId="4F2E7E09"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10</w:t>
            </w:r>
          </w:p>
        </w:tc>
        <w:tc>
          <w:tcPr>
            <w:tcW w:w="1239" w:type="dxa"/>
          </w:tcPr>
          <w:p w14:paraId="45A610A3"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20</w:t>
            </w:r>
          </w:p>
        </w:tc>
        <w:tc>
          <w:tcPr>
            <w:tcW w:w="869" w:type="dxa"/>
          </w:tcPr>
          <w:p w14:paraId="0ED9103D"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50</w:t>
            </w:r>
          </w:p>
        </w:tc>
        <w:tc>
          <w:tcPr>
            <w:tcW w:w="1047" w:type="dxa"/>
          </w:tcPr>
          <w:p w14:paraId="3850B187"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0</w:t>
            </w:r>
          </w:p>
        </w:tc>
        <w:tc>
          <w:tcPr>
            <w:tcW w:w="1367" w:type="dxa"/>
          </w:tcPr>
          <w:p w14:paraId="0AB758D2"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0.42</w:t>
            </w:r>
          </w:p>
        </w:tc>
      </w:tr>
      <w:tr w:rsidR="008A62E8" w:rsidRPr="003E0CF1" w14:paraId="73C684D0" w14:textId="77777777" w:rsidTr="00495C85">
        <w:tc>
          <w:tcPr>
            <w:tcW w:w="1110" w:type="dxa"/>
          </w:tcPr>
          <w:p w14:paraId="756A348C"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AT2</w:t>
            </w:r>
          </w:p>
        </w:tc>
        <w:tc>
          <w:tcPr>
            <w:tcW w:w="1218" w:type="dxa"/>
          </w:tcPr>
          <w:p w14:paraId="066ECC7C"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Lime-MK</w:t>
            </w:r>
          </w:p>
        </w:tc>
        <w:tc>
          <w:tcPr>
            <w:tcW w:w="868" w:type="dxa"/>
          </w:tcPr>
          <w:p w14:paraId="63A75AA1"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20</w:t>
            </w:r>
          </w:p>
        </w:tc>
        <w:tc>
          <w:tcPr>
            <w:tcW w:w="1390" w:type="dxa"/>
          </w:tcPr>
          <w:p w14:paraId="264CCB6D"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10</w:t>
            </w:r>
          </w:p>
        </w:tc>
        <w:tc>
          <w:tcPr>
            <w:tcW w:w="1239" w:type="dxa"/>
          </w:tcPr>
          <w:p w14:paraId="6B24CE84"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20</w:t>
            </w:r>
          </w:p>
        </w:tc>
        <w:tc>
          <w:tcPr>
            <w:tcW w:w="869" w:type="dxa"/>
          </w:tcPr>
          <w:p w14:paraId="7E138773"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49.5</w:t>
            </w:r>
          </w:p>
        </w:tc>
        <w:tc>
          <w:tcPr>
            <w:tcW w:w="1047" w:type="dxa"/>
          </w:tcPr>
          <w:p w14:paraId="4E403D63"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0.5</w:t>
            </w:r>
          </w:p>
        </w:tc>
        <w:tc>
          <w:tcPr>
            <w:tcW w:w="1367" w:type="dxa"/>
          </w:tcPr>
          <w:p w14:paraId="117FED7D"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0.42</w:t>
            </w:r>
          </w:p>
        </w:tc>
      </w:tr>
      <w:tr w:rsidR="008A62E8" w:rsidRPr="003E0CF1" w14:paraId="6F9A63F2" w14:textId="77777777" w:rsidTr="00495C85">
        <w:tc>
          <w:tcPr>
            <w:tcW w:w="1110" w:type="dxa"/>
          </w:tcPr>
          <w:p w14:paraId="21E20671"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AT3</w:t>
            </w:r>
          </w:p>
        </w:tc>
        <w:tc>
          <w:tcPr>
            <w:tcW w:w="1218" w:type="dxa"/>
          </w:tcPr>
          <w:p w14:paraId="771DDFA9"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Lime-MK</w:t>
            </w:r>
          </w:p>
        </w:tc>
        <w:tc>
          <w:tcPr>
            <w:tcW w:w="868" w:type="dxa"/>
          </w:tcPr>
          <w:p w14:paraId="501A4297"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20</w:t>
            </w:r>
          </w:p>
        </w:tc>
        <w:tc>
          <w:tcPr>
            <w:tcW w:w="1390" w:type="dxa"/>
          </w:tcPr>
          <w:p w14:paraId="1A797FC9"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10</w:t>
            </w:r>
          </w:p>
        </w:tc>
        <w:tc>
          <w:tcPr>
            <w:tcW w:w="1239" w:type="dxa"/>
          </w:tcPr>
          <w:p w14:paraId="42280F32"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20</w:t>
            </w:r>
          </w:p>
        </w:tc>
        <w:tc>
          <w:tcPr>
            <w:tcW w:w="869" w:type="dxa"/>
          </w:tcPr>
          <w:p w14:paraId="15DBCE74"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49</w:t>
            </w:r>
          </w:p>
        </w:tc>
        <w:tc>
          <w:tcPr>
            <w:tcW w:w="1047" w:type="dxa"/>
          </w:tcPr>
          <w:p w14:paraId="2C8BF116"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1.0</w:t>
            </w:r>
          </w:p>
        </w:tc>
        <w:tc>
          <w:tcPr>
            <w:tcW w:w="1367" w:type="dxa"/>
          </w:tcPr>
          <w:p w14:paraId="0FACB4A2"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0.42</w:t>
            </w:r>
          </w:p>
        </w:tc>
      </w:tr>
      <w:tr w:rsidR="008A62E8" w:rsidRPr="003E0CF1" w14:paraId="2190D846" w14:textId="77777777" w:rsidTr="00495C85">
        <w:tc>
          <w:tcPr>
            <w:tcW w:w="1110" w:type="dxa"/>
          </w:tcPr>
          <w:p w14:paraId="10F9247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AT4</w:t>
            </w:r>
          </w:p>
        </w:tc>
        <w:tc>
          <w:tcPr>
            <w:tcW w:w="1218" w:type="dxa"/>
          </w:tcPr>
          <w:p w14:paraId="40F9A6B4"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Lime-MK</w:t>
            </w:r>
          </w:p>
        </w:tc>
        <w:tc>
          <w:tcPr>
            <w:tcW w:w="868" w:type="dxa"/>
          </w:tcPr>
          <w:p w14:paraId="447D1252"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20</w:t>
            </w:r>
          </w:p>
        </w:tc>
        <w:tc>
          <w:tcPr>
            <w:tcW w:w="1390" w:type="dxa"/>
          </w:tcPr>
          <w:p w14:paraId="0D349FD8"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10</w:t>
            </w:r>
          </w:p>
        </w:tc>
        <w:tc>
          <w:tcPr>
            <w:tcW w:w="1239" w:type="dxa"/>
          </w:tcPr>
          <w:p w14:paraId="36E4E2F5"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20</w:t>
            </w:r>
          </w:p>
        </w:tc>
        <w:tc>
          <w:tcPr>
            <w:tcW w:w="869" w:type="dxa"/>
          </w:tcPr>
          <w:p w14:paraId="05E3A168"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48.5</w:t>
            </w:r>
          </w:p>
        </w:tc>
        <w:tc>
          <w:tcPr>
            <w:tcW w:w="1047" w:type="dxa"/>
          </w:tcPr>
          <w:p w14:paraId="08B3C270"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1.5</w:t>
            </w:r>
          </w:p>
        </w:tc>
        <w:tc>
          <w:tcPr>
            <w:tcW w:w="1367" w:type="dxa"/>
          </w:tcPr>
          <w:p w14:paraId="73370A3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0.42</w:t>
            </w:r>
          </w:p>
        </w:tc>
      </w:tr>
      <w:tr w:rsidR="008A62E8" w:rsidRPr="003E0CF1" w14:paraId="3343194E" w14:textId="77777777" w:rsidTr="00495C85">
        <w:tc>
          <w:tcPr>
            <w:tcW w:w="1110" w:type="dxa"/>
          </w:tcPr>
          <w:p w14:paraId="4CC5B0B3"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AT5</w:t>
            </w:r>
          </w:p>
        </w:tc>
        <w:tc>
          <w:tcPr>
            <w:tcW w:w="1218" w:type="dxa"/>
          </w:tcPr>
          <w:p w14:paraId="57189081"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Lime-MK</w:t>
            </w:r>
          </w:p>
        </w:tc>
        <w:tc>
          <w:tcPr>
            <w:tcW w:w="868" w:type="dxa"/>
          </w:tcPr>
          <w:p w14:paraId="646C77A8"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25</w:t>
            </w:r>
          </w:p>
        </w:tc>
        <w:tc>
          <w:tcPr>
            <w:tcW w:w="1390" w:type="dxa"/>
          </w:tcPr>
          <w:p w14:paraId="30375D38"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15</w:t>
            </w:r>
          </w:p>
        </w:tc>
        <w:tc>
          <w:tcPr>
            <w:tcW w:w="1239" w:type="dxa"/>
          </w:tcPr>
          <w:p w14:paraId="57000A7B"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25</w:t>
            </w:r>
          </w:p>
        </w:tc>
        <w:tc>
          <w:tcPr>
            <w:tcW w:w="869" w:type="dxa"/>
          </w:tcPr>
          <w:p w14:paraId="379EE20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highlight w:val="yellow"/>
              </w:rPr>
              <w:t>34.0</w:t>
            </w:r>
          </w:p>
        </w:tc>
        <w:tc>
          <w:tcPr>
            <w:tcW w:w="1047" w:type="dxa"/>
          </w:tcPr>
          <w:p w14:paraId="655316F7"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1.0</w:t>
            </w:r>
          </w:p>
        </w:tc>
        <w:tc>
          <w:tcPr>
            <w:tcW w:w="1367" w:type="dxa"/>
          </w:tcPr>
          <w:p w14:paraId="3FA4E071"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0.40</w:t>
            </w:r>
          </w:p>
        </w:tc>
      </w:tr>
      <w:tr w:rsidR="008A62E8" w:rsidRPr="003E0CF1" w14:paraId="261FC54E" w14:textId="77777777" w:rsidTr="00495C85">
        <w:tc>
          <w:tcPr>
            <w:tcW w:w="1110" w:type="dxa"/>
          </w:tcPr>
          <w:p w14:paraId="302E9F67"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AT6</w:t>
            </w:r>
          </w:p>
        </w:tc>
        <w:tc>
          <w:tcPr>
            <w:tcW w:w="1218" w:type="dxa"/>
          </w:tcPr>
          <w:p w14:paraId="07A5F2A3"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Lime-MK</w:t>
            </w:r>
          </w:p>
        </w:tc>
        <w:tc>
          <w:tcPr>
            <w:tcW w:w="868" w:type="dxa"/>
          </w:tcPr>
          <w:p w14:paraId="0459FDE2"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25</w:t>
            </w:r>
          </w:p>
        </w:tc>
        <w:tc>
          <w:tcPr>
            <w:tcW w:w="1390" w:type="dxa"/>
          </w:tcPr>
          <w:p w14:paraId="0B6D7017"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15</w:t>
            </w:r>
          </w:p>
        </w:tc>
        <w:tc>
          <w:tcPr>
            <w:tcW w:w="1239" w:type="dxa"/>
          </w:tcPr>
          <w:p w14:paraId="0071E38C"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25</w:t>
            </w:r>
          </w:p>
        </w:tc>
        <w:tc>
          <w:tcPr>
            <w:tcW w:w="869" w:type="dxa"/>
          </w:tcPr>
          <w:p w14:paraId="2C332663"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highlight w:val="yellow"/>
              </w:rPr>
              <w:t>33.5</w:t>
            </w:r>
          </w:p>
        </w:tc>
        <w:tc>
          <w:tcPr>
            <w:tcW w:w="1047" w:type="dxa"/>
          </w:tcPr>
          <w:p w14:paraId="4154641B"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1.5</w:t>
            </w:r>
          </w:p>
        </w:tc>
        <w:tc>
          <w:tcPr>
            <w:tcW w:w="1367" w:type="dxa"/>
          </w:tcPr>
          <w:p w14:paraId="5D91315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0.40</w:t>
            </w:r>
          </w:p>
        </w:tc>
      </w:tr>
    </w:tbl>
    <w:p w14:paraId="2BE1193A" w14:textId="77777777" w:rsidR="006E5CB5" w:rsidRPr="003E0CF1" w:rsidRDefault="006E5CB5" w:rsidP="00F9519E">
      <w:pPr>
        <w:pStyle w:val="Heading2"/>
        <w:jc w:val="both"/>
        <w:rPr>
          <w:rFonts w:ascii="Times New Roman" w:hAnsi="Times New Roman" w:cs="Times New Roman"/>
          <w:color w:val="auto"/>
          <w:sz w:val="24"/>
          <w:szCs w:val="24"/>
        </w:rPr>
      </w:pPr>
      <w:r>
        <w:rPr>
          <w:rFonts w:ascii="Times New Roman" w:hAnsi="Times New Roman" w:cs="Times New Roman"/>
          <w:sz w:val="24"/>
          <w:szCs w:val="24"/>
          <w:highlight w:val="yellow"/>
        </w:rPr>
        <w:t>Table 1 summarizes the as-batched solid fractions of AT5 and AT6. The original batching records confirm sand contents of 34.0% and 33.5%, respectively; the listed solid fractions total 100.0% on the reported mass basis.</w:t>
      </w:r>
    </w:p>
    <w:p w14:paraId="7591A261" w14:textId="77777777" w:rsidR="00F741DE" w:rsidRPr="003E0CF1" w:rsidRDefault="00E71383" w:rsidP="00F9519E">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3.3 Specimen preparation and curing</w:t>
      </w:r>
    </w:p>
    <w:p w14:paraId="6F0F5B0C" w14:textId="77777777" w:rsidR="00F741DE" w:rsidRPr="003E0CF1" w:rsidRDefault="00E3117C" w:rsidP="00F9519E">
      <w:pPr>
        <w:jc w:val="both"/>
        <w:rPr>
          <w:rFonts w:ascii="Times New Roman" w:hAnsi="Times New Roman" w:cs="Times New Roman"/>
          <w:sz w:val="24"/>
          <w:szCs w:val="24"/>
        </w:rPr>
      </w:pPr>
      <w:r>
        <w:rPr>
          <w:rFonts w:ascii="Times New Roman" w:hAnsi="Times New Roman" w:cs="Times New Roman"/>
          <w:sz w:val="24"/>
          <w:szCs w:val="24"/>
        </w:rPr>
        <w:t xml:space="preserve">Raw materials were dried and graded before batching. The solid ingredients were dry-mixed, water was added, and basalt </w:t>
      </w:r>
      <w:proofErr w:type="spellStart"/>
      <w:r>
        <w:rPr>
          <w:rFonts w:ascii="Times New Roman" w:hAnsi="Times New Roman" w:cs="Times New Roman"/>
          <w:sz w:val="24"/>
          <w:szCs w:val="24"/>
        </w:rPr>
        <w:t>fibres</w:t>
      </w:r>
      <w:proofErr w:type="spellEnd"/>
      <w:r>
        <w:rPr>
          <w:rFonts w:ascii="Times New Roman" w:hAnsi="Times New Roman" w:cs="Times New Roman"/>
          <w:sz w:val="24"/>
          <w:szCs w:val="24"/>
        </w:rPr>
        <w:t xml:space="preserve"> were introduced gradually near the end of mixing to support dispersion. Prisms (40 × 40 × 160 mm) and 100 mm cubes were </w:t>
      </w:r>
      <w:proofErr w:type="spellStart"/>
      <w:r>
        <w:rPr>
          <w:rFonts w:ascii="Times New Roman" w:hAnsi="Times New Roman" w:cs="Times New Roman"/>
          <w:sz w:val="24"/>
          <w:szCs w:val="24"/>
        </w:rPr>
        <w:t>moulded</w:t>
      </w:r>
      <w:proofErr w:type="spellEnd"/>
      <w:r>
        <w:rPr>
          <w:rFonts w:ascii="Times New Roman" w:hAnsi="Times New Roman" w:cs="Times New Roman"/>
          <w:sz w:val="24"/>
          <w:szCs w:val="24"/>
        </w:rPr>
        <w:t xml:space="preserve">, compacted using a table vibrator, </w:t>
      </w:r>
      <w:proofErr w:type="spellStart"/>
      <w:r>
        <w:rPr>
          <w:rFonts w:ascii="Times New Roman" w:hAnsi="Times New Roman" w:cs="Times New Roman"/>
          <w:sz w:val="24"/>
          <w:szCs w:val="24"/>
        </w:rPr>
        <w:t>demoulded</w:t>
      </w:r>
      <w:proofErr w:type="spellEnd"/>
      <w:r>
        <w:rPr>
          <w:rFonts w:ascii="Times New Roman" w:hAnsi="Times New Roman" w:cs="Times New Roman"/>
          <w:sz w:val="24"/>
          <w:szCs w:val="24"/>
        </w:rPr>
        <w:t xml:space="preserve"> after 24 hours, and cured at 27 ± 2 °C and 95 ± 5% relative humidity. </w:t>
      </w:r>
      <w:r>
        <w:rPr>
          <w:rFonts w:ascii="Times New Roman" w:hAnsi="Times New Roman" w:cs="Times New Roman"/>
          <w:sz w:val="24"/>
          <w:szCs w:val="24"/>
        </w:rPr>
        <w:lastRenderedPageBreak/>
        <w:t>The mechanical-property table reports 28-day values. Reporting specimen and independent-batch counts, compaction settings and the precise test standards from the laboratory records would further improve procedural reproducibility and enable assessment of variability. The laboratory preparation steps, including drying, sieving and labelled storage, are shown in Figure 1.</w:t>
      </w:r>
      <w:r>
        <w:rPr>
          <w:rFonts w:ascii="Times New Roman" w:hAnsi="Times New Roman" w:cs="Times New Roman"/>
          <w:sz w:val="24"/>
          <w:szCs w:val="24"/>
          <w:highlight w:val="yellow"/>
        </w:rPr>
        <w:t xml:space="preserve"> The overall preparation and representative mechanical-test arrangements are summarized in Figure 2.</w:t>
      </w:r>
    </w:p>
    <w:p w14:paraId="4633A7DC" w14:textId="77777777" w:rsidR="006F5113" w:rsidRPr="003E0CF1" w:rsidRDefault="00000000" w:rsidP="00F9519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22F7E50" wp14:editId="430D708B">
            <wp:extent cx="5806440" cy="3594747"/>
            <wp:effectExtent l="0" t="0" r="0" b="0"/>
            <wp:docPr id="1145184432" name="Picture 1145184432" descr="Preparation of AT-MMC specimens and mechanical-test set-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7"/>
                    <a:stretch>
                      <a:fillRect/>
                    </a:stretch>
                  </pic:blipFill>
                  <pic:spPr>
                    <a:xfrm>
                      <a:off x="0" y="0"/>
                      <a:ext cx="5806440" cy="3594747"/>
                    </a:xfrm>
                    <a:prstGeom prst="rect">
                      <a:avLst/>
                    </a:prstGeom>
                  </pic:spPr>
                </pic:pic>
              </a:graphicData>
            </a:graphic>
          </wp:inline>
        </w:drawing>
      </w:r>
    </w:p>
    <w:p w14:paraId="46BB75B8" w14:textId="77777777" w:rsidR="006F5113"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Figure 2. Preparation of AT-MMC specimens and mechanical-test set-ups.</w:t>
      </w:r>
    </w:p>
    <w:p w14:paraId="209FE2AC" w14:textId="042B7756" w:rsidR="006F5113"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 xml:space="preserve">Figure 2 shows the preparation sequence and test arrangements: (a) constituent materials; (b) mortar mixing; (c) </w:t>
      </w:r>
      <w:proofErr w:type="spellStart"/>
      <w:r>
        <w:rPr>
          <w:rFonts w:ascii="Times New Roman" w:hAnsi="Times New Roman" w:cs="Times New Roman"/>
          <w:sz w:val="24"/>
          <w:szCs w:val="24"/>
          <w:highlight w:val="yellow"/>
        </w:rPr>
        <w:t>mould</w:t>
      </w:r>
      <w:proofErr w:type="spellEnd"/>
      <w:r>
        <w:rPr>
          <w:rFonts w:ascii="Times New Roman" w:hAnsi="Times New Roman" w:cs="Times New Roman"/>
          <w:sz w:val="24"/>
          <w:szCs w:val="24"/>
          <w:highlight w:val="yellow"/>
        </w:rPr>
        <w:t xml:space="preserve"> casting; (d) </w:t>
      </w:r>
      <w:proofErr w:type="spellStart"/>
      <w:r>
        <w:rPr>
          <w:rFonts w:ascii="Times New Roman" w:hAnsi="Times New Roman" w:cs="Times New Roman"/>
          <w:sz w:val="24"/>
          <w:szCs w:val="24"/>
          <w:highlight w:val="yellow"/>
        </w:rPr>
        <w:t>demoulded</w:t>
      </w:r>
      <w:proofErr w:type="spellEnd"/>
      <w:r>
        <w:rPr>
          <w:rFonts w:ascii="Times New Roman" w:hAnsi="Times New Roman" w:cs="Times New Roman"/>
          <w:sz w:val="24"/>
          <w:szCs w:val="24"/>
          <w:highlight w:val="yellow"/>
        </w:rPr>
        <w:t xml:space="preserve"> specimens; (e) representative specimens for C0 and AT1–AT6; (f) compression test; (g) flexural test; (h) splitting tensile test; and (</w:t>
      </w:r>
      <w:proofErr w:type="spellStart"/>
      <w:r>
        <w:rPr>
          <w:rFonts w:ascii="Times New Roman" w:hAnsi="Times New Roman" w:cs="Times New Roman"/>
          <w:sz w:val="24"/>
          <w:szCs w:val="24"/>
          <w:highlight w:val="yellow"/>
        </w:rPr>
        <w:t>i</w:t>
      </w:r>
      <w:proofErr w:type="spellEnd"/>
      <w:r>
        <w:rPr>
          <w:rFonts w:ascii="Times New Roman" w:hAnsi="Times New Roman" w:cs="Times New Roman"/>
          <w:sz w:val="24"/>
          <w:szCs w:val="24"/>
          <w:highlight w:val="yellow"/>
        </w:rPr>
        <w:t>) notched-beam fracture-toughness test. The panels provide a consolidated overview of the reported specimen-preparation sequence and the geometries associated with the mechanical tests discussed in Sections 3.3 and 3.6. The cube, prism and cylinder are shown as representative specimen forms, while the lower panels illustrate the loading arrangements for compression, flexure, splitting tensile strength and notched-beam fracture testing. This figure is intended to help readers follow the experimental workflow</w:t>
      </w:r>
      <w:r w:rsidR="00A60526">
        <w:rPr>
          <w:rFonts w:ascii="Times New Roman" w:hAnsi="Times New Roman" w:cs="Times New Roman"/>
          <w:sz w:val="24"/>
          <w:szCs w:val="24"/>
          <w:highlight w:val="yellow"/>
        </w:rPr>
        <w:t>.</w:t>
      </w:r>
    </w:p>
    <w:p w14:paraId="30C79742" w14:textId="77777777" w:rsidR="00F741DE" w:rsidRPr="003E0CF1" w:rsidRDefault="00E71383" w:rsidP="00F9519E">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3.4 Chemical, mineralogical and microstructural characterization</w:t>
      </w:r>
    </w:p>
    <w:p w14:paraId="74029059" w14:textId="77777777" w:rsidR="00F741DE" w:rsidRPr="003E0CF1" w:rsidRDefault="004A44CB" w:rsidP="00F9519E">
      <w:pPr>
        <w:jc w:val="both"/>
        <w:rPr>
          <w:rFonts w:ascii="Times New Roman" w:hAnsi="Times New Roman" w:cs="Times New Roman"/>
          <w:sz w:val="24"/>
          <w:szCs w:val="24"/>
        </w:rPr>
      </w:pPr>
      <w:r>
        <w:rPr>
          <w:rFonts w:ascii="Times New Roman" w:hAnsi="Times New Roman" w:cs="Times New Roman"/>
          <w:sz w:val="24"/>
          <w:szCs w:val="24"/>
          <w:highlight w:val="yellow"/>
        </w:rPr>
        <w:t xml:space="preserve">Major-oxide composition (SiO₂, </w:t>
      </w:r>
      <w:proofErr w:type="spellStart"/>
      <w:r>
        <w:rPr>
          <w:rFonts w:ascii="Times New Roman" w:hAnsi="Times New Roman" w:cs="Times New Roman"/>
          <w:sz w:val="24"/>
          <w:szCs w:val="24"/>
          <w:highlight w:val="yellow"/>
        </w:rPr>
        <w:t>Al₂O</w:t>
      </w:r>
      <w:proofErr w:type="spellEnd"/>
      <w:r>
        <w:rPr>
          <w:rFonts w:ascii="Times New Roman" w:hAnsi="Times New Roman" w:cs="Times New Roman"/>
          <w:sz w:val="24"/>
          <w:szCs w:val="24"/>
          <w:highlight w:val="yellow"/>
        </w:rPr>
        <w:t xml:space="preserve">₃, CaO, MgO, </w:t>
      </w:r>
      <w:proofErr w:type="spellStart"/>
      <w:r>
        <w:rPr>
          <w:rFonts w:ascii="Times New Roman" w:hAnsi="Times New Roman" w:cs="Times New Roman"/>
          <w:sz w:val="24"/>
          <w:szCs w:val="24"/>
          <w:highlight w:val="yellow"/>
        </w:rPr>
        <w:t>Fe₂O</w:t>
      </w:r>
      <w:proofErr w:type="spellEnd"/>
      <w:r>
        <w:rPr>
          <w:rFonts w:ascii="Times New Roman" w:hAnsi="Times New Roman" w:cs="Times New Roman"/>
          <w:sz w:val="24"/>
          <w:szCs w:val="24"/>
          <w:highlight w:val="yellow"/>
        </w:rPr>
        <w:t xml:space="preserve">₃, </w:t>
      </w:r>
      <w:proofErr w:type="spellStart"/>
      <w:r>
        <w:rPr>
          <w:rFonts w:ascii="Times New Roman" w:hAnsi="Times New Roman" w:cs="Times New Roman"/>
          <w:sz w:val="24"/>
          <w:szCs w:val="24"/>
          <w:highlight w:val="yellow"/>
        </w:rPr>
        <w:t>Na₂O</w:t>
      </w:r>
      <w:proofErr w:type="spellEnd"/>
      <w:r>
        <w:rPr>
          <w:rFonts w:ascii="Times New Roman" w:hAnsi="Times New Roman" w:cs="Times New Roman"/>
          <w:sz w:val="24"/>
          <w:szCs w:val="24"/>
          <w:highlight w:val="yellow"/>
        </w:rPr>
        <w:t xml:space="preserve">, K₂O and </w:t>
      </w:r>
      <w:proofErr w:type="spellStart"/>
      <w:r>
        <w:rPr>
          <w:rFonts w:ascii="Times New Roman" w:hAnsi="Times New Roman" w:cs="Times New Roman"/>
          <w:sz w:val="24"/>
          <w:szCs w:val="24"/>
          <w:highlight w:val="yellow"/>
        </w:rPr>
        <w:t>TiO</w:t>
      </w:r>
      <w:proofErr w:type="spellEnd"/>
      <w:r>
        <w:rPr>
          <w:rFonts w:ascii="Times New Roman" w:hAnsi="Times New Roman" w:cs="Times New Roman"/>
          <w:sz w:val="24"/>
          <w:szCs w:val="24"/>
          <w:highlight w:val="yellow"/>
        </w:rPr>
        <w:t xml:space="preserve">₂) and loss on ignition (LOI) for the ancient temple mortar, granite waste powder and metakaolin are reported using X-ray fluorescence spectroscopy (Table 2, Figure 3). X-ray diffraction (Cu Kα radiation; reported 2θ range 10–80°) was used to examine crystalline phases in the source materials and hardened AT6 formulation (Figure 4). Scanning electron microscopy with energy-dispersive X-ray spectroscopy (SEM–EDS) was used to examine the historic sample, AT6 matrix and </w:t>
      </w:r>
      <w:proofErr w:type="spellStart"/>
      <w:r>
        <w:rPr>
          <w:rFonts w:ascii="Times New Roman" w:hAnsi="Times New Roman" w:cs="Times New Roman"/>
          <w:sz w:val="24"/>
          <w:szCs w:val="24"/>
          <w:highlight w:val="yellow"/>
        </w:rPr>
        <w:t>fibre</w:t>
      </w:r>
      <w:proofErr w:type="spellEnd"/>
      <w:r>
        <w:rPr>
          <w:rFonts w:ascii="Times New Roman" w:hAnsi="Times New Roman" w:cs="Times New Roman"/>
          <w:sz w:val="24"/>
          <w:szCs w:val="24"/>
          <w:highlight w:val="yellow"/>
        </w:rPr>
        <w:t>–matrix region (Figure 5). Interpretation is based on the level of detail available: XRF represents bulk oxide composition, XRD provides qualitative phase-identification evidence from the displayed patterns, and SEM–EDS provides local compositional and morphological context. Additional acquisition settings, sample-preparation details, quantitative phase analysis and EDS sampling information would support more detailed interpretation.</w:t>
      </w:r>
    </w:p>
    <w:p w14:paraId="21688A37" w14:textId="77777777" w:rsidR="00F741DE" w:rsidRPr="003E0CF1" w:rsidRDefault="00E71383" w:rsidP="00F9519E">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3.5 Physical property testing</w:t>
      </w:r>
    </w:p>
    <w:p w14:paraId="428B1867" w14:textId="77777777" w:rsidR="004A44CB" w:rsidRPr="003E0CF1" w:rsidRDefault="004A44CB" w:rsidP="00F9519E">
      <w:pPr>
        <w:pStyle w:val="Heading2"/>
        <w:jc w:val="both"/>
        <w:rPr>
          <w:rFonts w:ascii="Times New Roman" w:hAnsi="Times New Roman" w:cs="Times New Roman"/>
          <w:color w:val="auto"/>
          <w:sz w:val="24"/>
          <w:szCs w:val="24"/>
        </w:rPr>
      </w:pPr>
      <w:r>
        <w:rPr>
          <w:rFonts w:ascii="Times New Roman" w:hAnsi="Times New Roman" w:cs="Times New Roman"/>
          <w:color w:val="auto"/>
          <w:sz w:val="24"/>
          <w:szCs w:val="24"/>
        </w:rPr>
        <w:lastRenderedPageBreak/>
        <w:t>Density (</w:t>
      </w:r>
      <w:r>
        <w:rPr>
          <w:rFonts w:ascii="Times New Roman" w:hAnsi="Times New Roman" w:cs="Times New Roman"/>
          <w:i/>
          <w:iCs/>
          <w:color w:val="auto"/>
          <w:sz w:val="24"/>
          <w:szCs w:val="24"/>
        </w:rPr>
        <w:t>ρ</w:t>
      </w:r>
      <w:r>
        <w:rPr>
          <w:rFonts w:ascii="Times New Roman" w:hAnsi="Times New Roman" w:cs="Times New Roman"/>
          <w:color w:val="auto"/>
          <w:sz w:val="24"/>
          <w:szCs w:val="24"/>
        </w:rPr>
        <w:t xml:space="preserve"> = </w:t>
      </w:r>
      <w:r>
        <w:rPr>
          <w:rFonts w:ascii="Times New Roman" w:hAnsi="Times New Roman" w:cs="Times New Roman"/>
          <w:i/>
          <w:iCs/>
          <w:color w:val="auto"/>
          <w:sz w:val="24"/>
          <w:szCs w:val="24"/>
        </w:rPr>
        <w:t>m</w:t>
      </w:r>
      <w:r>
        <w:rPr>
          <w:rFonts w:ascii="Times New Roman" w:hAnsi="Times New Roman" w:cs="Times New Roman"/>
          <w:color w:val="auto"/>
          <w:sz w:val="24"/>
          <w:szCs w:val="24"/>
        </w:rPr>
        <w:t>/</w:t>
      </w:r>
      <w:r>
        <w:rPr>
          <w:rFonts w:ascii="Times New Roman" w:hAnsi="Times New Roman" w:cs="Times New Roman"/>
          <w:i/>
          <w:iCs/>
          <w:color w:val="auto"/>
          <w:sz w:val="24"/>
          <w:szCs w:val="24"/>
        </w:rPr>
        <w:t>V</w:t>
      </w:r>
      <w:r>
        <w:rPr>
          <w:rFonts w:ascii="Times New Roman" w:hAnsi="Times New Roman" w:cs="Times New Roman"/>
          <w:color w:val="auto"/>
          <w:sz w:val="24"/>
          <w:szCs w:val="24"/>
        </w:rPr>
        <w:t>), water absorption capacity [</w:t>
      </w:r>
      <w:r>
        <w:rPr>
          <w:rFonts w:ascii="Times New Roman" w:hAnsi="Times New Roman" w:cs="Times New Roman"/>
          <w:i/>
          <w:iCs/>
          <w:color w:val="auto"/>
          <w:sz w:val="24"/>
          <w:szCs w:val="24"/>
        </w:rPr>
        <w:t>WA</w:t>
      </w:r>
      <w:r>
        <w:rPr>
          <w:rFonts w:ascii="Times New Roman" w:hAnsi="Times New Roman" w:cs="Times New Roman"/>
          <w:color w:val="auto"/>
          <w:sz w:val="24"/>
          <w:szCs w:val="24"/>
        </w:rPr>
        <w:t xml:space="preserve"> = (</w:t>
      </w:r>
      <w:proofErr w:type="spellStart"/>
      <w:r>
        <w:rPr>
          <w:rFonts w:ascii="Times New Roman" w:hAnsi="Times New Roman" w:cs="Times New Roman"/>
          <w:i/>
          <w:iCs/>
          <w:color w:val="auto"/>
          <w:sz w:val="24"/>
          <w:szCs w:val="24"/>
        </w:rPr>
        <w:t>M</w:t>
      </w:r>
      <w:r>
        <w:rPr>
          <w:rFonts w:ascii="Times New Roman" w:hAnsi="Times New Roman" w:cs="Times New Roman"/>
          <w:color w:val="auto"/>
          <w:sz w:val="24"/>
          <w:szCs w:val="24"/>
          <w:vertAlign w:val="subscript"/>
        </w:rPr>
        <w:t>s</w:t>
      </w:r>
      <w:proofErr w:type="spellEnd"/>
      <w:r>
        <w:rPr>
          <w:rFonts w:ascii="Times New Roman" w:hAnsi="Times New Roman" w:cs="Times New Roman"/>
          <w:color w:val="auto"/>
          <w:sz w:val="24"/>
          <w:szCs w:val="24"/>
        </w:rPr>
        <w:t xml:space="preserve"> − </w:t>
      </w:r>
      <w:r>
        <w:rPr>
          <w:rFonts w:ascii="Times New Roman" w:hAnsi="Times New Roman" w:cs="Times New Roman"/>
          <w:i/>
          <w:iCs/>
          <w:color w:val="auto"/>
          <w:sz w:val="24"/>
          <w:szCs w:val="24"/>
        </w:rPr>
        <w:t>M</w:t>
      </w:r>
      <w:r>
        <w:rPr>
          <w:rFonts w:ascii="Times New Roman" w:hAnsi="Times New Roman" w:cs="Times New Roman"/>
          <w:color w:val="auto"/>
          <w:sz w:val="24"/>
          <w:szCs w:val="24"/>
          <w:vertAlign w:val="subscript"/>
        </w:rPr>
        <w:t>d</w:t>
      </w:r>
      <w:r>
        <w:rPr>
          <w:rFonts w:ascii="Times New Roman" w:hAnsi="Times New Roman" w:cs="Times New Roman"/>
          <w:color w:val="auto"/>
          <w:sz w:val="24"/>
          <w:szCs w:val="24"/>
        </w:rPr>
        <w:t>)/</w:t>
      </w:r>
      <w:r>
        <w:rPr>
          <w:rFonts w:ascii="Times New Roman" w:hAnsi="Times New Roman" w:cs="Times New Roman"/>
          <w:i/>
          <w:iCs/>
          <w:color w:val="auto"/>
          <w:sz w:val="24"/>
          <w:szCs w:val="24"/>
        </w:rPr>
        <w:t>M</w:t>
      </w:r>
      <w:r>
        <w:rPr>
          <w:rFonts w:ascii="Times New Roman" w:hAnsi="Times New Roman" w:cs="Times New Roman"/>
          <w:color w:val="auto"/>
          <w:sz w:val="24"/>
          <w:szCs w:val="24"/>
          <w:vertAlign w:val="subscript"/>
        </w:rPr>
        <w:t>d</w:t>
      </w:r>
      <w:r>
        <w:rPr>
          <w:rFonts w:ascii="Times New Roman" w:hAnsi="Times New Roman" w:cs="Times New Roman"/>
          <w:color w:val="auto"/>
          <w:sz w:val="24"/>
          <w:szCs w:val="24"/>
        </w:rPr>
        <w:t xml:space="preserve"> × 100, where </w:t>
      </w:r>
      <w:proofErr w:type="spellStart"/>
      <w:r>
        <w:rPr>
          <w:rFonts w:ascii="Times New Roman" w:hAnsi="Times New Roman" w:cs="Times New Roman"/>
          <w:i/>
          <w:iCs/>
          <w:color w:val="auto"/>
          <w:sz w:val="24"/>
          <w:szCs w:val="24"/>
        </w:rPr>
        <w:t>M</w:t>
      </w:r>
      <w:r>
        <w:rPr>
          <w:rFonts w:ascii="Times New Roman" w:hAnsi="Times New Roman" w:cs="Times New Roman"/>
          <w:color w:val="auto"/>
          <w:sz w:val="24"/>
          <w:szCs w:val="24"/>
          <w:vertAlign w:val="subscript"/>
        </w:rPr>
        <w:t>s</w:t>
      </w:r>
      <w:proofErr w:type="spellEnd"/>
      <w:r>
        <w:rPr>
          <w:rFonts w:ascii="Times New Roman" w:hAnsi="Times New Roman" w:cs="Times New Roman"/>
          <w:color w:val="auto"/>
          <w:sz w:val="24"/>
          <w:szCs w:val="24"/>
        </w:rPr>
        <w:t xml:space="preserve"> is the saturated mass and </w:t>
      </w:r>
      <w:r>
        <w:rPr>
          <w:rFonts w:ascii="Times New Roman" w:hAnsi="Times New Roman" w:cs="Times New Roman"/>
          <w:i/>
          <w:iCs/>
          <w:color w:val="auto"/>
          <w:sz w:val="24"/>
          <w:szCs w:val="24"/>
        </w:rPr>
        <w:t>M</w:t>
      </w:r>
      <w:r>
        <w:rPr>
          <w:rFonts w:ascii="Times New Roman" w:hAnsi="Times New Roman" w:cs="Times New Roman"/>
          <w:color w:val="auto"/>
          <w:sz w:val="24"/>
          <w:szCs w:val="24"/>
          <w:vertAlign w:val="subscript"/>
        </w:rPr>
        <w:t>d</w:t>
      </w:r>
      <w:r>
        <w:rPr>
          <w:rFonts w:ascii="Times New Roman" w:hAnsi="Times New Roman" w:cs="Times New Roman"/>
          <w:color w:val="auto"/>
          <w:sz w:val="24"/>
          <w:szCs w:val="24"/>
        </w:rPr>
        <w:t xml:space="preserve"> is the oven-dry mass], apparent porosity (based on saturated, dry and water-saturated mass) and capillary </w:t>
      </w:r>
      <w:proofErr w:type="spellStart"/>
      <w:r>
        <w:rPr>
          <w:rFonts w:ascii="Times New Roman" w:hAnsi="Times New Roman" w:cs="Times New Roman"/>
          <w:color w:val="auto"/>
          <w:sz w:val="24"/>
          <w:szCs w:val="24"/>
        </w:rPr>
        <w:t>sorptivity</w:t>
      </w:r>
      <w:proofErr w:type="spellEnd"/>
      <w:r>
        <w:rPr>
          <w:rFonts w:ascii="Times New Roman" w:hAnsi="Times New Roman" w:cs="Times New Roman"/>
          <w:color w:val="auto"/>
          <w:sz w:val="24"/>
          <w:szCs w:val="24"/>
        </w:rPr>
        <w:t xml:space="preserve"> properties were evaluated for 28</w:t>
      </w:r>
      <w:r>
        <w:rPr>
          <w:rFonts w:ascii="Times New Roman" w:hAnsi="Times New Roman" w:cs="Times New Roman"/>
          <w:color w:val="auto"/>
          <w:sz w:val="24"/>
          <w:szCs w:val="24"/>
          <w:highlight w:val="yellow"/>
        </w:rPr>
        <w:t>-</w:t>
      </w:r>
      <w:r>
        <w:rPr>
          <w:rFonts w:ascii="Times New Roman" w:hAnsi="Times New Roman" w:cs="Times New Roman"/>
          <w:color w:val="auto"/>
          <w:sz w:val="24"/>
          <w:szCs w:val="24"/>
        </w:rPr>
        <w:t>day specimens of all mixes.</w:t>
      </w:r>
    </w:p>
    <w:p w14:paraId="6D33F8A3" w14:textId="77777777" w:rsidR="00F741DE" w:rsidRPr="003E0CF1" w:rsidRDefault="00E71383" w:rsidP="00F9519E">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3.6 Mechanical testing</w:t>
      </w:r>
    </w:p>
    <w:p w14:paraId="7DD68184" w14:textId="77777777" w:rsidR="00F741DE" w:rsidRPr="003E0CF1" w:rsidRDefault="001C7533" w:rsidP="00F9519E">
      <w:pPr>
        <w:jc w:val="both"/>
        <w:rPr>
          <w:rFonts w:ascii="Times New Roman" w:hAnsi="Times New Roman" w:cs="Times New Roman"/>
          <w:sz w:val="24"/>
          <w:szCs w:val="24"/>
        </w:rPr>
      </w:pPr>
      <w:r>
        <w:rPr>
          <w:rFonts w:ascii="Times New Roman" w:hAnsi="Times New Roman" w:cs="Times New Roman"/>
          <w:sz w:val="24"/>
          <w:szCs w:val="24"/>
          <w:highlight w:val="yellow"/>
        </w:rPr>
        <w:t xml:space="preserve">Compressive strength was calculated as </w:t>
      </w:r>
      <w:r>
        <w:rPr>
          <w:rFonts w:ascii="Times New Roman" w:hAnsi="Times New Roman" w:cs="Times New Roman"/>
          <w:i/>
          <w:iCs/>
          <w:sz w:val="24"/>
          <w:szCs w:val="24"/>
          <w:highlight w:val="yellow"/>
        </w:rPr>
        <w:t>f</w:t>
      </w:r>
      <w:r>
        <w:rPr>
          <w:rFonts w:ascii="Times New Roman" w:hAnsi="Times New Roman" w:cs="Times New Roman"/>
          <w:sz w:val="24"/>
          <w:szCs w:val="24"/>
          <w:highlight w:val="yellow"/>
          <w:vertAlign w:val="subscript"/>
        </w:rPr>
        <w:t>c</w:t>
      </w:r>
      <w:r>
        <w:rPr>
          <w:rFonts w:ascii="Times New Roman" w:hAnsi="Times New Roman" w:cs="Times New Roman"/>
          <w:sz w:val="24"/>
          <w:szCs w:val="24"/>
          <w:highlight w:val="yellow"/>
        </w:rPr>
        <w:t xml:space="preserve"> = </w:t>
      </w:r>
      <w:r>
        <w:rPr>
          <w:rFonts w:ascii="Times New Roman" w:hAnsi="Times New Roman" w:cs="Times New Roman"/>
          <w:i/>
          <w:iCs/>
          <w:sz w:val="24"/>
          <w:szCs w:val="24"/>
          <w:highlight w:val="yellow"/>
        </w:rPr>
        <w:t>P</w:t>
      </w:r>
      <w:r>
        <w:rPr>
          <w:rFonts w:ascii="Times New Roman" w:hAnsi="Times New Roman" w:cs="Times New Roman"/>
          <w:sz w:val="24"/>
          <w:szCs w:val="24"/>
          <w:highlight w:val="yellow"/>
        </w:rPr>
        <w:t>/</w:t>
      </w:r>
      <w:r>
        <w:rPr>
          <w:rFonts w:ascii="Times New Roman" w:hAnsi="Times New Roman" w:cs="Times New Roman"/>
          <w:i/>
          <w:iCs/>
          <w:sz w:val="24"/>
          <w:szCs w:val="24"/>
          <w:highlight w:val="yellow"/>
        </w:rPr>
        <w:t>A</w:t>
      </w:r>
      <w:r>
        <w:rPr>
          <w:rFonts w:ascii="Times New Roman" w:hAnsi="Times New Roman" w:cs="Times New Roman"/>
          <w:sz w:val="24"/>
          <w:szCs w:val="24"/>
          <w:highlight w:val="yellow"/>
        </w:rPr>
        <w:t xml:space="preserve">, where </w:t>
      </w:r>
      <w:r>
        <w:rPr>
          <w:rFonts w:ascii="Times New Roman" w:hAnsi="Times New Roman" w:cs="Times New Roman"/>
          <w:i/>
          <w:iCs/>
          <w:sz w:val="24"/>
          <w:szCs w:val="24"/>
          <w:highlight w:val="yellow"/>
        </w:rPr>
        <w:t>P</w:t>
      </w:r>
      <w:r>
        <w:rPr>
          <w:rFonts w:ascii="Times New Roman" w:hAnsi="Times New Roman" w:cs="Times New Roman"/>
          <w:sz w:val="24"/>
          <w:szCs w:val="24"/>
          <w:highlight w:val="yellow"/>
        </w:rPr>
        <w:t xml:space="preserve"> is the maximum load and </w:t>
      </w:r>
      <w:r>
        <w:rPr>
          <w:rFonts w:ascii="Times New Roman" w:hAnsi="Times New Roman" w:cs="Times New Roman"/>
          <w:i/>
          <w:iCs/>
          <w:sz w:val="24"/>
          <w:szCs w:val="24"/>
          <w:highlight w:val="yellow"/>
        </w:rPr>
        <w:t>A</w:t>
      </w:r>
      <w:r>
        <w:rPr>
          <w:rFonts w:ascii="Times New Roman" w:hAnsi="Times New Roman" w:cs="Times New Roman"/>
          <w:sz w:val="24"/>
          <w:szCs w:val="24"/>
          <w:highlight w:val="yellow"/>
        </w:rPr>
        <w:t xml:space="preserve"> is the loaded area. Flexural strength was evaluated by three-point bending using prism specimens, and splitting tensile strength was calculated using </w:t>
      </w:r>
      <w:r>
        <w:rPr>
          <w:rFonts w:ascii="Times New Roman" w:hAnsi="Times New Roman" w:cs="Times New Roman"/>
          <w:i/>
          <w:iCs/>
          <w:sz w:val="24"/>
          <w:szCs w:val="24"/>
          <w:highlight w:val="yellow"/>
        </w:rPr>
        <w:t>f</w:t>
      </w:r>
      <w:r>
        <w:rPr>
          <w:rFonts w:ascii="Times New Roman" w:hAnsi="Times New Roman" w:cs="Times New Roman"/>
          <w:sz w:val="24"/>
          <w:szCs w:val="24"/>
          <w:highlight w:val="yellow"/>
          <w:vertAlign w:val="subscript"/>
        </w:rPr>
        <w:t>t</w:t>
      </w:r>
      <w:r>
        <w:rPr>
          <w:rFonts w:ascii="Times New Roman" w:hAnsi="Times New Roman" w:cs="Times New Roman"/>
          <w:sz w:val="24"/>
          <w:szCs w:val="24"/>
          <w:highlight w:val="yellow"/>
        </w:rPr>
        <w:t xml:space="preserve"> = 2</w:t>
      </w:r>
      <w:r>
        <w:rPr>
          <w:rFonts w:ascii="Times New Roman" w:hAnsi="Times New Roman" w:cs="Times New Roman"/>
          <w:i/>
          <w:iCs/>
          <w:sz w:val="24"/>
          <w:szCs w:val="24"/>
          <w:highlight w:val="yellow"/>
        </w:rPr>
        <w:t>P</w:t>
      </w:r>
      <w:r>
        <w:rPr>
          <w:rFonts w:ascii="Times New Roman" w:hAnsi="Times New Roman" w:cs="Times New Roman"/>
          <w:sz w:val="24"/>
          <w:szCs w:val="24"/>
          <w:highlight w:val="yellow"/>
        </w:rPr>
        <w:t>/(π</w:t>
      </w:r>
      <w:r>
        <w:rPr>
          <w:rFonts w:ascii="Times New Roman" w:hAnsi="Times New Roman" w:cs="Times New Roman"/>
          <w:i/>
          <w:iCs/>
          <w:sz w:val="24"/>
          <w:szCs w:val="24"/>
          <w:highlight w:val="yellow"/>
        </w:rPr>
        <w:t>LD</w:t>
      </w:r>
      <w:r>
        <w:rPr>
          <w:rFonts w:ascii="Times New Roman" w:hAnsi="Times New Roman" w:cs="Times New Roman"/>
          <w:sz w:val="24"/>
          <w:szCs w:val="24"/>
          <w:highlight w:val="yellow"/>
        </w:rPr>
        <w:t>). Fracture toughness and fracture energy were reported as obtained from notched-beam three-point bending using load–crack-mouth-opening-displacement (CMOD) data. The applicable standards, loading rates, notch dimensions, support span, specimen counts and complete load–CMOD records should be documented from the original test records to facilitate independent reproduction. The values are consequently discussed as reported summary results.</w:t>
      </w:r>
    </w:p>
    <w:p w14:paraId="3F4DAA84" w14:textId="77777777" w:rsidR="001C7533" w:rsidRPr="003E0CF1" w:rsidRDefault="001C7533" w:rsidP="00F9519E">
      <w:pPr>
        <w:pStyle w:val="Heading2"/>
        <w:jc w:val="both"/>
        <w:rPr>
          <w:rFonts w:ascii="Times New Roman" w:hAnsi="Times New Roman" w:cs="Times New Roman"/>
          <w:color w:val="auto"/>
          <w:sz w:val="24"/>
          <w:szCs w:val="24"/>
        </w:rPr>
      </w:pPr>
      <w:r>
        <w:rPr>
          <w:rFonts w:ascii="Times New Roman" w:hAnsi="Times New Roman" w:cs="Times New Roman"/>
          <w:sz w:val="24"/>
          <w:szCs w:val="24"/>
          <w:highlight w:val="yellow"/>
        </w:rPr>
        <w:t xml:space="preserve">The reported durability exposures comprised water immersion for 56 days, 100 wet–dry cycles, 5% </w:t>
      </w:r>
      <w:proofErr w:type="spellStart"/>
      <w:r>
        <w:rPr>
          <w:rFonts w:ascii="Times New Roman" w:hAnsi="Times New Roman" w:cs="Times New Roman"/>
          <w:sz w:val="24"/>
          <w:szCs w:val="24"/>
          <w:highlight w:val="yellow"/>
        </w:rPr>
        <w:t>Na₂SO</w:t>
      </w:r>
      <w:proofErr w:type="spellEnd"/>
      <w:r>
        <w:rPr>
          <w:rFonts w:ascii="Times New Roman" w:hAnsi="Times New Roman" w:cs="Times New Roman"/>
          <w:sz w:val="24"/>
          <w:szCs w:val="24"/>
          <w:highlight w:val="yellow"/>
        </w:rPr>
        <w:t>₄ exposure for 56 days, 5% H₂SO₄ exposure for 28 days, and 50 freeze–thaw cycles. These results provide endpoint comparisons under the stated laboratory conditions. Further documentation of the complete protocols, replicate counts, specimen-level measurements, solution-renewal schedules, temperature histories and degradation criteria would strengthen reproducibility. The 5% sulfuric-acid condition is an aggressive screening exposure and is not directly equivalent to ordinary field exposure; accordingly, the rankings are interpreted as preliminary and specific to the reported protocols.</w:t>
      </w:r>
    </w:p>
    <w:p w14:paraId="21936DE9" w14:textId="77777777" w:rsidR="00F741DE" w:rsidRPr="003E0CF1" w:rsidRDefault="00E71383" w:rsidP="00F9519E">
      <w:pPr>
        <w:pStyle w:val="Heading2"/>
        <w:jc w:val="both"/>
        <w:rPr>
          <w:rFonts w:ascii="Times New Roman" w:hAnsi="Times New Roman" w:cs="Times New Roman"/>
          <w:color w:val="auto"/>
          <w:sz w:val="24"/>
          <w:szCs w:val="24"/>
        </w:rPr>
      </w:pPr>
      <w:r>
        <w:rPr>
          <w:rFonts w:ascii="Times New Roman" w:hAnsi="Times New Roman" w:cs="Times New Roman"/>
          <w:sz w:val="24"/>
          <w:szCs w:val="24"/>
          <w:highlight w:val="yellow"/>
        </w:rPr>
        <w:t>Thermal conductivity, diffusivity, specific heat and thermal expansion were reported at 28 days (Table 6, Figure 12). Residual compressive strength was also reported after exposure to 200, 400, 600 and 800 °C. Adding the temperature-specific values and full heating/cooling protocol would make the high-temperature comparison more complete. The reported thermal values show differences when diffusivity is recalculated from conductivity, density and specific heat (Section 4.13.5); checking these values against instrument outputs and original calculations will help establish a consistent basis for interpretation.</w:t>
      </w:r>
    </w:p>
    <w:p w14:paraId="2FEC42F6" w14:textId="77777777" w:rsidR="001C7533" w:rsidRPr="003E0CF1" w:rsidRDefault="001C7533" w:rsidP="00F9519E">
      <w:pPr>
        <w:pStyle w:val="Heading2"/>
        <w:jc w:val="both"/>
        <w:rPr>
          <w:rFonts w:ascii="Times New Roman" w:hAnsi="Times New Roman" w:cs="Times New Roman"/>
          <w:color w:val="auto"/>
          <w:sz w:val="24"/>
          <w:szCs w:val="24"/>
        </w:rPr>
      </w:pPr>
    </w:p>
    <w:p w14:paraId="15D19D81" w14:textId="77777777" w:rsidR="00F741DE" w:rsidRPr="003E0CF1" w:rsidRDefault="00E71383" w:rsidP="00F9519E">
      <w:pPr>
        <w:pStyle w:val="Heading2"/>
        <w:jc w:val="both"/>
        <w:rPr>
          <w:rFonts w:ascii="Times New Roman" w:hAnsi="Times New Roman" w:cs="Times New Roman"/>
          <w:color w:val="auto"/>
          <w:sz w:val="24"/>
          <w:szCs w:val="24"/>
        </w:rPr>
      </w:pPr>
      <w:r>
        <w:rPr>
          <w:rFonts w:ascii="Times New Roman" w:hAnsi="Times New Roman" w:cs="Times New Roman"/>
          <w:sz w:val="24"/>
          <w:szCs w:val="24"/>
        </w:rPr>
        <w:t xml:space="preserve">3.9 Statistical analysis and multi-objective </w:t>
      </w:r>
      <w:proofErr w:type="spellStart"/>
      <w:r>
        <w:rPr>
          <w:rFonts w:ascii="Times New Roman" w:hAnsi="Times New Roman" w:cs="Times New Roman"/>
          <w:sz w:val="24"/>
          <w:szCs w:val="24"/>
          <w:highlight w:val="yellow"/>
        </w:rPr>
        <w:t>optimisation</w:t>
      </w:r>
      <w:proofErr w:type="spellEnd"/>
    </w:p>
    <w:p w14:paraId="259411F1" w14:textId="77777777" w:rsidR="00F741DE" w:rsidRPr="003E0CF1" w:rsidRDefault="001C7533" w:rsidP="00F9519E">
      <w:pPr>
        <w:jc w:val="both"/>
        <w:rPr>
          <w:rFonts w:ascii="Times New Roman" w:hAnsi="Times New Roman" w:cs="Times New Roman"/>
          <w:sz w:val="24"/>
          <w:szCs w:val="24"/>
        </w:rPr>
      </w:pPr>
      <w:r>
        <w:rPr>
          <w:rFonts w:ascii="Times New Roman" w:hAnsi="Times New Roman" w:cs="Times New Roman"/>
          <w:sz w:val="24"/>
          <w:szCs w:val="24"/>
          <w:highlight w:val="yellow"/>
        </w:rPr>
        <w:t>The seven formulations form an exploratory, non-orthogonal mixture set. Multiple constituents change together, and specimen-level replication is not documented. Accordingly, the available values support descriptive comparisons only; they cannot isolate constituent effects or interactions, establish statistical significance from independent specimens, or validate a global optimum. The previous ANOVA summary contained an unreconciled sum-of-squares discrepancy and an unspecified model term. Because the underlying replicate-level dataset is not available in the materials supplied for this revision, the affected inferential claims are withdrawn rather than reconstructed by inventing observations. The reported summary values are retained only as descriptive results pending verification against original laboratory records.</w:t>
      </w:r>
    </w:p>
    <w:p w14:paraId="3C81073E"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 xml:space="preserve">Statistical reporting and optimization. The manuscript-reported mixture means are used for descriptive plots, percentage changes and consistency checks only. Regression fits across four or seven mixture means can describe the shape of those summaries, but their residuals are not independent specimen error and their p-values must not be interpreted as experimental significance. The unreplicated mixture-by-exposure table likewise does not provide independent replicate error; therefore, mixture-effect F-tests, Tukey comparisons and associated p-values are not used to support inferential conclusions. The 2 × 2 contrast among AT3–AT6 has one value per cell and can provide arithmetic contrasts only, not error estimates or significance tests. A replicate-precision calculation may be used for planning future experiments, but it is not evidence that the current differences are significant. Confirmatory </w:t>
      </w:r>
      <w:r>
        <w:rPr>
          <w:rFonts w:ascii="Times New Roman" w:hAnsi="Times New Roman" w:cs="Times New Roman"/>
          <w:sz w:val="24"/>
          <w:szCs w:val="24"/>
          <w:highlight w:val="yellow"/>
        </w:rPr>
        <w:lastRenderedPageBreak/>
        <w:t>ANOVA requires the original individual observations, specimen counts, independent batch identifiers and checks of model assumptions.</w:t>
      </w:r>
    </w:p>
    <w:p w14:paraId="3CFFB44F" w14:textId="3EBCE2F4" w:rsidR="003A137B" w:rsidRPr="003E0CF1" w:rsidRDefault="00E402F6" w:rsidP="00F9519E">
      <w:pPr>
        <w:jc w:val="both"/>
        <w:rPr>
          <w:rFonts w:ascii="Times New Roman" w:hAnsi="Times New Roman" w:cs="Times New Roman"/>
          <w:sz w:val="24"/>
          <w:szCs w:val="24"/>
        </w:rPr>
      </w:pPr>
      <w:r>
        <w:rPr>
          <w:rFonts w:ascii="Times New Roman" w:hAnsi="Times New Roman" w:cs="Times New Roman"/>
          <w:sz w:val="24"/>
          <w:szCs w:val="24"/>
        </w:rPr>
        <w:t>All</w:t>
      </w:r>
      <w:r w:rsidR="00000000">
        <w:rPr>
          <w:rFonts w:ascii="Times New Roman" w:hAnsi="Times New Roman" w:cs="Times New Roman"/>
          <w:sz w:val="24"/>
          <w:szCs w:val="24"/>
        </w:rPr>
        <w:t xml:space="preserve"> these tests assume independent observations, approximately normal residuals and homogeneous variance; none of these assumptions can be checked from mixture means. Once specimen-level data are entered, the workbook sheet </w:t>
      </w:r>
      <w:proofErr w:type="spellStart"/>
      <w:r w:rsidR="00000000">
        <w:rPr>
          <w:rFonts w:ascii="Times New Roman" w:hAnsi="Times New Roman" w:cs="Times New Roman"/>
          <w:sz w:val="24"/>
          <w:szCs w:val="24"/>
        </w:rPr>
        <w:t>ANOVA_Replicate_Calc</w:t>
      </w:r>
      <w:proofErr w:type="spellEnd"/>
      <w:r w:rsidR="00000000">
        <w:rPr>
          <w:rFonts w:ascii="Times New Roman" w:hAnsi="Times New Roman" w:cs="Times New Roman"/>
          <w:sz w:val="24"/>
          <w:szCs w:val="24"/>
        </w:rPr>
        <w:t xml:space="preserve"> and the accompanying Python script at_mmc_anova.py compute the replicate-based one-way and two-way ANOVA [29] with Shapiro–Wilk, Levene, Welch, Kruskal–Wallis, Tukey and Dunnett procedures, effect sizes and achieved power [28].</w:t>
      </w:r>
    </w:p>
    <w:p w14:paraId="149732AE" w14:textId="77777777" w:rsidR="006E5CB5" w:rsidRPr="003E0CF1" w:rsidRDefault="006E5CB5" w:rsidP="00F9519E">
      <w:pPr>
        <w:jc w:val="both"/>
        <w:rPr>
          <w:rFonts w:ascii="Times New Roman" w:hAnsi="Times New Roman" w:cs="Times New Roman"/>
          <w:sz w:val="24"/>
          <w:szCs w:val="24"/>
          <w:highlight w:val="yellow"/>
        </w:rPr>
      </w:pPr>
      <w:r>
        <w:rPr>
          <w:rFonts w:ascii="Times New Roman" w:hAnsi="Times New Roman" w:cs="Times New Roman"/>
          <w:sz w:val="24"/>
          <w:szCs w:val="24"/>
          <w:highlight w:val="yellow"/>
        </w:rPr>
        <w:t>A comparative cradle-to-gate life-cycle assessment (LCA) is reported for C0, AT3 and AT6, with impacts expressed per kilogram of material in Table 9. These values are presented as preliminary estimates pending review of the underlying inventory and calculation files. Independent reproduction would be supported by reporting the functional unit, system boundary, database/version, source-specific production data, transport distances, electricity mix, waste-allocation and cut-off rules, and sensitivity analysis. As equal functional performance has not been established, per-kilogram values alone do not demonstrate environmental equivalence or a definitive sustainability advantage.</w:t>
      </w:r>
    </w:p>
    <w:p w14:paraId="077FFDCE" w14:textId="77777777" w:rsidR="00F741DE" w:rsidRPr="003E0CF1" w:rsidRDefault="00E71383" w:rsidP="00F9519E">
      <w:pPr>
        <w:pStyle w:val="Heading2"/>
        <w:jc w:val="both"/>
        <w:rPr>
          <w:rFonts w:ascii="Times New Roman" w:hAnsi="Times New Roman" w:cs="Times New Roman"/>
          <w:color w:val="auto"/>
          <w:sz w:val="24"/>
          <w:szCs w:val="24"/>
        </w:rPr>
      </w:pPr>
      <w:r>
        <w:rPr>
          <w:rFonts w:ascii="Times New Roman" w:hAnsi="Times New Roman" w:cs="Times New Roman"/>
          <w:sz w:val="24"/>
          <w:szCs w:val="24"/>
          <w:highlight w:val="yellow"/>
        </w:rPr>
        <w:t>The reported 62% waste-utilization value for AT6 cannot be reconciled directly with the 25% granite-waste fraction in Table 1. It is not retained as a verified quantitative claim unless the authors define the numerator, denominator and all waste-derived constituents counted. Likewise, the reported GWP reductions are provisional estimates rather than independently reproducible LCA results until the functional unit, system boundary, inventory sources, transport, processing energy and allocation rules are documented.</w:t>
      </w:r>
    </w:p>
    <w:p w14:paraId="54386AFA" w14:textId="77777777" w:rsidR="00F741DE" w:rsidRPr="003E0CF1" w:rsidRDefault="000C3235" w:rsidP="00F9519E">
      <w:pPr>
        <w:jc w:val="both"/>
        <w:rPr>
          <w:rFonts w:ascii="Times New Roman" w:hAnsi="Times New Roman" w:cs="Times New Roman"/>
          <w:sz w:val="24"/>
          <w:szCs w:val="24"/>
        </w:rPr>
      </w:pPr>
      <w:r>
        <w:rPr>
          <w:rFonts w:ascii="Times New Roman" w:hAnsi="Times New Roman" w:cs="Times New Roman"/>
          <w:sz w:val="24"/>
          <w:szCs w:val="24"/>
          <w:highlight w:val="yellow"/>
        </w:rPr>
        <w:t>The manuscript currently presents mixture-level summary values. Where available, specimen-level measurements, replicate counts, dispersion estimates, failure loads, full load–deflection/load–CMOD curves, wet–dry mass records and temperature-specific residual-strength values should be supplied to improve reproducibility and uncertainty assessment. Until these records are available, the associated findings are appropriately framed as preliminary summaries, with claims limited to what the reported data support.</w:t>
      </w:r>
    </w:p>
    <w:p w14:paraId="136CD9EE" w14:textId="77777777" w:rsidR="00B06580" w:rsidRPr="003E0CF1" w:rsidRDefault="00000000" w:rsidP="00F9519E">
      <w:pPr>
        <w:pStyle w:val="Heading2"/>
        <w:keepNext/>
        <w:jc w:val="both"/>
        <w:rPr>
          <w:rFonts w:ascii="Times New Roman" w:hAnsi="Times New Roman" w:cs="Times New Roman"/>
          <w:color w:val="auto"/>
          <w:sz w:val="24"/>
          <w:szCs w:val="24"/>
        </w:rPr>
      </w:pPr>
      <w:r>
        <w:rPr>
          <w:rFonts w:ascii="Times New Roman" w:hAnsi="Times New Roman" w:cs="Times New Roman"/>
          <w:color w:val="auto"/>
          <w:sz w:val="24"/>
          <w:szCs w:val="24"/>
          <w:highlight w:val="green"/>
        </w:rPr>
        <w:t>3.12 Theoretical background and governing relations</w:t>
      </w:r>
    </w:p>
    <w:p w14:paraId="51F14285"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 xml:space="preserve">This section </w:t>
      </w:r>
      <w:proofErr w:type="spellStart"/>
      <w:r>
        <w:rPr>
          <w:rFonts w:ascii="Times New Roman" w:hAnsi="Times New Roman" w:cs="Times New Roman"/>
          <w:sz w:val="24"/>
          <w:szCs w:val="24"/>
          <w:highlight w:val="green"/>
        </w:rPr>
        <w:t>summarises</w:t>
      </w:r>
      <w:proofErr w:type="spellEnd"/>
      <w:r>
        <w:rPr>
          <w:rFonts w:ascii="Times New Roman" w:hAnsi="Times New Roman" w:cs="Times New Roman"/>
          <w:sz w:val="24"/>
          <w:szCs w:val="24"/>
          <w:highlight w:val="green"/>
        </w:rPr>
        <w:t xml:space="preserve"> the relations used to interpret the reported quantities and to perform the derived calculations of Section 4.13. They are standard relations of cement and mortar science and are used descriptively. Parameters that the present records do not contain (for example the desirability limits, the </w:t>
      </w:r>
      <w:proofErr w:type="spellStart"/>
      <w:r>
        <w:rPr>
          <w:rFonts w:ascii="Times New Roman" w:hAnsi="Times New Roman" w:cs="Times New Roman"/>
          <w:sz w:val="24"/>
          <w:szCs w:val="24"/>
          <w:highlight w:val="green"/>
        </w:rPr>
        <w:t>fibre</w:t>
      </w:r>
      <w:proofErr w:type="spellEnd"/>
      <w:r>
        <w:rPr>
          <w:rFonts w:ascii="Times New Roman" w:hAnsi="Times New Roman" w:cs="Times New Roman"/>
          <w:sz w:val="24"/>
          <w:szCs w:val="24"/>
          <w:highlight w:val="green"/>
        </w:rPr>
        <w:t xml:space="preserve"> diameter and the </w:t>
      </w:r>
      <w:proofErr w:type="spellStart"/>
      <w:r>
        <w:rPr>
          <w:rFonts w:ascii="Times New Roman" w:hAnsi="Times New Roman" w:cs="Times New Roman"/>
          <w:sz w:val="24"/>
          <w:szCs w:val="24"/>
          <w:highlight w:val="green"/>
        </w:rPr>
        <w:t>fibre</w:t>
      </w:r>
      <w:proofErr w:type="spellEnd"/>
      <w:r>
        <w:rPr>
          <w:rFonts w:ascii="Times New Roman" w:hAnsi="Times New Roman" w:cs="Times New Roman"/>
          <w:sz w:val="24"/>
          <w:szCs w:val="24"/>
          <w:highlight w:val="green"/>
        </w:rPr>
        <w:t>–matrix interfacial shear strength) are identified as data requirements and are not assumed.</w:t>
      </w:r>
    </w:p>
    <w:p w14:paraId="2F91D7F6" w14:textId="77777777" w:rsidR="00B06580" w:rsidRPr="003E0CF1" w:rsidRDefault="00000000" w:rsidP="00F9519E">
      <w:pPr>
        <w:keepNext/>
        <w:jc w:val="both"/>
        <w:rPr>
          <w:rFonts w:ascii="Times New Roman" w:hAnsi="Times New Roman" w:cs="Times New Roman"/>
          <w:sz w:val="24"/>
          <w:szCs w:val="24"/>
        </w:rPr>
      </w:pPr>
      <w:r>
        <w:rPr>
          <w:rFonts w:ascii="Times New Roman" w:hAnsi="Times New Roman" w:cs="Times New Roman"/>
          <w:b/>
          <w:bCs/>
          <w:i/>
          <w:iCs/>
          <w:sz w:val="24"/>
          <w:szCs w:val="24"/>
          <w:highlight w:val="green"/>
        </w:rPr>
        <w:t>3.12.1 Binder reactions</w:t>
      </w:r>
    </w:p>
    <w:p w14:paraId="0916C493"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Lime-based binders gain strength partly by carbonation, Eq. (1), while metakaolin (Al</w:t>
      </w:r>
      <w:r>
        <w:rPr>
          <w:rFonts w:ascii="Times New Roman" w:hAnsi="Times New Roman" w:cs="Times New Roman"/>
          <w:sz w:val="24"/>
          <w:szCs w:val="24"/>
          <w:highlight w:val="green"/>
          <w:vertAlign w:val="subscript"/>
        </w:rPr>
        <w:t>2</w:t>
      </w:r>
      <w:r>
        <w:rPr>
          <w:rFonts w:ascii="Times New Roman" w:hAnsi="Times New Roman" w:cs="Times New Roman"/>
          <w:sz w:val="24"/>
          <w:szCs w:val="24"/>
          <w:highlight w:val="green"/>
        </w:rPr>
        <w:t>O</w:t>
      </w:r>
      <w:r>
        <w:rPr>
          <w:rFonts w:ascii="Times New Roman" w:hAnsi="Times New Roman" w:cs="Times New Roman"/>
          <w:sz w:val="24"/>
          <w:szCs w:val="24"/>
          <w:highlight w:val="green"/>
          <w:vertAlign w:val="subscript"/>
        </w:rPr>
        <w:t>3</w:t>
      </w:r>
      <w:r>
        <w:rPr>
          <w:rFonts w:ascii="Times New Roman" w:hAnsi="Times New Roman" w:cs="Times New Roman"/>
          <w:sz w:val="24"/>
          <w:szCs w:val="24"/>
          <w:highlight w:val="green"/>
        </w:rPr>
        <w:t>·2SiO</w:t>
      </w:r>
      <w:r>
        <w:rPr>
          <w:rFonts w:ascii="Times New Roman" w:hAnsi="Times New Roman" w:cs="Times New Roman"/>
          <w:sz w:val="24"/>
          <w:szCs w:val="24"/>
          <w:highlight w:val="green"/>
          <w:vertAlign w:val="subscript"/>
        </w:rPr>
        <w:t>2</w:t>
      </w:r>
      <w:r>
        <w:rPr>
          <w:rFonts w:ascii="Times New Roman" w:hAnsi="Times New Roman" w:cs="Times New Roman"/>
          <w:sz w:val="24"/>
          <w:szCs w:val="24"/>
          <w:highlight w:val="green"/>
        </w:rPr>
        <w:t>, abbreviated AS</w:t>
      </w:r>
      <w:r>
        <w:rPr>
          <w:rFonts w:ascii="Times New Roman" w:hAnsi="Times New Roman" w:cs="Times New Roman"/>
          <w:sz w:val="24"/>
          <w:szCs w:val="24"/>
          <w:highlight w:val="green"/>
          <w:vertAlign w:val="subscript"/>
        </w:rPr>
        <w:t>2</w:t>
      </w:r>
      <w:r>
        <w:rPr>
          <w:rFonts w:ascii="Times New Roman" w:hAnsi="Times New Roman" w:cs="Times New Roman"/>
          <w:sz w:val="24"/>
          <w:szCs w:val="24"/>
          <w:highlight w:val="green"/>
        </w:rPr>
        <w:t>) can combine with calcium hydroxide and water to form calcium–(aluminate)–silicate–hydrate and related calcium-aluminate hydrates, Eq. (2). Equation (2) is a schematic pathway rather than a balanced reaction, because the reaction-product assemblage was not quantified in this study.</w:t>
      </w:r>
    </w:p>
    <w:p w14:paraId="4A6C7163" w14:textId="77777777" w:rsidR="00B06580" w:rsidRPr="003E0CF1" w:rsidRDefault="00000000" w:rsidP="00F9519E">
      <w:pPr>
        <w:tabs>
          <w:tab w:val="center" w:pos="4513"/>
          <w:tab w:val="right" w:pos="9026"/>
        </w:tabs>
        <w:jc w:val="both"/>
        <w:rPr>
          <w:rFonts w:ascii="Times New Roman" w:hAnsi="Times New Roman" w:cs="Times New Roman"/>
          <w:sz w:val="24"/>
          <w:szCs w:val="24"/>
        </w:rPr>
      </w:pPr>
      <w:r>
        <w:rPr>
          <w:rFonts w:ascii="Times New Roman" w:hAnsi="Times New Roman" w:cs="Times New Roman"/>
          <w:sz w:val="24"/>
          <w:szCs w:val="24"/>
          <w:highlight w:val="green"/>
        </w:rPr>
        <w:tab/>
      </w:r>
      <m:oMath>
        <m:r>
          <m:rPr>
            <m:sty m:val="p"/>
          </m:rPr>
          <w:rPr>
            <w:rFonts w:ascii="Cambria Math" w:hAnsi="Cambria Math" w:cs="Cambria Math"/>
            <w:sz w:val="24"/>
            <w:szCs w:val="24"/>
            <w:highlight w:val="green"/>
          </w:rPr>
          <m:t>Ca(OH</m:t>
        </m:r>
        <m:sSub>
          <m:sSubPr>
            <m:ctrlPr>
              <w:rPr>
                <w:rFonts w:ascii="Cambria Math" w:hAnsi="Cambria Math"/>
              </w:rPr>
            </m:ctrlPr>
          </m:sSubPr>
          <m:e>
            <m:r>
              <m:rPr>
                <m:sty m:val="p"/>
              </m:rPr>
              <w:rPr>
                <w:rFonts w:ascii="Cambria Math" w:hAnsi="Cambria Math" w:cs="Cambria Math"/>
                <w:sz w:val="24"/>
                <w:szCs w:val="24"/>
                <w:highlight w:val="green"/>
              </w:rPr>
              <m:t>)</m:t>
            </m:r>
          </m:e>
          <m:sub>
            <m:r>
              <m:rPr>
                <m:sty m:val="p"/>
              </m:rPr>
              <w:rPr>
                <w:rFonts w:ascii="Cambria Math" w:hAnsi="Cambria Math" w:cs="Cambria Math"/>
                <w:sz w:val="24"/>
                <w:szCs w:val="24"/>
                <w:highlight w:val="green"/>
              </w:rPr>
              <m:t>2</m:t>
            </m:r>
          </m:sub>
        </m:sSub>
        <m:r>
          <m:rPr>
            <m:sty m:val="p"/>
          </m:rPr>
          <w:rPr>
            <w:rFonts w:ascii="Cambria Math" w:hAnsi="Cambria Math" w:cs="Cambria Math"/>
            <w:sz w:val="24"/>
            <w:szCs w:val="24"/>
            <w:highlight w:val="green"/>
          </w:rPr>
          <m:t>+C</m:t>
        </m:r>
        <m:sSub>
          <m:sSubPr>
            <m:ctrlPr>
              <w:rPr>
                <w:rFonts w:ascii="Cambria Math" w:hAnsi="Cambria Math"/>
              </w:rPr>
            </m:ctrlPr>
          </m:sSubPr>
          <m:e>
            <m:r>
              <m:rPr>
                <m:sty m:val="p"/>
              </m:rPr>
              <w:rPr>
                <w:rFonts w:ascii="Cambria Math" w:hAnsi="Cambria Math" w:cs="Cambria Math"/>
                <w:sz w:val="24"/>
                <w:szCs w:val="24"/>
                <w:highlight w:val="green"/>
              </w:rPr>
              <m:t>O</m:t>
            </m:r>
          </m:e>
          <m:sub>
            <m:r>
              <m:rPr>
                <m:sty m:val="p"/>
              </m:rPr>
              <w:rPr>
                <w:rFonts w:ascii="Cambria Math" w:hAnsi="Cambria Math" w:cs="Cambria Math"/>
                <w:sz w:val="24"/>
                <w:szCs w:val="24"/>
                <w:highlight w:val="green"/>
              </w:rPr>
              <m:t>2</m:t>
            </m:r>
          </m:sub>
        </m:sSub>
        <m:r>
          <m:rPr>
            <m:sty m:val="p"/>
          </m:rPr>
          <w:rPr>
            <w:rFonts w:ascii="Cambria Math" w:hAnsi="Cambria Math" w:cs="Cambria Math"/>
            <w:sz w:val="24"/>
            <w:szCs w:val="24"/>
            <w:highlight w:val="green"/>
          </w:rPr>
          <m:t>→CaC</m:t>
        </m:r>
        <m:sSub>
          <m:sSubPr>
            <m:ctrlPr>
              <w:rPr>
                <w:rFonts w:ascii="Cambria Math" w:hAnsi="Cambria Math"/>
              </w:rPr>
            </m:ctrlPr>
          </m:sSubPr>
          <m:e>
            <m:r>
              <m:rPr>
                <m:sty m:val="p"/>
              </m:rPr>
              <w:rPr>
                <w:rFonts w:ascii="Cambria Math" w:hAnsi="Cambria Math" w:cs="Cambria Math"/>
                <w:sz w:val="24"/>
                <w:szCs w:val="24"/>
                <w:highlight w:val="green"/>
              </w:rPr>
              <m:t>O</m:t>
            </m:r>
          </m:e>
          <m:sub>
            <m:r>
              <m:rPr>
                <m:sty m:val="p"/>
              </m:rPr>
              <w:rPr>
                <w:rFonts w:ascii="Cambria Math" w:hAnsi="Cambria Math" w:cs="Cambria Math"/>
                <w:sz w:val="24"/>
                <w:szCs w:val="24"/>
                <w:highlight w:val="green"/>
              </w:rPr>
              <m:t>3</m:t>
            </m:r>
          </m:sub>
        </m:sSub>
        <m:r>
          <m:rPr>
            <m:sty m:val="p"/>
          </m:rPr>
          <w:rPr>
            <w:rFonts w:ascii="Cambria Math" w:hAnsi="Cambria Math" w:cs="Cambria Math"/>
            <w:sz w:val="24"/>
            <w:szCs w:val="24"/>
            <w:highlight w:val="green"/>
          </w:rPr>
          <m:t>+</m:t>
        </m:r>
        <m:sSub>
          <m:sSubPr>
            <m:ctrlPr>
              <w:rPr>
                <w:rFonts w:ascii="Cambria Math" w:hAnsi="Cambria Math"/>
              </w:rPr>
            </m:ctrlPr>
          </m:sSubPr>
          <m:e>
            <m:r>
              <m:rPr>
                <m:sty m:val="p"/>
              </m:rPr>
              <w:rPr>
                <w:rFonts w:ascii="Cambria Math" w:hAnsi="Cambria Math" w:cs="Cambria Math"/>
                <w:sz w:val="24"/>
                <w:szCs w:val="24"/>
                <w:highlight w:val="green"/>
              </w:rPr>
              <m:t>H</m:t>
            </m:r>
          </m:e>
          <m:sub>
            <m:r>
              <m:rPr>
                <m:sty m:val="p"/>
              </m:rPr>
              <w:rPr>
                <w:rFonts w:ascii="Cambria Math" w:hAnsi="Cambria Math" w:cs="Cambria Math"/>
                <w:sz w:val="24"/>
                <w:szCs w:val="24"/>
                <w:highlight w:val="green"/>
              </w:rPr>
              <m:t>2</m:t>
            </m:r>
          </m:sub>
        </m:sSub>
        <m:r>
          <m:rPr>
            <m:sty m:val="p"/>
          </m:rPr>
          <w:rPr>
            <w:rFonts w:ascii="Cambria Math" w:hAnsi="Cambria Math" w:cs="Cambria Math"/>
            <w:sz w:val="24"/>
            <w:szCs w:val="24"/>
            <w:highlight w:val="green"/>
          </w:rPr>
          <m:t>O</m:t>
        </m:r>
      </m:oMath>
      <w:r>
        <w:rPr>
          <w:rFonts w:ascii="Times New Roman" w:hAnsi="Times New Roman" w:cs="Times New Roman"/>
          <w:sz w:val="24"/>
          <w:szCs w:val="24"/>
          <w:highlight w:val="green"/>
        </w:rPr>
        <w:tab/>
        <w:t>(1)</w:t>
      </w:r>
    </w:p>
    <w:p w14:paraId="0AE2B1E7" w14:textId="77777777" w:rsidR="00B06580" w:rsidRPr="003E0CF1" w:rsidRDefault="00000000" w:rsidP="00F9519E">
      <w:pPr>
        <w:tabs>
          <w:tab w:val="center" w:pos="4513"/>
          <w:tab w:val="right" w:pos="9026"/>
        </w:tabs>
        <w:jc w:val="both"/>
        <w:rPr>
          <w:rFonts w:ascii="Times New Roman" w:hAnsi="Times New Roman" w:cs="Times New Roman"/>
          <w:sz w:val="24"/>
          <w:szCs w:val="24"/>
        </w:rPr>
      </w:pPr>
      <w:r>
        <w:rPr>
          <w:rFonts w:ascii="Times New Roman" w:hAnsi="Times New Roman" w:cs="Times New Roman"/>
          <w:sz w:val="24"/>
          <w:szCs w:val="24"/>
          <w:highlight w:val="green"/>
        </w:rPr>
        <w:tab/>
      </w:r>
      <m:oMath>
        <m:r>
          <m:rPr>
            <m:sty m:val="p"/>
          </m:rPr>
          <w:rPr>
            <w:rFonts w:ascii="Cambria Math" w:hAnsi="Cambria Math" w:cs="Cambria Math"/>
            <w:sz w:val="24"/>
            <w:szCs w:val="24"/>
            <w:highlight w:val="green"/>
          </w:rPr>
          <m:t>A</m:t>
        </m:r>
        <m:sSub>
          <m:sSubPr>
            <m:ctrlPr>
              <w:rPr>
                <w:rFonts w:ascii="Cambria Math" w:hAnsi="Cambria Math"/>
              </w:rPr>
            </m:ctrlPr>
          </m:sSubPr>
          <m:e>
            <m:r>
              <m:rPr>
                <m:sty m:val="p"/>
              </m:rPr>
              <w:rPr>
                <w:rFonts w:ascii="Cambria Math" w:hAnsi="Cambria Math" w:cs="Cambria Math"/>
                <w:sz w:val="24"/>
                <w:szCs w:val="24"/>
                <w:highlight w:val="green"/>
              </w:rPr>
              <m:t>S</m:t>
            </m:r>
          </m:e>
          <m:sub>
            <m:r>
              <m:rPr>
                <m:sty m:val="p"/>
              </m:rPr>
              <w:rPr>
                <w:rFonts w:ascii="Cambria Math" w:hAnsi="Cambria Math" w:cs="Cambria Math"/>
                <w:sz w:val="24"/>
                <w:szCs w:val="24"/>
                <w:highlight w:val="green"/>
              </w:rPr>
              <m:t>2</m:t>
            </m:r>
          </m:sub>
        </m:sSub>
        <m:r>
          <m:rPr>
            <m:sty m:val="p"/>
          </m:rPr>
          <w:rPr>
            <w:rFonts w:ascii="Cambria Math" w:hAnsi="Cambria Math" w:cs="Cambria Math"/>
            <w:sz w:val="24"/>
            <w:szCs w:val="24"/>
            <w:highlight w:val="green"/>
          </w:rPr>
          <m:t>+</m:t>
        </m:r>
        <m:r>
          <w:rPr>
            <w:rFonts w:ascii="Cambria Math" w:hAnsi="Cambria Math" w:cs="Cambria Math"/>
            <w:sz w:val="24"/>
            <w:szCs w:val="24"/>
            <w:highlight w:val="green"/>
          </w:rPr>
          <m:t>x</m:t>
        </m:r>
        <m:r>
          <m:rPr>
            <m:sty m:val="p"/>
          </m:rPr>
          <w:rPr>
            <w:rFonts w:ascii="Cambria Math" w:hAnsi="Cambria Math" w:cs="Cambria Math"/>
            <w:sz w:val="24"/>
            <w:szCs w:val="24"/>
            <w:highlight w:val="green"/>
          </w:rPr>
          <m:t> Ca(OH</m:t>
        </m:r>
        <m:sSub>
          <m:sSubPr>
            <m:ctrlPr>
              <w:rPr>
                <w:rFonts w:ascii="Cambria Math" w:hAnsi="Cambria Math"/>
              </w:rPr>
            </m:ctrlPr>
          </m:sSubPr>
          <m:e>
            <m:r>
              <m:rPr>
                <m:sty m:val="p"/>
              </m:rPr>
              <w:rPr>
                <w:rFonts w:ascii="Cambria Math" w:hAnsi="Cambria Math" w:cs="Cambria Math"/>
                <w:sz w:val="24"/>
                <w:szCs w:val="24"/>
                <w:highlight w:val="green"/>
              </w:rPr>
              <m:t>)</m:t>
            </m:r>
          </m:e>
          <m:sub>
            <m:r>
              <m:rPr>
                <m:sty m:val="p"/>
              </m:rPr>
              <w:rPr>
                <w:rFonts w:ascii="Cambria Math" w:hAnsi="Cambria Math" w:cs="Cambria Math"/>
                <w:sz w:val="24"/>
                <w:szCs w:val="24"/>
                <w:highlight w:val="green"/>
              </w:rPr>
              <m:t>2</m:t>
            </m:r>
          </m:sub>
        </m:sSub>
        <m:r>
          <m:rPr>
            <m:sty m:val="p"/>
          </m:rPr>
          <w:rPr>
            <w:rFonts w:ascii="Cambria Math" w:hAnsi="Cambria Math" w:cs="Cambria Math"/>
            <w:sz w:val="24"/>
            <w:szCs w:val="24"/>
            <w:highlight w:val="green"/>
          </w:rPr>
          <m:t>+</m:t>
        </m:r>
        <m:r>
          <w:rPr>
            <w:rFonts w:ascii="Cambria Math" w:hAnsi="Cambria Math" w:cs="Cambria Math"/>
            <w:sz w:val="24"/>
            <w:szCs w:val="24"/>
            <w:highlight w:val="green"/>
          </w:rPr>
          <m:t>y</m:t>
        </m:r>
        <m:r>
          <m:rPr>
            <m:sty m:val="p"/>
          </m:rPr>
          <w:rPr>
            <w:rFonts w:ascii="Cambria Math" w:hAnsi="Cambria Math" w:cs="Cambria Math"/>
            <w:sz w:val="24"/>
            <w:szCs w:val="24"/>
            <w:highlight w:val="green"/>
          </w:rPr>
          <m:t> </m:t>
        </m:r>
        <m:sSub>
          <m:sSubPr>
            <m:ctrlPr>
              <w:rPr>
                <w:rFonts w:ascii="Cambria Math" w:hAnsi="Cambria Math"/>
              </w:rPr>
            </m:ctrlPr>
          </m:sSubPr>
          <m:e>
            <m:r>
              <m:rPr>
                <m:sty m:val="p"/>
              </m:rPr>
              <w:rPr>
                <w:rFonts w:ascii="Cambria Math" w:hAnsi="Cambria Math" w:cs="Cambria Math"/>
                <w:sz w:val="24"/>
                <w:szCs w:val="24"/>
                <w:highlight w:val="green"/>
              </w:rPr>
              <m:t>H</m:t>
            </m:r>
          </m:e>
          <m:sub>
            <m:r>
              <m:rPr>
                <m:sty m:val="p"/>
              </m:rPr>
              <w:rPr>
                <w:rFonts w:ascii="Cambria Math" w:hAnsi="Cambria Math" w:cs="Cambria Math"/>
                <w:sz w:val="24"/>
                <w:szCs w:val="24"/>
                <w:highlight w:val="green"/>
              </w:rPr>
              <m:t>2</m:t>
            </m:r>
          </m:sub>
        </m:sSub>
        <m:r>
          <m:rPr>
            <m:sty m:val="p"/>
          </m:rPr>
          <w:rPr>
            <w:rFonts w:ascii="Cambria Math" w:hAnsi="Cambria Math" w:cs="Cambria Math"/>
            <w:sz w:val="24"/>
            <w:szCs w:val="24"/>
            <w:highlight w:val="green"/>
          </w:rPr>
          <m:t>O→</m:t>
        </m:r>
        <m:r>
          <m:rPr>
            <m:nor/>
          </m:rPr>
          <w:rPr>
            <w:rFonts w:ascii="Times New Roman" w:hAnsi="Times New Roman" w:cs="Times New Roman"/>
            <w:sz w:val="24"/>
            <w:szCs w:val="24"/>
            <w:highlight w:val="green"/>
          </w:rPr>
          <m:t>C–(A)–S–H + calcium-aluminate hydrates</m:t>
        </m:r>
      </m:oMath>
      <w:r>
        <w:rPr>
          <w:rFonts w:ascii="Times New Roman" w:hAnsi="Times New Roman" w:cs="Times New Roman"/>
          <w:sz w:val="24"/>
          <w:szCs w:val="24"/>
          <w:highlight w:val="green"/>
        </w:rPr>
        <w:tab/>
        <w:t>(2)</w:t>
      </w:r>
    </w:p>
    <w:p w14:paraId="497FE476" w14:textId="77777777" w:rsidR="00B06580" w:rsidRPr="003E0CF1" w:rsidRDefault="00000000" w:rsidP="00F9519E">
      <w:pPr>
        <w:tabs>
          <w:tab w:val="center" w:pos="4513"/>
          <w:tab w:val="right" w:pos="9026"/>
        </w:tabs>
        <w:jc w:val="both"/>
        <w:rPr>
          <w:rFonts w:ascii="Times New Roman" w:hAnsi="Times New Roman" w:cs="Times New Roman"/>
          <w:sz w:val="24"/>
          <w:szCs w:val="24"/>
        </w:rPr>
      </w:pPr>
      <w:r>
        <w:rPr>
          <w:rFonts w:ascii="Times New Roman" w:hAnsi="Times New Roman" w:cs="Times New Roman"/>
          <w:sz w:val="24"/>
          <w:szCs w:val="24"/>
          <w:highlight w:val="yellow"/>
        </w:rPr>
        <w:t>The oxide totals provide an arithmetic consistency check; however, oxide composition alone does not establish pozzolanic reactivity or identify reaction products. The metakaolin SiO₂/</w:t>
      </w:r>
      <w:proofErr w:type="spellStart"/>
      <w:r>
        <w:rPr>
          <w:rFonts w:ascii="Times New Roman" w:hAnsi="Times New Roman" w:cs="Times New Roman"/>
          <w:sz w:val="24"/>
          <w:szCs w:val="24"/>
          <w:highlight w:val="yellow"/>
        </w:rPr>
        <w:t>Al₂O</w:t>
      </w:r>
      <w:proofErr w:type="spellEnd"/>
      <w:r>
        <w:rPr>
          <w:rFonts w:ascii="Times New Roman" w:hAnsi="Times New Roman" w:cs="Times New Roman"/>
          <w:sz w:val="24"/>
          <w:szCs w:val="24"/>
          <w:highlight w:val="yellow"/>
        </w:rPr>
        <w:t>₃ molar ratio is a compositional index rather than evidence of phase purity or reaction stoichiometry. Quantitative phase analysis and direct reactivity testing would help evaluate the proposed reaction pathway.</w:t>
      </w:r>
    </w:p>
    <w:p w14:paraId="3D46B9BB"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 xml:space="preserve">The lime–metakaolin balance of the binder fraction can be </w:t>
      </w:r>
      <w:proofErr w:type="spellStart"/>
      <w:r>
        <w:rPr>
          <w:rFonts w:ascii="Times New Roman" w:hAnsi="Times New Roman" w:cs="Times New Roman"/>
          <w:sz w:val="24"/>
          <w:szCs w:val="24"/>
          <w:highlight w:val="green"/>
        </w:rPr>
        <w:t>summarised</w:t>
      </w:r>
      <w:proofErr w:type="spellEnd"/>
      <w:r>
        <w:rPr>
          <w:rFonts w:ascii="Times New Roman" w:hAnsi="Times New Roman" w:cs="Times New Roman"/>
          <w:sz w:val="24"/>
          <w:szCs w:val="24"/>
          <w:highlight w:val="green"/>
        </w:rPr>
        <w:t xml:space="preserve"> by a molar index, Eq. (3), in which </w:t>
      </w:r>
      <w:r>
        <w:rPr>
          <w:rFonts w:ascii="Times New Roman" w:hAnsi="Times New Roman" w:cs="Times New Roman"/>
          <w:i/>
          <w:iCs/>
          <w:sz w:val="24"/>
          <w:szCs w:val="24"/>
          <w:highlight w:val="green"/>
        </w:rPr>
        <w:t>m</w:t>
      </w:r>
      <w:r>
        <w:rPr>
          <w:rFonts w:ascii="Times New Roman" w:hAnsi="Times New Roman" w:cs="Times New Roman"/>
          <w:sz w:val="24"/>
          <w:szCs w:val="24"/>
          <w:highlight w:val="green"/>
          <w:vertAlign w:val="subscript"/>
        </w:rPr>
        <w:t>L</w:t>
      </w:r>
      <w:r>
        <w:rPr>
          <w:rFonts w:ascii="Times New Roman" w:hAnsi="Times New Roman" w:cs="Times New Roman"/>
          <w:sz w:val="24"/>
          <w:szCs w:val="24"/>
          <w:highlight w:val="green"/>
        </w:rPr>
        <w:t xml:space="preserve"> and </w:t>
      </w:r>
      <w:proofErr w:type="spellStart"/>
      <w:r>
        <w:rPr>
          <w:rFonts w:ascii="Times New Roman" w:hAnsi="Times New Roman" w:cs="Times New Roman"/>
          <w:i/>
          <w:iCs/>
          <w:sz w:val="24"/>
          <w:szCs w:val="24"/>
          <w:highlight w:val="green"/>
        </w:rPr>
        <w:t>m</w:t>
      </w:r>
      <w:r>
        <w:rPr>
          <w:rFonts w:ascii="Times New Roman" w:hAnsi="Times New Roman" w:cs="Times New Roman"/>
          <w:sz w:val="24"/>
          <w:szCs w:val="24"/>
          <w:highlight w:val="green"/>
          <w:vertAlign w:val="subscript"/>
        </w:rPr>
        <w:t>MK</w:t>
      </w:r>
      <w:proofErr w:type="spellEnd"/>
      <w:r>
        <w:rPr>
          <w:rFonts w:ascii="Times New Roman" w:hAnsi="Times New Roman" w:cs="Times New Roman"/>
          <w:sz w:val="24"/>
          <w:szCs w:val="24"/>
          <w:highlight w:val="green"/>
        </w:rPr>
        <w:t xml:space="preserve"> are the lime and metakaolin masses per 100 g of solids (Table 1), </w:t>
      </w:r>
      <w:proofErr w:type="spellStart"/>
      <w:r>
        <w:rPr>
          <w:rFonts w:ascii="Times New Roman" w:hAnsi="Times New Roman" w:cs="Times New Roman"/>
          <w:i/>
          <w:iCs/>
          <w:sz w:val="24"/>
          <w:szCs w:val="24"/>
          <w:highlight w:val="green"/>
        </w:rPr>
        <w:t>w</w:t>
      </w:r>
      <w:proofErr w:type="spellEnd"/>
      <w:r>
        <w:rPr>
          <w:rFonts w:ascii="Times New Roman" w:hAnsi="Times New Roman" w:cs="Times New Roman"/>
          <w:sz w:val="24"/>
          <w:szCs w:val="24"/>
          <w:highlight w:val="green"/>
        </w:rPr>
        <w:t xml:space="preserve"> </w:t>
      </w:r>
      <w:r>
        <w:rPr>
          <w:rFonts w:ascii="Times New Roman" w:hAnsi="Times New Roman" w:cs="Times New Roman"/>
          <w:sz w:val="24"/>
          <w:szCs w:val="24"/>
          <w:highlight w:val="green"/>
        </w:rPr>
        <w:lastRenderedPageBreak/>
        <w:t xml:space="preserve">are the oxide mass fractions of metakaolin (Table 2) and </w:t>
      </w:r>
      <w:r>
        <w:rPr>
          <w:rFonts w:ascii="Times New Roman" w:hAnsi="Times New Roman" w:cs="Times New Roman"/>
          <w:i/>
          <w:iCs/>
          <w:sz w:val="24"/>
          <w:szCs w:val="24"/>
          <w:highlight w:val="green"/>
        </w:rPr>
        <w:t>M</w:t>
      </w:r>
      <w:r>
        <w:rPr>
          <w:rFonts w:ascii="Times New Roman" w:hAnsi="Times New Roman" w:cs="Times New Roman"/>
          <w:sz w:val="24"/>
          <w:szCs w:val="24"/>
          <w:highlight w:val="green"/>
        </w:rPr>
        <w:t xml:space="preserve"> are molar masses. Lime is taken as pure Ca(OH)</w:t>
      </w:r>
      <w:r>
        <w:rPr>
          <w:rFonts w:ascii="Times New Roman" w:hAnsi="Times New Roman" w:cs="Times New Roman"/>
          <w:sz w:val="24"/>
          <w:szCs w:val="24"/>
          <w:highlight w:val="green"/>
          <w:vertAlign w:val="subscript"/>
        </w:rPr>
        <w:t>2</w:t>
      </w:r>
      <w:r>
        <w:rPr>
          <w:rFonts w:ascii="Times New Roman" w:hAnsi="Times New Roman" w:cs="Times New Roman"/>
          <w:sz w:val="24"/>
          <w:szCs w:val="24"/>
          <w:highlight w:val="green"/>
        </w:rPr>
        <w:t>; because the reported purity is above 90%, the index is an upper estimate.</w:t>
      </w:r>
    </w:p>
    <w:p w14:paraId="5D5021CF" w14:textId="77777777" w:rsidR="00B06580" w:rsidRPr="003E0CF1" w:rsidRDefault="00000000" w:rsidP="00F9519E">
      <w:pPr>
        <w:tabs>
          <w:tab w:val="center" w:pos="4513"/>
          <w:tab w:val="right" w:pos="9026"/>
        </w:tabs>
        <w:jc w:val="both"/>
        <w:rPr>
          <w:rFonts w:ascii="Times New Roman" w:hAnsi="Times New Roman" w:cs="Times New Roman"/>
          <w:sz w:val="24"/>
          <w:szCs w:val="24"/>
        </w:rPr>
      </w:pPr>
      <w:r>
        <w:rPr>
          <w:rFonts w:ascii="Times New Roman" w:hAnsi="Times New Roman" w:cs="Times New Roman"/>
          <w:sz w:val="24"/>
          <w:szCs w:val="24"/>
          <w:highlight w:val="green"/>
        </w:rPr>
        <w:tab/>
      </w:r>
      <m:oMath>
        <m:sSub>
          <m:sSubPr>
            <m:ctrlPr>
              <w:rPr>
                <w:rFonts w:ascii="Cambria Math" w:hAnsi="Cambria Math"/>
              </w:rPr>
            </m:ctrlPr>
          </m:sSubPr>
          <m:e>
            <m:r>
              <w:rPr>
                <w:rFonts w:ascii="Cambria Math" w:hAnsi="Cambria Math" w:cs="Cambria Math"/>
                <w:sz w:val="24"/>
                <w:szCs w:val="24"/>
                <w:highlight w:val="green"/>
              </w:rPr>
              <m:t>R</m:t>
            </m:r>
          </m:e>
          <m:sub>
            <m:r>
              <m:rPr>
                <m:sty m:val="p"/>
              </m:rPr>
              <w:rPr>
                <w:rFonts w:ascii="Cambria Math" w:hAnsi="Cambria Math" w:cs="Cambria Math"/>
                <w:sz w:val="24"/>
                <w:szCs w:val="24"/>
                <w:highlight w:val="green"/>
              </w:rPr>
              <m:t>Ca/(Si+Al)</m:t>
            </m:r>
          </m:sub>
        </m:sSub>
        <m:r>
          <m:rPr>
            <m:sty m:val="p"/>
          </m:rPr>
          <w:rPr>
            <w:rFonts w:ascii="Cambria Math" w:hAnsi="Cambria Math" w:cs="Cambria Math"/>
            <w:sz w:val="24"/>
            <w:szCs w:val="24"/>
            <w:highlight w:val="green"/>
          </w:rPr>
          <m:t>=</m:t>
        </m:r>
        <m:f>
          <m:fPr>
            <m:ctrlPr>
              <w:rPr>
                <w:rFonts w:ascii="Cambria Math" w:hAnsi="Cambria Math"/>
              </w:rPr>
            </m:ctrlPr>
          </m:fPr>
          <m:num>
            <m:f>
              <m:fPr>
                <m:type m:val="lin"/>
                <m:ctrlPr>
                  <w:rPr>
                    <w:rFonts w:ascii="Cambria Math" w:hAnsi="Cambria Math"/>
                  </w:rPr>
                </m:ctrlPr>
              </m:fPr>
              <m:num>
                <m:sSub>
                  <m:sSubPr>
                    <m:ctrlPr>
                      <w:rPr>
                        <w:rFonts w:ascii="Cambria Math" w:hAnsi="Cambria Math"/>
                      </w:rPr>
                    </m:ctrlPr>
                  </m:sSubPr>
                  <m:e>
                    <m:r>
                      <w:rPr>
                        <w:rFonts w:ascii="Cambria Math" w:hAnsi="Cambria Math" w:cs="Cambria Math"/>
                        <w:sz w:val="24"/>
                        <w:szCs w:val="24"/>
                        <w:highlight w:val="green"/>
                      </w:rPr>
                      <m:t>m</m:t>
                    </m:r>
                  </m:e>
                  <m:sub>
                    <m:r>
                      <m:rPr>
                        <m:sty m:val="p"/>
                      </m:rPr>
                      <w:rPr>
                        <w:rFonts w:ascii="Cambria Math" w:hAnsi="Cambria Math" w:cs="Cambria Math"/>
                        <w:sz w:val="24"/>
                        <w:szCs w:val="24"/>
                        <w:highlight w:val="green"/>
                      </w:rPr>
                      <m:t>L</m:t>
                    </m:r>
                  </m:sub>
                </m:sSub>
              </m:num>
              <m:den>
                <m:sSub>
                  <m:sSubPr>
                    <m:ctrlPr>
                      <w:rPr>
                        <w:rFonts w:ascii="Cambria Math" w:hAnsi="Cambria Math"/>
                      </w:rPr>
                    </m:ctrlPr>
                  </m:sSubPr>
                  <m:e>
                    <m:r>
                      <w:rPr>
                        <w:rFonts w:ascii="Cambria Math" w:hAnsi="Cambria Math" w:cs="Cambria Math"/>
                        <w:sz w:val="24"/>
                        <w:szCs w:val="24"/>
                        <w:highlight w:val="green"/>
                      </w:rPr>
                      <m:t>M</m:t>
                    </m:r>
                  </m:e>
                  <m:sub>
                    <m:r>
                      <m:rPr>
                        <m:sty m:val="p"/>
                      </m:rPr>
                      <w:rPr>
                        <w:rFonts w:ascii="Cambria Math" w:hAnsi="Cambria Math" w:cs="Cambria Math"/>
                        <w:sz w:val="24"/>
                        <w:szCs w:val="24"/>
                        <w:highlight w:val="green"/>
                      </w:rPr>
                      <m:t>Ca(OH</m:t>
                    </m:r>
                    <m:sSub>
                      <m:sSubPr>
                        <m:ctrlPr>
                          <w:rPr>
                            <w:rFonts w:ascii="Cambria Math" w:hAnsi="Cambria Math"/>
                          </w:rPr>
                        </m:ctrlPr>
                      </m:sSubPr>
                      <m:e>
                        <m:r>
                          <m:rPr>
                            <m:sty m:val="p"/>
                          </m:rPr>
                          <w:rPr>
                            <w:rFonts w:ascii="Cambria Math" w:hAnsi="Cambria Math" w:cs="Cambria Math"/>
                            <w:sz w:val="24"/>
                            <w:szCs w:val="24"/>
                            <w:highlight w:val="green"/>
                          </w:rPr>
                          <m:t>)</m:t>
                        </m:r>
                      </m:e>
                      <m:sub>
                        <m:r>
                          <m:rPr>
                            <m:sty m:val="p"/>
                          </m:rPr>
                          <w:rPr>
                            <w:rFonts w:ascii="Cambria Math" w:hAnsi="Cambria Math" w:cs="Cambria Math"/>
                            <w:sz w:val="24"/>
                            <w:szCs w:val="24"/>
                            <w:highlight w:val="green"/>
                          </w:rPr>
                          <m:t>2</m:t>
                        </m:r>
                      </m:sub>
                    </m:sSub>
                  </m:sub>
                </m:sSub>
              </m:den>
            </m:f>
          </m:num>
          <m:den>
            <m:f>
              <m:fPr>
                <m:type m:val="lin"/>
                <m:ctrlPr>
                  <w:rPr>
                    <w:rFonts w:ascii="Cambria Math" w:hAnsi="Cambria Math"/>
                  </w:rPr>
                </m:ctrlPr>
              </m:fPr>
              <m:num>
                <m:sSub>
                  <m:sSubPr>
                    <m:ctrlPr>
                      <w:rPr>
                        <w:rFonts w:ascii="Cambria Math" w:hAnsi="Cambria Math"/>
                      </w:rPr>
                    </m:ctrlPr>
                  </m:sSubPr>
                  <m:e>
                    <m:r>
                      <w:rPr>
                        <w:rFonts w:ascii="Cambria Math" w:hAnsi="Cambria Math" w:cs="Cambria Math"/>
                        <w:sz w:val="24"/>
                        <w:szCs w:val="24"/>
                        <w:highlight w:val="green"/>
                      </w:rPr>
                      <m:t>m</m:t>
                    </m:r>
                  </m:e>
                  <m:sub>
                    <m:r>
                      <m:rPr>
                        <m:sty m:val="p"/>
                      </m:rPr>
                      <w:rPr>
                        <w:rFonts w:ascii="Cambria Math" w:hAnsi="Cambria Math" w:cs="Cambria Math"/>
                        <w:sz w:val="24"/>
                        <w:szCs w:val="24"/>
                        <w:highlight w:val="green"/>
                      </w:rPr>
                      <m:t>MK</m:t>
                    </m:r>
                  </m:sub>
                </m:sSub>
                <m:sSub>
                  <m:sSubPr>
                    <m:ctrlPr>
                      <w:rPr>
                        <w:rFonts w:ascii="Cambria Math" w:hAnsi="Cambria Math"/>
                      </w:rPr>
                    </m:ctrlPr>
                  </m:sSubPr>
                  <m:e>
                    <m:r>
                      <w:rPr>
                        <w:rFonts w:ascii="Cambria Math" w:hAnsi="Cambria Math" w:cs="Cambria Math"/>
                        <w:sz w:val="24"/>
                        <w:szCs w:val="24"/>
                        <w:highlight w:val="green"/>
                      </w:rPr>
                      <m:t>w</m:t>
                    </m:r>
                  </m:e>
                  <m:sub>
                    <m:r>
                      <m:rPr>
                        <m:sty m:val="p"/>
                      </m:rPr>
                      <w:rPr>
                        <w:rFonts w:ascii="Cambria Math" w:hAnsi="Cambria Math" w:cs="Cambria Math"/>
                        <w:sz w:val="24"/>
                        <w:szCs w:val="24"/>
                        <w:highlight w:val="green"/>
                      </w:rPr>
                      <m:t>Si</m:t>
                    </m:r>
                    <m:sSub>
                      <m:sSubPr>
                        <m:ctrlPr>
                          <w:rPr>
                            <w:rFonts w:ascii="Cambria Math" w:hAnsi="Cambria Math"/>
                          </w:rPr>
                        </m:ctrlPr>
                      </m:sSubPr>
                      <m:e>
                        <m:r>
                          <m:rPr>
                            <m:sty m:val="p"/>
                          </m:rPr>
                          <w:rPr>
                            <w:rFonts w:ascii="Cambria Math" w:hAnsi="Cambria Math" w:cs="Cambria Math"/>
                            <w:sz w:val="24"/>
                            <w:szCs w:val="24"/>
                            <w:highlight w:val="green"/>
                          </w:rPr>
                          <m:t>O</m:t>
                        </m:r>
                      </m:e>
                      <m:sub>
                        <m:r>
                          <m:rPr>
                            <m:sty m:val="p"/>
                          </m:rPr>
                          <w:rPr>
                            <w:rFonts w:ascii="Cambria Math" w:hAnsi="Cambria Math" w:cs="Cambria Math"/>
                            <w:sz w:val="24"/>
                            <w:szCs w:val="24"/>
                            <w:highlight w:val="green"/>
                          </w:rPr>
                          <m:t>2</m:t>
                        </m:r>
                      </m:sub>
                    </m:sSub>
                  </m:sub>
                </m:sSub>
              </m:num>
              <m:den>
                <m:sSub>
                  <m:sSubPr>
                    <m:ctrlPr>
                      <w:rPr>
                        <w:rFonts w:ascii="Cambria Math" w:hAnsi="Cambria Math"/>
                      </w:rPr>
                    </m:ctrlPr>
                  </m:sSubPr>
                  <m:e>
                    <m:r>
                      <w:rPr>
                        <w:rFonts w:ascii="Cambria Math" w:hAnsi="Cambria Math" w:cs="Cambria Math"/>
                        <w:sz w:val="24"/>
                        <w:szCs w:val="24"/>
                        <w:highlight w:val="green"/>
                      </w:rPr>
                      <m:t>M</m:t>
                    </m:r>
                  </m:e>
                  <m:sub>
                    <m:r>
                      <m:rPr>
                        <m:sty m:val="p"/>
                      </m:rPr>
                      <w:rPr>
                        <w:rFonts w:ascii="Cambria Math" w:hAnsi="Cambria Math" w:cs="Cambria Math"/>
                        <w:sz w:val="24"/>
                        <w:szCs w:val="24"/>
                        <w:highlight w:val="green"/>
                      </w:rPr>
                      <m:t>Si</m:t>
                    </m:r>
                    <m:sSub>
                      <m:sSubPr>
                        <m:ctrlPr>
                          <w:rPr>
                            <w:rFonts w:ascii="Cambria Math" w:hAnsi="Cambria Math"/>
                          </w:rPr>
                        </m:ctrlPr>
                      </m:sSubPr>
                      <m:e>
                        <m:r>
                          <m:rPr>
                            <m:sty m:val="p"/>
                          </m:rPr>
                          <w:rPr>
                            <w:rFonts w:ascii="Cambria Math" w:hAnsi="Cambria Math" w:cs="Cambria Math"/>
                            <w:sz w:val="24"/>
                            <w:szCs w:val="24"/>
                            <w:highlight w:val="green"/>
                          </w:rPr>
                          <m:t>O</m:t>
                        </m:r>
                      </m:e>
                      <m:sub>
                        <m:r>
                          <m:rPr>
                            <m:sty m:val="p"/>
                          </m:rPr>
                          <w:rPr>
                            <w:rFonts w:ascii="Cambria Math" w:hAnsi="Cambria Math" w:cs="Cambria Math"/>
                            <w:sz w:val="24"/>
                            <w:szCs w:val="24"/>
                            <w:highlight w:val="green"/>
                          </w:rPr>
                          <m:t>2</m:t>
                        </m:r>
                      </m:sub>
                    </m:sSub>
                  </m:sub>
                </m:sSub>
              </m:den>
            </m:f>
            <m:r>
              <m:rPr>
                <m:sty m:val="p"/>
              </m:rPr>
              <w:rPr>
                <w:rFonts w:ascii="Cambria Math" w:hAnsi="Cambria Math" w:cs="Cambria Math"/>
                <w:sz w:val="24"/>
                <w:szCs w:val="24"/>
                <w:highlight w:val="green"/>
              </w:rPr>
              <m:t>+</m:t>
            </m:r>
            <m:f>
              <m:fPr>
                <m:type m:val="lin"/>
                <m:ctrlPr>
                  <w:rPr>
                    <w:rFonts w:ascii="Cambria Math" w:hAnsi="Cambria Math"/>
                  </w:rPr>
                </m:ctrlPr>
              </m:fPr>
              <m:num>
                <m:r>
                  <m:rPr>
                    <m:sty m:val="p"/>
                  </m:rPr>
                  <w:rPr>
                    <w:rFonts w:ascii="Cambria Math" w:hAnsi="Cambria Math" w:cs="Cambria Math"/>
                    <w:sz w:val="24"/>
                    <w:szCs w:val="24"/>
                    <w:highlight w:val="green"/>
                  </w:rPr>
                  <m:t>2</m:t>
                </m:r>
                <m:sSub>
                  <m:sSubPr>
                    <m:ctrlPr>
                      <w:rPr>
                        <w:rFonts w:ascii="Cambria Math" w:hAnsi="Cambria Math"/>
                      </w:rPr>
                    </m:ctrlPr>
                  </m:sSubPr>
                  <m:e>
                    <m:r>
                      <w:rPr>
                        <w:rFonts w:ascii="Cambria Math" w:hAnsi="Cambria Math" w:cs="Cambria Math"/>
                        <w:sz w:val="24"/>
                        <w:szCs w:val="24"/>
                        <w:highlight w:val="green"/>
                      </w:rPr>
                      <m:t>m</m:t>
                    </m:r>
                  </m:e>
                  <m:sub>
                    <m:r>
                      <m:rPr>
                        <m:sty m:val="p"/>
                      </m:rPr>
                      <w:rPr>
                        <w:rFonts w:ascii="Cambria Math" w:hAnsi="Cambria Math" w:cs="Cambria Math"/>
                        <w:sz w:val="24"/>
                        <w:szCs w:val="24"/>
                        <w:highlight w:val="green"/>
                      </w:rPr>
                      <m:t>MK</m:t>
                    </m:r>
                  </m:sub>
                </m:sSub>
                <m:sSub>
                  <m:sSubPr>
                    <m:ctrlPr>
                      <w:rPr>
                        <w:rFonts w:ascii="Cambria Math" w:hAnsi="Cambria Math"/>
                      </w:rPr>
                    </m:ctrlPr>
                  </m:sSubPr>
                  <m:e>
                    <m:r>
                      <w:rPr>
                        <w:rFonts w:ascii="Cambria Math" w:hAnsi="Cambria Math" w:cs="Cambria Math"/>
                        <w:sz w:val="24"/>
                        <w:szCs w:val="24"/>
                        <w:highlight w:val="green"/>
                      </w:rPr>
                      <m:t>w</m:t>
                    </m:r>
                  </m:e>
                  <m:sub>
                    <m:sSub>
                      <m:sSubPr>
                        <m:ctrlPr>
                          <w:rPr>
                            <w:rFonts w:ascii="Cambria Math" w:hAnsi="Cambria Math"/>
                          </w:rPr>
                        </m:ctrlPr>
                      </m:sSubPr>
                      <m:e>
                        <m:r>
                          <m:rPr>
                            <m:sty m:val="p"/>
                          </m:rPr>
                          <w:rPr>
                            <w:rFonts w:ascii="Cambria Math" w:hAnsi="Cambria Math" w:cs="Cambria Math"/>
                            <w:sz w:val="24"/>
                            <w:szCs w:val="24"/>
                            <w:highlight w:val="green"/>
                          </w:rPr>
                          <m:t>Al</m:t>
                        </m:r>
                      </m:e>
                      <m:sub>
                        <m:r>
                          <m:rPr>
                            <m:sty m:val="p"/>
                          </m:rPr>
                          <w:rPr>
                            <w:rFonts w:ascii="Cambria Math" w:hAnsi="Cambria Math" w:cs="Cambria Math"/>
                            <w:sz w:val="24"/>
                            <w:szCs w:val="24"/>
                            <w:highlight w:val="green"/>
                          </w:rPr>
                          <m:t>2</m:t>
                        </m:r>
                      </m:sub>
                    </m:sSub>
                    <m:sSub>
                      <m:sSubPr>
                        <m:ctrlPr>
                          <w:rPr>
                            <w:rFonts w:ascii="Cambria Math" w:hAnsi="Cambria Math"/>
                          </w:rPr>
                        </m:ctrlPr>
                      </m:sSubPr>
                      <m:e>
                        <m:r>
                          <m:rPr>
                            <m:sty m:val="p"/>
                          </m:rPr>
                          <w:rPr>
                            <w:rFonts w:ascii="Cambria Math" w:hAnsi="Cambria Math" w:cs="Cambria Math"/>
                            <w:sz w:val="24"/>
                            <w:szCs w:val="24"/>
                            <w:highlight w:val="green"/>
                          </w:rPr>
                          <m:t>O</m:t>
                        </m:r>
                      </m:e>
                      <m:sub>
                        <m:r>
                          <m:rPr>
                            <m:sty m:val="p"/>
                          </m:rPr>
                          <w:rPr>
                            <w:rFonts w:ascii="Cambria Math" w:hAnsi="Cambria Math" w:cs="Cambria Math"/>
                            <w:sz w:val="24"/>
                            <w:szCs w:val="24"/>
                            <w:highlight w:val="green"/>
                          </w:rPr>
                          <m:t>3</m:t>
                        </m:r>
                      </m:sub>
                    </m:sSub>
                  </m:sub>
                </m:sSub>
              </m:num>
              <m:den>
                <m:sSub>
                  <m:sSubPr>
                    <m:ctrlPr>
                      <w:rPr>
                        <w:rFonts w:ascii="Cambria Math" w:hAnsi="Cambria Math"/>
                      </w:rPr>
                    </m:ctrlPr>
                  </m:sSubPr>
                  <m:e>
                    <m:r>
                      <w:rPr>
                        <w:rFonts w:ascii="Cambria Math" w:hAnsi="Cambria Math" w:cs="Cambria Math"/>
                        <w:sz w:val="24"/>
                        <w:szCs w:val="24"/>
                        <w:highlight w:val="green"/>
                      </w:rPr>
                      <m:t>M</m:t>
                    </m:r>
                  </m:e>
                  <m:sub>
                    <m:sSub>
                      <m:sSubPr>
                        <m:ctrlPr>
                          <w:rPr>
                            <w:rFonts w:ascii="Cambria Math" w:hAnsi="Cambria Math"/>
                          </w:rPr>
                        </m:ctrlPr>
                      </m:sSubPr>
                      <m:e>
                        <m:r>
                          <m:rPr>
                            <m:sty m:val="p"/>
                          </m:rPr>
                          <w:rPr>
                            <w:rFonts w:ascii="Cambria Math" w:hAnsi="Cambria Math" w:cs="Cambria Math"/>
                            <w:sz w:val="24"/>
                            <w:szCs w:val="24"/>
                            <w:highlight w:val="green"/>
                          </w:rPr>
                          <m:t>Al</m:t>
                        </m:r>
                      </m:e>
                      <m:sub>
                        <m:r>
                          <m:rPr>
                            <m:sty m:val="p"/>
                          </m:rPr>
                          <w:rPr>
                            <w:rFonts w:ascii="Cambria Math" w:hAnsi="Cambria Math" w:cs="Cambria Math"/>
                            <w:sz w:val="24"/>
                            <w:szCs w:val="24"/>
                            <w:highlight w:val="green"/>
                          </w:rPr>
                          <m:t>2</m:t>
                        </m:r>
                      </m:sub>
                    </m:sSub>
                    <m:sSub>
                      <m:sSubPr>
                        <m:ctrlPr>
                          <w:rPr>
                            <w:rFonts w:ascii="Cambria Math" w:hAnsi="Cambria Math"/>
                          </w:rPr>
                        </m:ctrlPr>
                      </m:sSubPr>
                      <m:e>
                        <m:r>
                          <m:rPr>
                            <m:sty m:val="p"/>
                          </m:rPr>
                          <w:rPr>
                            <w:rFonts w:ascii="Cambria Math" w:hAnsi="Cambria Math" w:cs="Cambria Math"/>
                            <w:sz w:val="24"/>
                            <w:szCs w:val="24"/>
                            <w:highlight w:val="green"/>
                          </w:rPr>
                          <m:t>O</m:t>
                        </m:r>
                      </m:e>
                      <m:sub>
                        <m:r>
                          <m:rPr>
                            <m:sty m:val="p"/>
                          </m:rPr>
                          <w:rPr>
                            <w:rFonts w:ascii="Cambria Math" w:hAnsi="Cambria Math" w:cs="Cambria Math"/>
                            <w:sz w:val="24"/>
                            <w:szCs w:val="24"/>
                            <w:highlight w:val="green"/>
                          </w:rPr>
                          <m:t>3</m:t>
                        </m:r>
                      </m:sub>
                    </m:sSub>
                  </m:sub>
                </m:sSub>
              </m:den>
            </m:f>
          </m:den>
        </m:f>
      </m:oMath>
      <w:r>
        <w:rPr>
          <w:rFonts w:ascii="Times New Roman" w:hAnsi="Times New Roman" w:cs="Times New Roman"/>
          <w:sz w:val="24"/>
          <w:szCs w:val="24"/>
          <w:highlight w:val="green"/>
        </w:rPr>
        <w:tab/>
        <w:t>(3)</w:t>
      </w:r>
    </w:p>
    <w:p w14:paraId="662DEB19" w14:textId="77777777" w:rsidR="00B06580" w:rsidRPr="003E0CF1" w:rsidRDefault="00000000" w:rsidP="00F9519E">
      <w:pPr>
        <w:keepNext/>
        <w:jc w:val="both"/>
        <w:rPr>
          <w:rFonts w:ascii="Times New Roman" w:hAnsi="Times New Roman" w:cs="Times New Roman"/>
          <w:sz w:val="24"/>
          <w:szCs w:val="24"/>
        </w:rPr>
      </w:pPr>
      <w:r>
        <w:rPr>
          <w:rFonts w:ascii="Times New Roman" w:hAnsi="Times New Roman" w:cs="Times New Roman"/>
          <w:b/>
          <w:bCs/>
          <w:i/>
          <w:iCs/>
          <w:sz w:val="24"/>
          <w:szCs w:val="24"/>
          <w:highlight w:val="green"/>
        </w:rPr>
        <w:t>3.12.2 Physical and thermal relations</w:t>
      </w:r>
    </w:p>
    <w:p w14:paraId="0AA10350"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 xml:space="preserve">Apparent porosity </w:t>
      </w:r>
      <w:r>
        <w:rPr>
          <w:rFonts w:ascii="Times New Roman" w:hAnsi="Times New Roman" w:cs="Times New Roman"/>
          <w:i/>
          <w:iCs/>
          <w:sz w:val="24"/>
          <w:szCs w:val="24"/>
          <w:highlight w:val="green"/>
        </w:rPr>
        <w:t>P</w:t>
      </w:r>
      <w:r>
        <w:rPr>
          <w:rFonts w:ascii="Times New Roman" w:hAnsi="Times New Roman" w:cs="Times New Roman"/>
          <w:sz w:val="24"/>
          <w:szCs w:val="24"/>
          <w:highlight w:val="green"/>
        </w:rPr>
        <w:t xml:space="preserve"> (volume fraction) and mass-based water absorption </w:t>
      </w:r>
      <w:r>
        <w:rPr>
          <w:rFonts w:ascii="Times New Roman" w:hAnsi="Times New Roman" w:cs="Times New Roman"/>
          <w:i/>
          <w:iCs/>
          <w:sz w:val="24"/>
          <w:szCs w:val="24"/>
          <w:highlight w:val="green"/>
        </w:rPr>
        <w:t>WA</w:t>
      </w:r>
      <w:r>
        <w:rPr>
          <w:rFonts w:ascii="Times New Roman" w:hAnsi="Times New Roman" w:cs="Times New Roman"/>
          <w:sz w:val="24"/>
          <w:szCs w:val="24"/>
          <w:highlight w:val="green"/>
        </w:rPr>
        <w:t xml:space="preserve"> (mass fraction) are linked through the dry bulk density </w:t>
      </w:r>
      <w:proofErr w:type="spellStart"/>
      <w:r>
        <w:rPr>
          <w:rFonts w:ascii="Times New Roman" w:hAnsi="Times New Roman" w:cs="Times New Roman"/>
          <w:sz w:val="24"/>
          <w:szCs w:val="24"/>
          <w:highlight w:val="green"/>
        </w:rPr>
        <w:t>ρ</w:t>
      </w:r>
      <w:r>
        <w:rPr>
          <w:rFonts w:ascii="Times New Roman" w:hAnsi="Times New Roman" w:cs="Times New Roman"/>
          <w:sz w:val="24"/>
          <w:szCs w:val="24"/>
          <w:highlight w:val="green"/>
          <w:vertAlign w:val="subscript"/>
        </w:rPr>
        <w:t>d</w:t>
      </w:r>
      <w:proofErr w:type="spellEnd"/>
      <w:r>
        <w:rPr>
          <w:rFonts w:ascii="Times New Roman" w:hAnsi="Times New Roman" w:cs="Times New Roman"/>
          <w:sz w:val="24"/>
          <w:szCs w:val="24"/>
          <w:highlight w:val="green"/>
        </w:rPr>
        <w:t xml:space="preserve"> and the density of water </w:t>
      </w:r>
      <w:proofErr w:type="spellStart"/>
      <w:r>
        <w:rPr>
          <w:rFonts w:ascii="Times New Roman" w:hAnsi="Times New Roman" w:cs="Times New Roman"/>
          <w:sz w:val="24"/>
          <w:szCs w:val="24"/>
          <w:highlight w:val="green"/>
        </w:rPr>
        <w:t>ρ</w:t>
      </w:r>
      <w:r>
        <w:rPr>
          <w:rFonts w:ascii="Times New Roman" w:hAnsi="Times New Roman" w:cs="Times New Roman"/>
          <w:sz w:val="24"/>
          <w:szCs w:val="24"/>
          <w:highlight w:val="green"/>
          <w:vertAlign w:val="subscript"/>
        </w:rPr>
        <w:t>w</w:t>
      </w:r>
      <w:proofErr w:type="spellEnd"/>
      <w:r>
        <w:rPr>
          <w:rFonts w:ascii="Times New Roman" w:hAnsi="Times New Roman" w:cs="Times New Roman"/>
          <w:sz w:val="24"/>
          <w:szCs w:val="24"/>
          <w:highlight w:val="green"/>
        </w:rPr>
        <w:t xml:space="preserve">, Eq. (4); this relation is used in Section 4.13 as an internal-consistency check. The decline of strength with porosity in brittle porous solids is commonly described by an exponential relation of the </w:t>
      </w:r>
      <w:proofErr w:type="spellStart"/>
      <w:r>
        <w:rPr>
          <w:rFonts w:ascii="Times New Roman" w:hAnsi="Times New Roman" w:cs="Times New Roman"/>
          <w:sz w:val="24"/>
          <w:szCs w:val="24"/>
          <w:highlight w:val="green"/>
        </w:rPr>
        <w:t>Ryshkewitch</w:t>
      </w:r>
      <w:proofErr w:type="spellEnd"/>
      <w:r>
        <w:rPr>
          <w:rFonts w:ascii="Times New Roman" w:hAnsi="Times New Roman" w:cs="Times New Roman"/>
          <w:sz w:val="24"/>
          <w:szCs w:val="24"/>
          <w:highlight w:val="green"/>
        </w:rPr>
        <w:t xml:space="preserve"> type [22], Eq. (5), where </w:t>
      </w:r>
      <w:r>
        <w:rPr>
          <w:rFonts w:ascii="Times New Roman" w:hAnsi="Times New Roman" w:cs="Times New Roman"/>
          <w:i/>
          <w:iCs/>
          <w:sz w:val="24"/>
          <w:szCs w:val="24"/>
          <w:highlight w:val="green"/>
        </w:rPr>
        <w:t>y</w:t>
      </w:r>
      <w:r>
        <w:rPr>
          <w:rFonts w:ascii="Times New Roman" w:hAnsi="Times New Roman" w:cs="Times New Roman"/>
          <w:sz w:val="24"/>
          <w:szCs w:val="24"/>
          <w:highlight w:val="green"/>
        </w:rPr>
        <w:t xml:space="preserve"> is a strength-type property, </w:t>
      </w:r>
      <w:r>
        <w:rPr>
          <w:rFonts w:ascii="Times New Roman" w:hAnsi="Times New Roman" w:cs="Times New Roman"/>
          <w:i/>
          <w:iCs/>
          <w:sz w:val="24"/>
          <w:szCs w:val="24"/>
          <w:highlight w:val="green"/>
        </w:rPr>
        <w:t>y</w:t>
      </w:r>
      <w:r>
        <w:rPr>
          <w:rFonts w:ascii="Times New Roman" w:hAnsi="Times New Roman" w:cs="Times New Roman"/>
          <w:sz w:val="24"/>
          <w:szCs w:val="24"/>
          <w:highlight w:val="green"/>
          <w:vertAlign w:val="subscript"/>
        </w:rPr>
        <w:t>0</w:t>
      </w:r>
      <w:r>
        <w:rPr>
          <w:rFonts w:ascii="Times New Roman" w:hAnsi="Times New Roman" w:cs="Times New Roman"/>
          <w:sz w:val="24"/>
          <w:szCs w:val="24"/>
          <w:highlight w:val="green"/>
        </w:rPr>
        <w:t xml:space="preserve"> is a fitting constant and </w:t>
      </w:r>
      <w:r>
        <w:rPr>
          <w:rFonts w:ascii="Times New Roman" w:hAnsi="Times New Roman" w:cs="Times New Roman"/>
          <w:i/>
          <w:iCs/>
          <w:sz w:val="24"/>
          <w:szCs w:val="24"/>
          <w:highlight w:val="green"/>
        </w:rPr>
        <w:t>b</w:t>
      </w:r>
      <w:r>
        <w:rPr>
          <w:rFonts w:ascii="Times New Roman" w:hAnsi="Times New Roman" w:cs="Times New Roman"/>
          <w:sz w:val="24"/>
          <w:szCs w:val="24"/>
          <w:highlight w:val="green"/>
        </w:rPr>
        <w:t xml:space="preserve"> is an empirical coefficient. Because the measured porosity range is narrow, </w:t>
      </w:r>
      <w:r>
        <w:rPr>
          <w:rFonts w:ascii="Times New Roman" w:hAnsi="Times New Roman" w:cs="Times New Roman"/>
          <w:i/>
          <w:iCs/>
          <w:sz w:val="24"/>
          <w:szCs w:val="24"/>
          <w:highlight w:val="green"/>
        </w:rPr>
        <w:t>y</w:t>
      </w:r>
      <w:r>
        <w:rPr>
          <w:rFonts w:ascii="Times New Roman" w:hAnsi="Times New Roman" w:cs="Times New Roman"/>
          <w:sz w:val="24"/>
          <w:szCs w:val="24"/>
          <w:highlight w:val="green"/>
          <w:vertAlign w:val="subscript"/>
        </w:rPr>
        <w:t>0</w:t>
      </w:r>
      <w:r>
        <w:rPr>
          <w:rFonts w:ascii="Times New Roman" w:hAnsi="Times New Roman" w:cs="Times New Roman"/>
          <w:sz w:val="24"/>
          <w:szCs w:val="24"/>
          <w:highlight w:val="green"/>
        </w:rPr>
        <w:t xml:space="preserve"> is a fitting constant and not the strength of a pore-free matrix. Thermal diffusivity is related to conductivity </w:t>
      </w:r>
      <w:r>
        <w:rPr>
          <w:rFonts w:ascii="Times New Roman" w:hAnsi="Times New Roman" w:cs="Times New Roman"/>
          <w:i/>
          <w:iCs/>
          <w:sz w:val="24"/>
          <w:szCs w:val="24"/>
          <w:highlight w:val="green"/>
        </w:rPr>
        <w:t>k</w:t>
      </w:r>
      <w:r>
        <w:rPr>
          <w:rFonts w:ascii="Times New Roman" w:hAnsi="Times New Roman" w:cs="Times New Roman"/>
          <w:sz w:val="24"/>
          <w:szCs w:val="24"/>
          <w:highlight w:val="green"/>
        </w:rPr>
        <w:t xml:space="preserve">, density ρ and specific heat </w:t>
      </w:r>
      <w:r>
        <w:rPr>
          <w:rFonts w:ascii="Times New Roman" w:hAnsi="Times New Roman" w:cs="Times New Roman"/>
          <w:i/>
          <w:iCs/>
          <w:sz w:val="24"/>
          <w:szCs w:val="24"/>
          <w:highlight w:val="green"/>
        </w:rPr>
        <w:t>c</w:t>
      </w:r>
      <w:r>
        <w:rPr>
          <w:rFonts w:ascii="Times New Roman" w:hAnsi="Times New Roman" w:cs="Times New Roman"/>
          <w:sz w:val="24"/>
          <w:szCs w:val="24"/>
          <w:highlight w:val="green"/>
          <w:vertAlign w:val="subscript"/>
        </w:rPr>
        <w:t>p</w:t>
      </w:r>
      <w:r>
        <w:rPr>
          <w:rFonts w:ascii="Times New Roman" w:hAnsi="Times New Roman" w:cs="Times New Roman"/>
          <w:sz w:val="24"/>
          <w:szCs w:val="24"/>
          <w:highlight w:val="green"/>
        </w:rPr>
        <w:t xml:space="preserve"> by Eq. (6).</w:t>
      </w:r>
    </w:p>
    <w:p w14:paraId="5E08D6BF" w14:textId="77777777" w:rsidR="00B06580" w:rsidRPr="003E0CF1" w:rsidRDefault="00000000" w:rsidP="00F9519E">
      <w:pPr>
        <w:tabs>
          <w:tab w:val="center" w:pos="4513"/>
          <w:tab w:val="right" w:pos="9026"/>
        </w:tabs>
        <w:jc w:val="both"/>
        <w:rPr>
          <w:rFonts w:ascii="Times New Roman" w:hAnsi="Times New Roman" w:cs="Times New Roman"/>
          <w:sz w:val="24"/>
          <w:szCs w:val="24"/>
        </w:rPr>
      </w:pPr>
      <w:r>
        <w:rPr>
          <w:rFonts w:ascii="Times New Roman" w:hAnsi="Times New Roman" w:cs="Times New Roman"/>
          <w:sz w:val="24"/>
          <w:szCs w:val="24"/>
          <w:highlight w:val="green"/>
        </w:rPr>
        <w:tab/>
      </w:r>
      <m:oMath>
        <m:r>
          <w:rPr>
            <w:rFonts w:ascii="Cambria Math" w:hAnsi="Cambria Math" w:cs="Cambria Math"/>
            <w:sz w:val="24"/>
            <w:szCs w:val="24"/>
            <w:highlight w:val="green"/>
          </w:rPr>
          <m:t>P</m:t>
        </m:r>
        <m:r>
          <m:rPr>
            <m:sty m:val="p"/>
          </m:rPr>
          <w:rPr>
            <w:rFonts w:ascii="Cambria Math" w:hAnsi="Cambria Math" w:cs="Cambria Math"/>
            <w:sz w:val="24"/>
            <w:szCs w:val="24"/>
            <w:highlight w:val="green"/>
          </w:rPr>
          <m:t>≈</m:t>
        </m:r>
        <m:r>
          <w:rPr>
            <w:rFonts w:ascii="Cambria Math" w:hAnsi="Cambria Math" w:cs="Cambria Math"/>
            <w:sz w:val="24"/>
            <w:szCs w:val="24"/>
            <w:highlight w:val="green"/>
          </w:rPr>
          <m:t>WA</m:t>
        </m:r>
        <m:r>
          <m:rPr>
            <m:sty m:val="p"/>
          </m:rPr>
          <w:rPr>
            <w:rFonts w:ascii="Cambria Math" w:hAnsi="Cambria Math" w:cs="Cambria Math"/>
            <w:sz w:val="24"/>
            <w:szCs w:val="24"/>
            <w:highlight w:val="green"/>
          </w:rPr>
          <m:t>·</m:t>
        </m:r>
        <m:f>
          <m:fPr>
            <m:ctrlPr>
              <w:rPr>
                <w:rFonts w:ascii="Cambria Math" w:hAnsi="Cambria Math"/>
              </w:rPr>
            </m:ctrlPr>
          </m:fPr>
          <m:num>
            <m:sSub>
              <m:sSubPr>
                <m:ctrlPr>
                  <w:rPr>
                    <w:rFonts w:ascii="Cambria Math" w:hAnsi="Cambria Math"/>
                  </w:rPr>
                </m:ctrlPr>
              </m:sSubPr>
              <m:e>
                <m:r>
                  <w:rPr>
                    <w:rFonts w:ascii="Cambria Math" w:hAnsi="Cambria Math" w:cs="Cambria Math"/>
                    <w:sz w:val="24"/>
                    <w:szCs w:val="24"/>
                    <w:highlight w:val="green"/>
                  </w:rPr>
                  <m:t>ρ</m:t>
                </m:r>
              </m:e>
              <m:sub>
                <m:r>
                  <m:rPr>
                    <m:sty m:val="p"/>
                  </m:rPr>
                  <w:rPr>
                    <w:rFonts w:ascii="Cambria Math" w:hAnsi="Cambria Math" w:cs="Cambria Math"/>
                    <w:sz w:val="24"/>
                    <w:szCs w:val="24"/>
                    <w:highlight w:val="green"/>
                  </w:rPr>
                  <m:t>d</m:t>
                </m:r>
              </m:sub>
            </m:sSub>
          </m:num>
          <m:den>
            <m:sSub>
              <m:sSubPr>
                <m:ctrlPr>
                  <w:rPr>
                    <w:rFonts w:ascii="Cambria Math" w:hAnsi="Cambria Math"/>
                  </w:rPr>
                </m:ctrlPr>
              </m:sSubPr>
              <m:e>
                <m:r>
                  <w:rPr>
                    <w:rFonts w:ascii="Cambria Math" w:hAnsi="Cambria Math" w:cs="Cambria Math"/>
                    <w:sz w:val="24"/>
                    <w:szCs w:val="24"/>
                    <w:highlight w:val="green"/>
                  </w:rPr>
                  <m:t>ρ</m:t>
                </m:r>
              </m:e>
              <m:sub>
                <m:r>
                  <m:rPr>
                    <m:sty m:val="p"/>
                  </m:rPr>
                  <w:rPr>
                    <w:rFonts w:ascii="Cambria Math" w:hAnsi="Cambria Math" w:cs="Cambria Math"/>
                    <w:sz w:val="24"/>
                    <w:szCs w:val="24"/>
                    <w:highlight w:val="green"/>
                  </w:rPr>
                  <m:t>w</m:t>
                </m:r>
              </m:sub>
            </m:sSub>
          </m:den>
        </m:f>
      </m:oMath>
      <w:r>
        <w:rPr>
          <w:rFonts w:ascii="Times New Roman" w:hAnsi="Times New Roman" w:cs="Times New Roman"/>
          <w:sz w:val="24"/>
          <w:szCs w:val="24"/>
          <w:highlight w:val="green"/>
        </w:rPr>
        <w:tab/>
        <w:t>(4)</w:t>
      </w:r>
    </w:p>
    <w:p w14:paraId="1423508E" w14:textId="77777777" w:rsidR="00B06580" w:rsidRPr="003E0CF1" w:rsidRDefault="00000000" w:rsidP="00F9519E">
      <w:pPr>
        <w:tabs>
          <w:tab w:val="center" w:pos="4513"/>
          <w:tab w:val="right" w:pos="9026"/>
        </w:tabs>
        <w:jc w:val="both"/>
        <w:rPr>
          <w:rFonts w:ascii="Times New Roman" w:hAnsi="Times New Roman" w:cs="Times New Roman"/>
          <w:sz w:val="24"/>
          <w:szCs w:val="24"/>
        </w:rPr>
      </w:pPr>
      <w:r>
        <w:rPr>
          <w:rFonts w:ascii="Times New Roman" w:hAnsi="Times New Roman" w:cs="Times New Roman"/>
          <w:sz w:val="24"/>
          <w:szCs w:val="24"/>
          <w:highlight w:val="green"/>
        </w:rPr>
        <w:tab/>
      </w:r>
      <m:oMath>
        <m:r>
          <w:rPr>
            <w:rFonts w:ascii="Cambria Math" w:hAnsi="Cambria Math" w:cs="Cambria Math"/>
            <w:sz w:val="24"/>
            <w:szCs w:val="24"/>
            <w:highlight w:val="green"/>
          </w:rPr>
          <m:t>y</m:t>
        </m:r>
        <m:r>
          <m:rPr>
            <m:sty m:val="p"/>
          </m:rPr>
          <w:rPr>
            <w:rFonts w:ascii="Cambria Math" w:hAnsi="Cambria Math" w:cs="Cambria Math"/>
            <w:sz w:val="24"/>
            <w:szCs w:val="24"/>
            <w:highlight w:val="green"/>
          </w:rPr>
          <m:t>=</m:t>
        </m:r>
        <m:sSub>
          <m:sSubPr>
            <m:ctrlPr>
              <w:rPr>
                <w:rFonts w:ascii="Cambria Math" w:hAnsi="Cambria Math"/>
              </w:rPr>
            </m:ctrlPr>
          </m:sSubPr>
          <m:e>
            <m:r>
              <w:rPr>
                <w:rFonts w:ascii="Cambria Math" w:hAnsi="Cambria Math" w:cs="Cambria Math"/>
                <w:sz w:val="24"/>
                <w:szCs w:val="24"/>
                <w:highlight w:val="green"/>
              </w:rPr>
              <m:t>y</m:t>
            </m:r>
          </m:e>
          <m:sub>
            <m:r>
              <m:rPr>
                <m:sty m:val="p"/>
              </m:rPr>
              <w:rPr>
                <w:rFonts w:ascii="Cambria Math" w:hAnsi="Cambria Math" w:cs="Cambria Math"/>
                <w:sz w:val="24"/>
                <w:szCs w:val="24"/>
                <w:highlight w:val="green"/>
              </w:rPr>
              <m:t>0</m:t>
            </m:r>
          </m:sub>
        </m:sSub>
        <m:func>
          <m:funcPr>
            <m:ctrlPr>
              <w:rPr>
                <w:rFonts w:ascii="Cambria Math" w:hAnsi="Cambria Math"/>
              </w:rPr>
            </m:ctrlPr>
          </m:funcPr>
          <m:fName>
            <m:r>
              <m:rPr>
                <m:sty m:val="p"/>
              </m:rPr>
              <w:rPr>
                <w:rFonts w:ascii="Cambria Math" w:hAnsi="Cambria Math" w:cs="Cambria Math"/>
                <w:sz w:val="24"/>
                <w:szCs w:val="24"/>
                <w:highlight w:val="green"/>
              </w:rPr>
              <m:t>exp</m:t>
            </m:r>
          </m:fName>
          <m:e>
            <m:d>
              <m:dPr>
                <m:ctrlPr>
                  <w:rPr>
                    <w:rFonts w:ascii="Cambria Math" w:hAnsi="Cambria Math"/>
                  </w:rPr>
                </m:ctrlPr>
              </m:dPr>
              <m:e>
                <m:r>
                  <m:rPr>
                    <m:sty m:val="p"/>
                  </m:rPr>
                  <w:rPr>
                    <w:rFonts w:ascii="Cambria Math" w:hAnsi="Cambria Math" w:cs="Cambria Math"/>
                    <w:sz w:val="24"/>
                    <w:szCs w:val="24"/>
                    <w:highlight w:val="green"/>
                  </w:rPr>
                  <m:t>-</m:t>
                </m:r>
                <m:r>
                  <w:rPr>
                    <w:rFonts w:ascii="Cambria Math" w:hAnsi="Cambria Math" w:cs="Cambria Math"/>
                    <w:sz w:val="24"/>
                    <w:szCs w:val="24"/>
                    <w:highlight w:val="green"/>
                  </w:rPr>
                  <m:t>bP</m:t>
                </m:r>
              </m:e>
            </m:d>
          </m:e>
        </m:func>
      </m:oMath>
      <w:r>
        <w:rPr>
          <w:rFonts w:ascii="Times New Roman" w:hAnsi="Times New Roman" w:cs="Times New Roman"/>
          <w:sz w:val="24"/>
          <w:szCs w:val="24"/>
          <w:highlight w:val="green"/>
        </w:rPr>
        <w:tab/>
        <w:t>(5)</w:t>
      </w:r>
    </w:p>
    <w:p w14:paraId="29D61208" w14:textId="77777777" w:rsidR="00B06580" w:rsidRPr="003E0CF1" w:rsidRDefault="00000000" w:rsidP="00F9519E">
      <w:pPr>
        <w:tabs>
          <w:tab w:val="center" w:pos="4513"/>
          <w:tab w:val="right" w:pos="9026"/>
        </w:tabs>
        <w:jc w:val="both"/>
        <w:rPr>
          <w:rFonts w:ascii="Times New Roman" w:hAnsi="Times New Roman" w:cs="Times New Roman"/>
          <w:sz w:val="24"/>
          <w:szCs w:val="24"/>
        </w:rPr>
      </w:pPr>
      <w:r>
        <w:rPr>
          <w:rFonts w:ascii="Times New Roman" w:hAnsi="Times New Roman" w:cs="Times New Roman"/>
          <w:sz w:val="24"/>
          <w:szCs w:val="24"/>
          <w:highlight w:val="green"/>
        </w:rPr>
        <w:tab/>
      </w:r>
      <m:oMath>
        <m:r>
          <w:rPr>
            <w:rFonts w:ascii="Cambria Math" w:hAnsi="Cambria Math" w:cs="Cambria Math"/>
            <w:sz w:val="24"/>
            <w:szCs w:val="24"/>
            <w:highlight w:val="green"/>
          </w:rPr>
          <m:t>α</m:t>
        </m:r>
        <m:r>
          <m:rPr>
            <m:sty m:val="p"/>
          </m:rPr>
          <w:rPr>
            <w:rFonts w:ascii="Cambria Math" w:hAnsi="Cambria Math" w:cs="Cambria Math"/>
            <w:sz w:val="24"/>
            <w:szCs w:val="24"/>
            <w:highlight w:val="green"/>
          </w:rPr>
          <m:t>=</m:t>
        </m:r>
        <m:f>
          <m:fPr>
            <m:ctrlPr>
              <w:rPr>
                <w:rFonts w:ascii="Cambria Math" w:hAnsi="Cambria Math"/>
              </w:rPr>
            </m:ctrlPr>
          </m:fPr>
          <m:num>
            <m:r>
              <w:rPr>
                <w:rFonts w:ascii="Cambria Math" w:hAnsi="Cambria Math" w:cs="Cambria Math"/>
                <w:sz w:val="24"/>
                <w:szCs w:val="24"/>
                <w:highlight w:val="green"/>
              </w:rPr>
              <m:t>k</m:t>
            </m:r>
          </m:num>
          <m:den>
            <m:r>
              <w:rPr>
                <w:rFonts w:ascii="Cambria Math" w:hAnsi="Cambria Math" w:cs="Cambria Math"/>
                <w:sz w:val="24"/>
                <w:szCs w:val="24"/>
                <w:highlight w:val="green"/>
              </w:rPr>
              <m:t>ρ</m:t>
            </m:r>
            <m:sSub>
              <m:sSubPr>
                <m:ctrlPr>
                  <w:rPr>
                    <w:rFonts w:ascii="Cambria Math" w:hAnsi="Cambria Math"/>
                  </w:rPr>
                </m:ctrlPr>
              </m:sSubPr>
              <m:e>
                <m:r>
                  <w:rPr>
                    <w:rFonts w:ascii="Cambria Math" w:hAnsi="Cambria Math" w:cs="Cambria Math"/>
                    <w:sz w:val="24"/>
                    <w:szCs w:val="24"/>
                    <w:highlight w:val="green"/>
                  </w:rPr>
                  <m:t>c</m:t>
                </m:r>
              </m:e>
              <m:sub>
                <m:r>
                  <m:rPr>
                    <m:sty m:val="p"/>
                  </m:rPr>
                  <w:rPr>
                    <w:rFonts w:ascii="Cambria Math" w:hAnsi="Cambria Math" w:cs="Cambria Math"/>
                    <w:sz w:val="24"/>
                    <w:szCs w:val="24"/>
                    <w:highlight w:val="green"/>
                  </w:rPr>
                  <m:t>p</m:t>
                </m:r>
              </m:sub>
            </m:sSub>
          </m:den>
        </m:f>
      </m:oMath>
      <w:r>
        <w:rPr>
          <w:rFonts w:ascii="Times New Roman" w:hAnsi="Times New Roman" w:cs="Times New Roman"/>
          <w:sz w:val="24"/>
          <w:szCs w:val="24"/>
          <w:highlight w:val="green"/>
        </w:rPr>
        <w:tab/>
        <w:t>(6)</w:t>
      </w:r>
    </w:p>
    <w:p w14:paraId="147E8A76" w14:textId="77777777" w:rsidR="00B06580" w:rsidRPr="003E0CF1" w:rsidRDefault="00000000" w:rsidP="00F9519E">
      <w:pPr>
        <w:keepNext/>
        <w:jc w:val="both"/>
        <w:rPr>
          <w:rFonts w:ascii="Times New Roman" w:hAnsi="Times New Roman" w:cs="Times New Roman"/>
          <w:sz w:val="24"/>
          <w:szCs w:val="24"/>
        </w:rPr>
      </w:pPr>
      <w:r>
        <w:rPr>
          <w:rFonts w:ascii="Times New Roman" w:hAnsi="Times New Roman" w:cs="Times New Roman"/>
          <w:b/>
          <w:bCs/>
          <w:i/>
          <w:iCs/>
          <w:sz w:val="24"/>
          <w:szCs w:val="24"/>
          <w:highlight w:val="green"/>
        </w:rPr>
        <w:t xml:space="preserve">3.12.3 Fracture energy and </w:t>
      </w:r>
      <w:proofErr w:type="spellStart"/>
      <w:r>
        <w:rPr>
          <w:rFonts w:ascii="Times New Roman" w:hAnsi="Times New Roman" w:cs="Times New Roman"/>
          <w:b/>
          <w:bCs/>
          <w:i/>
          <w:iCs/>
          <w:sz w:val="24"/>
          <w:szCs w:val="24"/>
          <w:highlight w:val="green"/>
        </w:rPr>
        <w:t>fibre</w:t>
      </w:r>
      <w:proofErr w:type="spellEnd"/>
      <w:r>
        <w:rPr>
          <w:rFonts w:ascii="Times New Roman" w:hAnsi="Times New Roman" w:cs="Times New Roman"/>
          <w:b/>
          <w:bCs/>
          <w:i/>
          <w:iCs/>
          <w:sz w:val="24"/>
          <w:szCs w:val="24"/>
          <w:highlight w:val="green"/>
        </w:rPr>
        <w:t xml:space="preserve"> bridging</w:t>
      </w:r>
    </w:p>
    <w:p w14:paraId="55928444"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 xml:space="preserve">The fracture energy </w:t>
      </w:r>
      <w:r>
        <w:rPr>
          <w:rFonts w:ascii="Times New Roman" w:hAnsi="Times New Roman" w:cs="Times New Roman"/>
          <w:i/>
          <w:iCs/>
          <w:sz w:val="24"/>
          <w:szCs w:val="24"/>
          <w:highlight w:val="green"/>
        </w:rPr>
        <w:t>G</w:t>
      </w:r>
      <w:r>
        <w:rPr>
          <w:rFonts w:ascii="Times New Roman" w:hAnsi="Times New Roman" w:cs="Times New Roman"/>
          <w:sz w:val="24"/>
          <w:szCs w:val="24"/>
          <w:highlight w:val="green"/>
          <w:vertAlign w:val="subscript"/>
        </w:rPr>
        <w:t>F</w:t>
      </w:r>
      <w:r>
        <w:rPr>
          <w:rFonts w:ascii="Times New Roman" w:hAnsi="Times New Roman" w:cs="Times New Roman"/>
          <w:sz w:val="24"/>
          <w:szCs w:val="24"/>
          <w:highlight w:val="green"/>
        </w:rPr>
        <w:t xml:space="preserve"> is the work of fracture </w:t>
      </w:r>
      <w:r>
        <w:rPr>
          <w:rFonts w:ascii="Times New Roman" w:hAnsi="Times New Roman" w:cs="Times New Roman"/>
          <w:i/>
          <w:iCs/>
          <w:sz w:val="24"/>
          <w:szCs w:val="24"/>
          <w:highlight w:val="green"/>
        </w:rPr>
        <w:t>W</w:t>
      </w:r>
      <w:r>
        <w:rPr>
          <w:rFonts w:ascii="Times New Roman" w:hAnsi="Times New Roman" w:cs="Times New Roman"/>
          <w:sz w:val="24"/>
          <w:szCs w:val="24"/>
          <w:highlight w:val="green"/>
          <w:vertAlign w:val="subscript"/>
        </w:rPr>
        <w:t>F</w:t>
      </w:r>
      <w:r>
        <w:rPr>
          <w:rFonts w:ascii="Times New Roman" w:hAnsi="Times New Roman" w:cs="Times New Roman"/>
          <w:sz w:val="24"/>
          <w:szCs w:val="24"/>
          <w:highlight w:val="green"/>
        </w:rPr>
        <w:t xml:space="preserve"> recorded in the load–CMOD test divided by the ligament area </w:t>
      </w:r>
      <w:r>
        <w:rPr>
          <w:rFonts w:ascii="Times New Roman" w:hAnsi="Times New Roman" w:cs="Times New Roman"/>
          <w:i/>
          <w:iCs/>
          <w:sz w:val="24"/>
          <w:szCs w:val="24"/>
          <w:highlight w:val="green"/>
        </w:rPr>
        <w:t>A</w:t>
      </w:r>
      <w:r>
        <w:rPr>
          <w:rFonts w:ascii="Times New Roman" w:hAnsi="Times New Roman" w:cs="Times New Roman"/>
          <w:sz w:val="24"/>
          <w:szCs w:val="24"/>
          <w:highlight w:val="green"/>
          <w:vertAlign w:val="subscript"/>
        </w:rPr>
        <w:t>lig</w:t>
      </w:r>
      <w:r>
        <w:rPr>
          <w:rFonts w:ascii="Times New Roman" w:hAnsi="Times New Roman" w:cs="Times New Roman"/>
          <w:sz w:val="24"/>
          <w:szCs w:val="24"/>
          <w:highlight w:val="green"/>
        </w:rPr>
        <w:t xml:space="preserve"> [23], Eq. (7). It is related to the critical stress-intensity factor through the elastic modulus </w:t>
      </w:r>
      <w:r>
        <w:rPr>
          <w:rFonts w:ascii="Times New Roman" w:hAnsi="Times New Roman" w:cs="Times New Roman"/>
          <w:i/>
          <w:iCs/>
          <w:sz w:val="24"/>
          <w:szCs w:val="24"/>
          <w:highlight w:val="green"/>
        </w:rPr>
        <w:t>E</w:t>
      </w:r>
      <w:r>
        <w:rPr>
          <w:rFonts w:ascii="Times New Roman" w:hAnsi="Times New Roman" w:cs="Times New Roman"/>
          <w:sz w:val="24"/>
          <w:szCs w:val="24"/>
          <w:highlight w:val="green"/>
        </w:rPr>
        <w:t xml:space="preserve">, Eq. (8). For short discontinuous </w:t>
      </w:r>
      <w:proofErr w:type="spellStart"/>
      <w:r>
        <w:rPr>
          <w:rFonts w:ascii="Times New Roman" w:hAnsi="Times New Roman" w:cs="Times New Roman"/>
          <w:sz w:val="24"/>
          <w:szCs w:val="24"/>
          <w:highlight w:val="green"/>
        </w:rPr>
        <w:t>fibres</w:t>
      </w:r>
      <w:proofErr w:type="spellEnd"/>
      <w:r>
        <w:rPr>
          <w:rFonts w:ascii="Times New Roman" w:hAnsi="Times New Roman" w:cs="Times New Roman"/>
          <w:sz w:val="24"/>
          <w:szCs w:val="24"/>
          <w:highlight w:val="green"/>
        </w:rPr>
        <w:t xml:space="preserve">, the critical </w:t>
      </w:r>
      <w:proofErr w:type="spellStart"/>
      <w:r>
        <w:rPr>
          <w:rFonts w:ascii="Times New Roman" w:hAnsi="Times New Roman" w:cs="Times New Roman"/>
          <w:sz w:val="24"/>
          <w:szCs w:val="24"/>
          <w:highlight w:val="green"/>
        </w:rPr>
        <w:t>fibre</w:t>
      </w:r>
      <w:proofErr w:type="spellEnd"/>
      <w:r>
        <w:rPr>
          <w:rFonts w:ascii="Times New Roman" w:hAnsi="Times New Roman" w:cs="Times New Roman"/>
          <w:sz w:val="24"/>
          <w:szCs w:val="24"/>
          <w:highlight w:val="green"/>
        </w:rPr>
        <w:t xml:space="preserve"> length </w:t>
      </w:r>
      <w:r>
        <w:rPr>
          <w:rFonts w:ascii="Times New Roman" w:hAnsi="Times New Roman" w:cs="Times New Roman"/>
          <w:i/>
          <w:iCs/>
          <w:sz w:val="24"/>
          <w:szCs w:val="24"/>
          <w:highlight w:val="green"/>
        </w:rPr>
        <w:t>l</w:t>
      </w:r>
      <w:r>
        <w:rPr>
          <w:rFonts w:ascii="Times New Roman" w:hAnsi="Times New Roman" w:cs="Times New Roman"/>
          <w:sz w:val="24"/>
          <w:szCs w:val="24"/>
          <w:highlight w:val="green"/>
          <w:vertAlign w:val="subscript"/>
        </w:rPr>
        <w:t>c</w:t>
      </w:r>
      <w:r>
        <w:rPr>
          <w:rFonts w:ascii="Times New Roman" w:hAnsi="Times New Roman" w:cs="Times New Roman"/>
          <w:sz w:val="24"/>
          <w:szCs w:val="24"/>
          <w:highlight w:val="green"/>
        </w:rPr>
        <w:t xml:space="preserve">, below which </w:t>
      </w:r>
      <w:proofErr w:type="spellStart"/>
      <w:r>
        <w:rPr>
          <w:rFonts w:ascii="Times New Roman" w:hAnsi="Times New Roman" w:cs="Times New Roman"/>
          <w:sz w:val="24"/>
          <w:szCs w:val="24"/>
          <w:highlight w:val="green"/>
        </w:rPr>
        <w:t>fibres</w:t>
      </w:r>
      <w:proofErr w:type="spellEnd"/>
      <w:r>
        <w:rPr>
          <w:rFonts w:ascii="Times New Roman" w:hAnsi="Times New Roman" w:cs="Times New Roman"/>
          <w:sz w:val="24"/>
          <w:szCs w:val="24"/>
          <w:highlight w:val="green"/>
        </w:rPr>
        <w:t xml:space="preserve"> pull out rather than fracture, depends on the </w:t>
      </w:r>
      <w:proofErr w:type="spellStart"/>
      <w:r>
        <w:rPr>
          <w:rFonts w:ascii="Times New Roman" w:hAnsi="Times New Roman" w:cs="Times New Roman"/>
          <w:sz w:val="24"/>
          <w:szCs w:val="24"/>
          <w:highlight w:val="green"/>
        </w:rPr>
        <w:t>fibre</w:t>
      </w:r>
      <w:proofErr w:type="spellEnd"/>
      <w:r>
        <w:rPr>
          <w:rFonts w:ascii="Times New Roman" w:hAnsi="Times New Roman" w:cs="Times New Roman"/>
          <w:sz w:val="24"/>
          <w:szCs w:val="24"/>
          <w:highlight w:val="green"/>
        </w:rPr>
        <w:t xml:space="preserve"> strength </w:t>
      </w:r>
      <w:proofErr w:type="spellStart"/>
      <w:r>
        <w:rPr>
          <w:rFonts w:ascii="Times New Roman" w:hAnsi="Times New Roman" w:cs="Times New Roman"/>
          <w:sz w:val="24"/>
          <w:szCs w:val="24"/>
          <w:highlight w:val="green"/>
        </w:rPr>
        <w:t>σ</w:t>
      </w:r>
      <w:r>
        <w:rPr>
          <w:rFonts w:ascii="Times New Roman" w:hAnsi="Times New Roman" w:cs="Times New Roman"/>
          <w:sz w:val="24"/>
          <w:szCs w:val="24"/>
          <w:highlight w:val="green"/>
          <w:vertAlign w:val="subscript"/>
        </w:rPr>
        <w:t>f</w:t>
      </w:r>
      <w:proofErr w:type="spellEnd"/>
      <w:r>
        <w:rPr>
          <w:rFonts w:ascii="Times New Roman" w:hAnsi="Times New Roman" w:cs="Times New Roman"/>
          <w:sz w:val="24"/>
          <w:szCs w:val="24"/>
          <w:highlight w:val="green"/>
        </w:rPr>
        <w:t xml:space="preserve">, diameter </w:t>
      </w:r>
      <w:proofErr w:type="spellStart"/>
      <w:r>
        <w:rPr>
          <w:rFonts w:ascii="Times New Roman" w:hAnsi="Times New Roman" w:cs="Times New Roman"/>
          <w:i/>
          <w:iCs/>
          <w:sz w:val="24"/>
          <w:szCs w:val="24"/>
          <w:highlight w:val="green"/>
        </w:rPr>
        <w:t>d</w:t>
      </w:r>
      <w:r>
        <w:rPr>
          <w:rFonts w:ascii="Times New Roman" w:hAnsi="Times New Roman" w:cs="Times New Roman"/>
          <w:sz w:val="24"/>
          <w:szCs w:val="24"/>
          <w:highlight w:val="green"/>
          <w:vertAlign w:val="subscript"/>
        </w:rPr>
        <w:t>f</w:t>
      </w:r>
      <w:proofErr w:type="spellEnd"/>
      <w:r>
        <w:rPr>
          <w:rFonts w:ascii="Times New Roman" w:hAnsi="Times New Roman" w:cs="Times New Roman"/>
          <w:sz w:val="24"/>
          <w:szCs w:val="24"/>
          <w:highlight w:val="green"/>
        </w:rPr>
        <w:t xml:space="preserve"> and interfacial shear strength </w:t>
      </w:r>
      <w:proofErr w:type="spellStart"/>
      <w:r>
        <w:rPr>
          <w:rFonts w:ascii="Times New Roman" w:hAnsi="Times New Roman" w:cs="Times New Roman"/>
          <w:sz w:val="24"/>
          <w:szCs w:val="24"/>
          <w:highlight w:val="green"/>
        </w:rPr>
        <w:t>τ</w:t>
      </w:r>
      <w:r>
        <w:rPr>
          <w:rFonts w:ascii="Times New Roman" w:hAnsi="Times New Roman" w:cs="Times New Roman"/>
          <w:sz w:val="24"/>
          <w:szCs w:val="24"/>
          <w:highlight w:val="green"/>
          <w:vertAlign w:val="subscript"/>
        </w:rPr>
        <w:t>i</w:t>
      </w:r>
      <w:proofErr w:type="spellEnd"/>
      <w:r>
        <w:rPr>
          <w:rFonts w:ascii="Times New Roman" w:hAnsi="Times New Roman" w:cs="Times New Roman"/>
          <w:sz w:val="24"/>
          <w:szCs w:val="24"/>
          <w:highlight w:val="green"/>
        </w:rPr>
        <w:t xml:space="preserve"> [24], Eq. (9). The </w:t>
      </w:r>
      <w:proofErr w:type="spellStart"/>
      <w:r>
        <w:rPr>
          <w:rFonts w:ascii="Times New Roman" w:hAnsi="Times New Roman" w:cs="Times New Roman"/>
          <w:sz w:val="24"/>
          <w:szCs w:val="24"/>
          <w:highlight w:val="green"/>
        </w:rPr>
        <w:t>fibre</w:t>
      </w:r>
      <w:proofErr w:type="spellEnd"/>
      <w:r>
        <w:rPr>
          <w:rFonts w:ascii="Times New Roman" w:hAnsi="Times New Roman" w:cs="Times New Roman"/>
          <w:sz w:val="24"/>
          <w:szCs w:val="24"/>
          <w:highlight w:val="green"/>
        </w:rPr>
        <w:t xml:space="preserve"> volume fraction follows from the mass fractions </w:t>
      </w:r>
      <w:proofErr w:type="spellStart"/>
      <w:r>
        <w:rPr>
          <w:rFonts w:ascii="Times New Roman" w:hAnsi="Times New Roman" w:cs="Times New Roman"/>
          <w:i/>
          <w:iCs/>
          <w:sz w:val="24"/>
          <w:szCs w:val="24"/>
          <w:highlight w:val="green"/>
        </w:rPr>
        <w:t>w</w:t>
      </w:r>
      <w:r>
        <w:rPr>
          <w:rFonts w:ascii="Times New Roman" w:hAnsi="Times New Roman" w:cs="Times New Roman"/>
          <w:sz w:val="24"/>
          <w:szCs w:val="24"/>
          <w:highlight w:val="green"/>
          <w:vertAlign w:val="subscript"/>
        </w:rPr>
        <w:t>i</w:t>
      </w:r>
      <w:proofErr w:type="spellEnd"/>
      <w:r>
        <w:rPr>
          <w:rFonts w:ascii="Times New Roman" w:hAnsi="Times New Roman" w:cs="Times New Roman"/>
          <w:sz w:val="24"/>
          <w:szCs w:val="24"/>
          <w:highlight w:val="green"/>
        </w:rPr>
        <w:t xml:space="preserve"> and densities </w:t>
      </w:r>
      <w:proofErr w:type="spellStart"/>
      <w:r>
        <w:rPr>
          <w:rFonts w:ascii="Times New Roman" w:hAnsi="Times New Roman" w:cs="Times New Roman"/>
          <w:sz w:val="24"/>
          <w:szCs w:val="24"/>
          <w:highlight w:val="green"/>
        </w:rPr>
        <w:t>ρ</w:t>
      </w:r>
      <w:r>
        <w:rPr>
          <w:rFonts w:ascii="Times New Roman" w:hAnsi="Times New Roman" w:cs="Times New Roman"/>
          <w:sz w:val="24"/>
          <w:szCs w:val="24"/>
          <w:highlight w:val="green"/>
          <w:vertAlign w:val="subscript"/>
        </w:rPr>
        <w:t>i</w:t>
      </w:r>
      <w:proofErr w:type="spellEnd"/>
      <w:r>
        <w:rPr>
          <w:rFonts w:ascii="Times New Roman" w:hAnsi="Times New Roman" w:cs="Times New Roman"/>
          <w:sz w:val="24"/>
          <w:szCs w:val="24"/>
          <w:highlight w:val="green"/>
        </w:rPr>
        <w:t xml:space="preserve"> of the constituents, Eq. (10). Table 1 lists </w:t>
      </w:r>
      <w:proofErr w:type="spellStart"/>
      <w:r>
        <w:rPr>
          <w:rFonts w:ascii="Times New Roman" w:hAnsi="Times New Roman" w:cs="Times New Roman"/>
          <w:sz w:val="24"/>
          <w:szCs w:val="24"/>
          <w:highlight w:val="green"/>
        </w:rPr>
        <w:t>fibre</w:t>
      </w:r>
      <w:proofErr w:type="spellEnd"/>
      <w:r>
        <w:rPr>
          <w:rFonts w:ascii="Times New Roman" w:hAnsi="Times New Roman" w:cs="Times New Roman"/>
          <w:sz w:val="24"/>
          <w:szCs w:val="24"/>
          <w:highlight w:val="green"/>
        </w:rPr>
        <w:t xml:space="preserve"> content as mass %; the constituent densities, </w:t>
      </w:r>
      <w:proofErr w:type="spellStart"/>
      <w:r>
        <w:rPr>
          <w:rFonts w:ascii="Times New Roman" w:hAnsi="Times New Roman" w:cs="Times New Roman"/>
          <w:sz w:val="24"/>
          <w:szCs w:val="24"/>
          <w:highlight w:val="green"/>
        </w:rPr>
        <w:t>fibre</w:t>
      </w:r>
      <w:proofErr w:type="spellEnd"/>
      <w:r>
        <w:rPr>
          <w:rFonts w:ascii="Times New Roman" w:hAnsi="Times New Roman" w:cs="Times New Roman"/>
          <w:sz w:val="24"/>
          <w:szCs w:val="24"/>
          <w:highlight w:val="green"/>
        </w:rPr>
        <w:t xml:space="preserve"> diameter, modulus and interfacial shear strength are not recorded in the present files, so </w:t>
      </w:r>
      <w:proofErr w:type="spellStart"/>
      <w:r>
        <w:rPr>
          <w:rFonts w:ascii="Times New Roman" w:hAnsi="Times New Roman" w:cs="Times New Roman"/>
          <w:sz w:val="24"/>
          <w:szCs w:val="24"/>
          <w:highlight w:val="green"/>
        </w:rPr>
        <w:t>Eqs</w:t>
      </w:r>
      <w:proofErr w:type="spellEnd"/>
      <w:r>
        <w:rPr>
          <w:rFonts w:ascii="Times New Roman" w:hAnsi="Times New Roman" w:cs="Times New Roman"/>
          <w:sz w:val="24"/>
          <w:szCs w:val="24"/>
          <w:highlight w:val="green"/>
        </w:rPr>
        <w:t>. (7)–(10) are not evaluated numerically and are included to define the data needed for mechanism testing (Section 5.6).</w:t>
      </w:r>
    </w:p>
    <w:p w14:paraId="70E915C4" w14:textId="77777777" w:rsidR="00B06580" w:rsidRPr="003E0CF1" w:rsidRDefault="00000000" w:rsidP="00F9519E">
      <w:pPr>
        <w:tabs>
          <w:tab w:val="center" w:pos="4513"/>
          <w:tab w:val="right" w:pos="9026"/>
        </w:tabs>
        <w:jc w:val="both"/>
        <w:rPr>
          <w:rFonts w:ascii="Times New Roman" w:hAnsi="Times New Roman" w:cs="Times New Roman"/>
          <w:sz w:val="24"/>
          <w:szCs w:val="24"/>
        </w:rPr>
      </w:pPr>
      <w:r>
        <w:rPr>
          <w:rFonts w:ascii="Times New Roman" w:hAnsi="Times New Roman" w:cs="Times New Roman"/>
          <w:sz w:val="24"/>
          <w:szCs w:val="24"/>
          <w:highlight w:val="green"/>
        </w:rPr>
        <w:tab/>
      </w:r>
      <m:oMath>
        <m:sSub>
          <m:sSubPr>
            <m:ctrlPr>
              <w:rPr>
                <w:rFonts w:ascii="Cambria Math" w:hAnsi="Cambria Math"/>
              </w:rPr>
            </m:ctrlPr>
          </m:sSubPr>
          <m:e>
            <m:r>
              <w:rPr>
                <w:rFonts w:ascii="Cambria Math" w:hAnsi="Cambria Math" w:cs="Cambria Math"/>
                <w:sz w:val="24"/>
                <w:szCs w:val="24"/>
                <w:highlight w:val="green"/>
              </w:rPr>
              <m:t>G</m:t>
            </m:r>
          </m:e>
          <m:sub>
            <m:r>
              <m:rPr>
                <m:sty m:val="p"/>
              </m:rPr>
              <w:rPr>
                <w:rFonts w:ascii="Cambria Math" w:hAnsi="Cambria Math" w:cs="Cambria Math"/>
                <w:sz w:val="24"/>
                <w:szCs w:val="24"/>
                <w:highlight w:val="green"/>
              </w:rPr>
              <m:t>F</m:t>
            </m:r>
          </m:sub>
        </m:sSub>
        <m:r>
          <m:rPr>
            <m:sty m:val="p"/>
          </m:rPr>
          <w:rPr>
            <w:rFonts w:ascii="Cambria Math" w:hAnsi="Cambria Math" w:cs="Cambria Math"/>
            <w:sz w:val="24"/>
            <w:szCs w:val="24"/>
            <w:highlight w:val="green"/>
          </w:rPr>
          <m:t>=</m:t>
        </m:r>
        <m:f>
          <m:fPr>
            <m:ctrlPr>
              <w:rPr>
                <w:rFonts w:ascii="Cambria Math" w:hAnsi="Cambria Math"/>
              </w:rPr>
            </m:ctrlPr>
          </m:fPr>
          <m:num>
            <m:sSub>
              <m:sSubPr>
                <m:ctrlPr>
                  <w:rPr>
                    <w:rFonts w:ascii="Cambria Math" w:hAnsi="Cambria Math"/>
                  </w:rPr>
                </m:ctrlPr>
              </m:sSubPr>
              <m:e>
                <m:r>
                  <w:rPr>
                    <w:rFonts w:ascii="Cambria Math" w:hAnsi="Cambria Math" w:cs="Cambria Math"/>
                    <w:sz w:val="24"/>
                    <w:szCs w:val="24"/>
                    <w:highlight w:val="green"/>
                  </w:rPr>
                  <m:t>W</m:t>
                </m:r>
              </m:e>
              <m:sub>
                <m:r>
                  <m:rPr>
                    <m:sty m:val="p"/>
                  </m:rPr>
                  <w:rPr>
                    <w:rFonts w:ascii="Cambria Math" w:hAnsi="Cambria Math" w:cs="Cambria Math"/>
                    <w:sz w:val="24"/>
                    <w:szCs w:val="24"/>
                    <w:highlight w:val="green"/>
                  </w:rPr>
                  <m:t>F</m:t>
                </m:r>
              </m:sub>
            </m:sSub>
          </m:num>
          <m:den>
            <m:sSub>
              <m:sSubPr>
                <m:ctrlPr>
                  <w:rPr>
                    <w:rFonts w:ascii="Cambria Math" w:hAnsi="Cambria Math"/>
                  </w:rPr>
                </m:ctrlPr>
              </m:sSubPr>
              <m:e>
                <m:r>
                  <w:rPr>
                    <w:rFonts w:ascii="Cambria Math" w:hAnsi="Cambria Math" w:cs="Cambria Math"/>
                    <w:sz w:val="24"/>
                    <w:szCs w:val="24"/>
                    <w:highlight w:val="green"/>
                  </w:rPr>
                  <m:t>A</m:t>
                </m:r>
              </m:e>
              <m:sub>
                <m:r>
                  <m:rPr>
                    <m:sty m:val="p"/>
                  </m:rPr>
                  <w:rPr>
                    <w:rFonts w:ascii="Cambria Math" w:hAnsi="Cambria Math" w:cs="Cambria Math"/>
                    <w:sz w:val="24"/>
                    <w:szCs w:val="24"/>
                    <w:highlight w:val="green"/>
                  </w:rPr>
                  <m:t>lig</m:t>
                </m:r>
              </m:sub>
            </m:sSub>
          </m:den>
        </m:f>
      </m:oMath>
      <w:r>
        <w:rPr>
          <w:rFonts w:ascii="Times New Roman" w:hAnsi="Times New Roman" w:cs="Times New Roman"/>
          <w:sz w:val="24"/>
          <w:szCs w:val="24"/>
          <w:highlight w:val="green"/>
        </w:rPr>
        <w:tab/>
        <w:t>(7)</w:t>
      </w:r>
    </w:p>
    <w:p w14:paraId="38F50414" w14:textId="77777777" w:rsidR="00B06580" w:rsidRPr="003E0CF1" w:rsidRDefault="00000000" w:rsidP="00F9519E">
      <w:pPr>
        <w:tabs>
          <w:tab w:val="center" w:pos="4513"/>
          <w:tab w:val="right" w:pos="9026"/>
        </w:tabs>
        <w:jc w:val="both"/>
        <w:rPr>
          <w:rFonts w:ascii="Times New Roman" w:hAnsi="Times New Roman" w:cs="Times New Roman"/>
          <w:sz w:val="24"/>
          <w:szCs w:val="24"/>
        </w:rPr>
      </w:pPr>
      <w:r>
        <w:rPr>
          <w:rFonts w:ascii="Times New Roman" w:hAnsi="Times New Roman" w:cs="Times New Roman"/>
          <w:sz w:val="24"/>
          <w:szCs w:val="24"/>
          <w:highlight w:val="green"/>
        </w:rPr>
        <w:tab/>
      </w:r>
      <m:oMath>
        <m:sSub>
          <m:sSubPr>
            <m:ctrlPr>
              <w:rPr>
                <w:rFonts w:ascii="Cambria Math" w:hAnsi="Cambria Math"/>
              </w:rPr>
            </m:ctrlPr>
          </m:sSubPr>
          <m:e>
            <m:r>
              <w:rPr>
                <w:rFonts w:ascii="Cambria Math" w:hAnsi="Cambria Math" w:cs="Cambria Math"/>
                <w:sz w:val="24"/>
                <w:szCs w:val="24"/>
                <w:highlight w:val="green"/>
              </w:rPr>
              <m:t>K</m:t>
            </m:r>
          </m:e>
          <m:sub>
            <m:r>
              <m:rPr>
                <m:sty m:val="p"/>
              </m:rPr>
              <w:rPr>
                <w:rFonts w:ascii="Cambria Math" w:hAnsi="Cambria Math" w:cs="Cambria Math"/>
                <w:sz w:val="24"/>
                <w:szCs w:val="24"/>
                <w:highlight w:val="green"/>
              </w:rPr>
              <m:t>IC</m:t>
            </m:r>
          </m:sub>
        </m:sSub>
        <m:r>
          <m:rPr>
            <m:sty m:val="p"/>
          </m:rPr>
          <w:rPr>
            <w:rFonts w:ascii="Cambria Math" w:hAnsi="Cambria Math" w:cs="Cambria Math"/>
            <w:sz w:val="24"/>
            <w:szCs w:val="24"/>
            <w:highlight w:val="green"/>
          </w:rPr>
          <m:t>≈</m:t>
        </m:r>
        <m:rad>
          <m:radPr>
            <m:degHide m:val="1"/>
            <m:ctrlPr>
              <w:rPr>
                <w:rFonts w:ascii="Cambria Math" w:hAnsi="Cambria Math"/>
              </w:rPr>
            </m:ctrlPr>
          </m:radPr>
          <m:deg/>
          <m:e>
            <m:r>
              <w:rPr>
                <w:rFonts w:ascii="Cambria Math" w:hAnsi="Cambria Math" w:cs="Cambria Math"/>
                <w:sz w:val="24"/>
                <w:szCs w:val="24"/>
                <w:highlight w:val="green"/>
              </w:rPr>
              <m:t>E</m:t>
            </m:r>
            <m:sSub>
              <m:sSubPr>
                <m:ctrlPr>
                  <w:rPr>
                    <w:rFonts w:ascii="Cambria Math" w:hAnsi="Cambria Math"/>
                  </w:rPr>
                </m:ctrlPr>
              </m:sSubPr>
              <m:e>
                <m:r>
                  <w:rPr>
                    <w:rFonts w:ascii="Cambria Math" w:hAnsi="Cambria Math" w:cs="Cambria Math"/>
                    <w:sz w:val="24"/>
                    <w:szCs w:val="24"/>
                    <w:highlight w:val="green"/>
                  </w:rPr>
                  <m:t>G</m:t>
                </m:r>
              </m:e>
              <m:sub>
                <m:r>
                  <m:rPr>
                    <m:sty m:val="p"/>
                  </m:rPr>
                  <w:rPr>
                    <w:rFonts w:ascii="Cambria Math" w:hAnsi="Cambria Math" w:cs="Cambria Math"/>
                    <w:sz w:val="24"/>
                    <w:szCs w:val="24"/>
                    <w:highlight w:val="green"/>
                  </w:rPr>
                  <m:t>F</m:t>
                </m:r>
              </m:sub>
            </m:sSub>
          </m:e>
        </m:rad>
      </m:oMath>
      <w:r>
        <w:rPr>
          <w:rFonts w:ascii="Times New Roman" w:hAnsi="Times New Roman" w:cs="Times New Roman"/>
          <w:sz w:val="24"/>
          <w:szCs w:val="24"/>
          <w:highlight w:val="green"/>
        </w:rPr>
        <w:tab/>
        <w:t>(8)</w:t>
      </w:r>
    </w:p>
    <w:p w14:paraId="2AAA411E" w14:textId="77777777" w:rsidR="00B06580" w:rsidRPr="003E0CF1" w:rsidRDefault="00000000" w:rsidP="00F9519E">
      <w:pPr>
        <w:tabs>
          <w:tab w:val="center" w:pos="4513"/>
          <w:tab w:val="right" w:pos="9026"/>
        </w:tabs>
        <w:jc w:val="both"/>
        <w:rPr>
          <w:rFonts w:ascii="Times New Roman" w:hAnsi="Times New Roman" w:cs="Times New Roman"/>
          <w:sz w:val="24"/>
          <w:szCs w:val="24"/>
        </w:rPr>
      </w:pPr>
      <w:r>
        <w:rPr>
          <w:rFonts w:ascii="Times New Roman" w:hAnsi="Times New Roman" w:cs="Times New Roman"/>
          <w:sz w:val="24"/>
          <w:szCs w:val="24"/>
          <w:highlight w:val="green"/>
        </w:rPr>
        <w:tab/>
      </w:r>
      <m:oMath>
        <m:sSub>
          <m:sSubPr>
            <m:ctrlPr>
              <w:rPr>
                <w:rFonts w:ascii="Cambria Math" w:hAnsi="Cambria Math"/>
              </w:rPr>
            </m:ctrlPr>
          </m:sSubPr>
          <m:e>
            <m:r>
              <w:rPr>
                <w:rFonts w:ascii="Cambria Math" w:hAnsi="Cambria Math" w:cs="Cambria Math"/>
                <w:sz w:val="24"/>
                <w:szCs w:val="24"/>
                <w:highlight w:val="green"/>
              </w:rPr>
              <m:t>l</m:t>
            </m:r>
          </m:e>
          <m:sub>
            <m:r>
              <m:rPr>
                <m:sty m:val="p"/>
              </m:rPr>
              <w:rPr>
                <w:rFonts w:ascii="Cambria Math" w:hAnsi="Cambria Math" w:cs="Cambria Math"/>
                <w:sz w:val="24"/>
                <w:szCs w:val="24"/>
                <w:highlight w:val="green"/>
              </w:rPr>
              <m:t>c</m:t>
            </m:r>
          </m:sub>
        </m:sSub>
        <m:r>
          <m:rPr>
            <m:sty m:val="p"/>
          </m:rPr>
          <w:rPr>
            <w:rFonts w:ascii="Cambria Math" w:hAnsi="Cambria Math" w:cs="Cambria Math"/>
            <w:sz w:val="24"/>
            <w:szCs w:val="24"/>
            <w:highlight w:val="green"/>
          </w:rPr>
          <m:t>=</m:t>
        </m:r>
        <m:f>
          <m:fPr>
            <m:ctrlPr>
              <w:rPr>
                <w:rFonts w:ascii="Cambria Math" w:hAnsi="Cambria Math"/>
              </w:rPr>
            </m:ctrlPr>
          </m:fPr>
          <m:num>
            <m:sSub>
              <m:sSubPr>
                <m:ctrlPr>
                  <w:rPr>
                    <w:rFonts w:ascii="Cambria Math" w:hAnsi="Cambria Math"/>
                  </w:rPr>
                </m:ctrlPr>
              </m:sSubPr>
              <m:e>
                <m:r>
                  <w:rPr>
                    <w:rFonts w:ascii="Cambria Math" w:hAnsi="Cambria Math" w:cs="Cambria Math"/>
                    <w:sz w:val="24"/>
                    <w:szCs w:val="24"/>
                    <w:highlight w:val="green"/>
                  </w:rPr>
                  <m:t>σ</m:t>
                </m:r>
              </m:e>
              <m:sub>
                <m:r>
                  <m:rPr>
                    <m:sty m:val="p"/>
                  </m:rPr>
                  <w:rPr>
                    <w:rFonts w:ascii="Cambria Math" w:hAnsi="Cambria Math" w:cs="Cambria Math"/>
                    <w:sz w:val="24"/>
                    <w:szCs w:val="24"/>
                    <w:highlight w:val="green"/>
                  </w:rPr>
                  <m:t>f</m:t>
                </m:r>
              </m:sub>
            </m:sSub>
            <m:sSub>
              <m:sSubPr>
                <m:ctrlPr>
                  <w:rPr>
                    <w:rFonts w:ascii="Cambria Math" w:hAnsi="Cambria Math"/>
                  </w:rPr>
                </m:ctrlPr>
              </m:sSubPr>
              <m:e>
                <m:r>
                  <w:rPr>
                    <w:rFonts w:ascii="Cambria Math" w:hAnsi="Cambria Math" w:cs="Cambria Math"/>
                    <w:sz w:val="24"/>
                    <w:szCs w:val="24"/>
                    <w:highlight w:val="green"/>
                  </w:rPr>
                  <m:t>d</m:t>
                </m:r>
              </m:e>
              <m:sub>
                <m:r>
                  <m:rPr>
                    <m:sty m:val="p"/>
                  </m:rPr>
                  <w:rPr>
                    <w:rFonts w:ascii="Cambria Math" w:hAnsi="Cambria Math" w:cs="Cambria Math"/>
                    <w:sz w:val="24"/>
                    <w:szCs w:val="24"/>
                    <w:highlight w:val="green"/>
                  </w:rPr>
                  <m:t>f</m:t>
                </m:r>
              </m:sub>
            </m:sSub>
          </m:num>
          <m:den>
            <m:r>
              <m:rPr>
                <m:sty m:val="p"/>
              </m:rPr>
              <w:rPr>
                <w:rFonts w:ascii="Cambria Math" w:hAnsi="Cambria Math" w:cs="Cambria Math"/>
                <w:sz w:val="24"/>
                <w:szCs w:val="24"/>
                <w:highlight w:val="green"/>
              </w:rPr>
              <m:t>2</m:t>
            </m:r>
            <m:sSub>
              <m:sSubPr>
                <m:ctrlPr>
                  <w:rPr>
                    <w:rFonts w:ascii="Cambria Math" w:hAnsi="Cambria Math"/>
                  </w:rPr>
                </m:ctrlPr>
              </m:sSubPr>
              <m:e>
                <m:r>
                  <w:rPr>
                    <w:rFonts w:ascii="Cambria Math" w:hAnsi="Cambria Math" w:cs="Cambria Math"/>
                    <w:sz w:val="24"/>
                    <w:szCs w:val="24"/>
                    <w:highlight w:val="green"/>
                  </w:rPr>
                  <m:t>τ</m:t>
                </m:r>
              </m:e>
              <m:sub>
                <m:r>
                  <w:rPr>
                    <w:rFonts w:ascii="Cambria Math" w:hAnsi="Cambria Math" w:cs="Cambria Math"/>
                    <w:sz w:val="24"/>
                    <w:szCs w:val="24"/>
                    <w:highlight w:val="green"/>
                  </w:rPr>
                  <m:t>i</m:t>
                </m:r>
              </m:sub>
            </m:sSub>
          </m:den>
        </m:f>
      </m:oMath>
      <w:r>
        <w:rPr>
          <w:rFonts w:ascii="Times New Roman" w:hAnsi="Times New Roman" w:cs="Times New Roman"/>
          <w:sz w:val="24"/>
          <w:szCs w:val="24"/>
          <w:highlight w:val="green"/>
        </w:rPr>
        <w:tab/>
        <w:t>(9)</w:t>
      </w:r>
    </w:p>
    <w:p w14:paraId="6090EB2C" w14:textId="77777777" w:rsidR="00B06580" w:rsidRPr="003E0CF1" w:rsidRDefault="00000000" w:rsidP="00F9519E">
      <w:pPr>
        <w:tabs>
          <w:tab w:val="center" w:pos="4513"/>
          <w:tab w:val="right" w:pos="9026"/>
        </w:tabs>
        <w:jc w:val="both"/>
        <w:rPr>
          <w:rFonts w:ascii="Times New Roman" w:hAnsi="Times New Roman" w:cs="Times New Roman"/>
          <w:sz w:val="24"/>
          <w:szCs w:val="24"/>
        </w:rPr>
      </w:pPr>
      <w:r>
        <w:rPr>
          <w:rFonts w:ascii="Times New Roman" w:hAnsi="Times New Roman" w:cs="Times New Roman"/>
          <w:sz w:val="24"/>
          <w:szCs w:val="24"/>
          <w:highlight w:val="green"/>
        </w:rPr>
        <w:tab/>
      </w:r>
      <m:oMath>
        <m:sSub>
          <m:sSubPr>
            <m:ctrlPr>
              <w:rPr>
                <w:rFonts w:ascii="Cambria Math" w:hAnsi="Cambria Math"/>
              </w:rPr>
            </m:ctrlPr>
          </m:sSubPr>
          <m:e>
            <m:r>
              <w:rPr>
                <w:rFonts w:ascii="Cambria Math" w:hAnsi="Cambria Math" w:cs="Cambria Math"/>
                <w:sz w:val="24"/>
                <w:szCs w:val="24"/>
                <w:highlight w:val="green"/>
              </w:rPr>
              <m:t>V</m:t>
            </m:r>
          </m:e>
          <m:sub>
            <m:r>
              <m:rPr>
                <m:sty m:val="p"/>
              </m:rPr>
              <w:rPr>
                <w:rFonts w:ascii="Cambria Math" w:hAnsi="Cambria Math" w:cs="Cambria Math"/>
                <w:sz w:val="24"/>
                <w:szCs w:val="24"/>
                <w:highlight w:val="green"/>
              </w:rPr>
              <m:t>f</m:t>
            </m:r>
          </m:sub>
        </m:sSub>
        <m:r>
          <m:rPr>
            <m:sty m:val="p"/>
          </m:rPr>
          <w:rPr>
            <w:rFonts w:ascii="Cambria Math" w:hAnsi="Cambria Math" w:cs="Cambria Math"/>
            <w:sz w:val="24"/>
            <w:szCs w:val="24"/>
            <w:highlight w:val="green"/>
          </w:rPr>
          <m:t>=</m:t>
        </m:r>
        <m:f>
          <m:fPr>
            <m:ctrlPr>
              <w:rPr>
                <w:rFonts w:ascii="Cambria Math" w:hAnsi="Cambria Math"/>
              </w:rPr>
            </m:ctrlPr>
          </m:fPr>
          <m:num>
            <m:f>
              <m:fPr>
                <m:type m:val="lin"/>
                <m:ctrlPr>
                  <w:rPr>
                    <w:rFonts w:ascii="Cambria Math" w:hAnsi="Cambria Math"/>
                  </w:rPr>
                </m:ctrlPr>
              </m:fPr>
              <m:num>
                <m:sSub>
                  <m:sSubPr>
                    <m:ctrlPr>
                      <w:rPr>
                        <w:rFonts w:ascii="Cambria Math" w:hAnsi="Cambria Math"/>
                      </w:rPr>
                    </m:ctrlPr>
                  </m:sSubPr>
                  <m:e>
                    <m:r>
                      <w:rPr>
                        <w:rFonts w:ascii="Cambria Math" w:hAnsi="Cambria Math" w:cs="Cambria Math"/>
                        <w:sz w:val="24"/>
                        <w:szCs w:val="24"/>
                        <w:highlight w:val="green"/>
                      </w:rPr>
                      <m:t>w</m:t>
                    </m:r>
                  </m:e>
                  <m:sub>
                    <m:r>
                      <m:rPr>
                        <m:sty m:val="p"/>
                      </m:rPr>
                      <w:rPr>
                        <w:rFonts w:ascii="Cambria Math" w:hAnsi="Cambria Math" w:cs="Cambria Math"/>
                        <w:sz w:val="24"/>
                        <w:szCs w:val="24"/>
                        <w:highlight w:val="green"/>
                      </w:rPr>
                      <m:t>f</m:t>
                    </m:r>
                  </m:sub>
                </m:sSub>
              </m:num>
              <m:den>
                <m:sSub>
                  <m:sSubPr>
                    <m:ctrlPr>
                      <w:rPr>
                        <w:rFonts w:ascii="Cambria Math" w:hAnsi="Cambria Math"/>
                      </w:rPr>
                    </m:ctrlPr>
                  </m:sSubPr>
                  <m:e>
                    <m:r>
                      <w:rPr>
                        <w:rFonts w:ascii="Cambria Math" w:hAnsi="Cambria Math" w:cs="Cambria Math"/>
                        <w:sz w:val="24"/>
                        <w:szCs w:val="24"/>
                        <w:highlight w:val="green"/>
                      </w:rPr>
                      <m:t>ρ</m:t>
                    </m:r>
                  </m:e>
                  <m:sub>
                    <m:r>
                      <m:rPr>
                        <m:sty m:val="p"/>
                      </m:rPr>
                      <w:rPr>
                        <w:rFonts w:ascii="Cambria Math" w:hAnsi="Cambria Math" w:cs="Cambria Math"/>
                        <w:sz w:val="24"/>
                        <w:szCs w:val="24"/>
                        <w:highlight w:val="green"/>
                      </w:rPr>
                      <m:t>f</m:t>
                    </m:r>
                  </m:sub>
                </m:sSub>
              </m:den>
            </m:f>
          </m:num>
          <m:den>
            <m:nary>
              <m:naryPr>
                <m:chr m:val="∑"/>
                <m:limLoc m:val="subSup"/>
                <m:supHide m:val="1"/>
                <m:ctrlPr>
                  <w:rPr>
                    <w:rFonts w:ascii="Cambria Math" w:hAnsi="Cambria Math"/>
                  </w:rPr>
                </m:ctrlPr>
              </m:naryPr>
              <m:sub>
                <m:r>
                  <w:rPr>
                    <w:rFonts w:ascii="Cambria Math" w:hAnsi="Cambria Math" w:cs="Cambria Math"/>
                    <w:sz w:val="24"/>
                    <w:szCs w:val="24"/>
                    <w:highlight w:val="green"/>
                  </w:rPr>
                  <m:t>i</m:t>
                </m:r>
              </m:sub>
              <m:sup/>
              <m:e>
                <m:f>
                  <m:fPr>
                    <m:type m:val="lin"/>
                    <m:ctrlPr>
                      <w:rPr>
                        <w:rFonts w:ascii="Cambria Math" w:hAnsi="Cambria Math"/>
                      </w:rPr>
                    </m:ctrlPr>
                  </m:fPr>
                  <m:num>
                    <m:sSub>
                      <m:sSubPr>
                        <m:ctrlPr>
                          <w:rPr>
                            <w:rFonts w:ascii="Cambria Math" w:hAnsi="Cambria Math"/>
                          </w:rPr>
                        </m:ctrlPr>
                      </m:sSubPr>
                      <m:e>
                        <m:r>
                          <w:rPr>
                            <w:rFonts w:ascii="Cambria Math" w:hAnsi="Cambria Math" w:cs="Cambria Math"/>
                            <w:sz w:val="24"/>
                            <w:szCs w:val="24"/>
                            <w:highlight w:val="green"/>
                          </w:rPr>
                          <m:t>w</m:t>
                        </m:r>
                      </m:e>
                      <m:sub>
                        <m:r>
                          <w:rPr>
                            <w:rFonts w:ascii="Cambria Math" w:hAnsi="Cambria Math" w:cs="Cambria Math"/>
                            <w:sz w:val="24"/>
                            <w:szCs w:val="24"/>
                            <w:highlight w:val="green"/>
                          </w:rPr>
                          <m:t>i</m:t>
                        </m:r>
                      </m:sub>
                    </m:sSub>
                  </m:num>
                  <m:den>
                    <m:sSub>
                      <m:sSubPr>
                        <m:ctrlPr>
                          <w:rPr>
                            <w:rFonts w:ascii="Cambria Math" w:hAnsi="Cambria Math"/>
                          </w:rPr>
                        </m:ctrlPr>
                      </m:sSubPr>
                      <m:e>
                        <m:r>
                          <w:rPr>
                            <w:rFonts w:ascii="Cambria Math" w:hAnsi="Cambria Math" w:cs="Cambria Math"/>
                            <w:sz w:val="24"/>
                            <w:szCs w:val="24"/>
                            <w:highlight w:val="green"/>
                          </w:rPr>
                          <m:t>ρ</m:t>
                        </m:r>
                      </m:e>
                      <m:sub>
                        <m:r>
                          <w:rPr>
                            <w:rFonts w:ascii="Cambria Math" w:hAnsi="Cambria Math" w:cs="Cambria Math"/>
                            <w:sz w:val="24"/>
                            <w:szCs w:val="24"/>
                            <w:highlight w:val="green"/>
                          </w:rPr>
                          <m:t>i</m:t>
                        </m:r>
                      </m:sub>
                    </m:sSub>
                  </m:den>
                </m:f>
              </m:e>
            </m:nary>
          </m:den>
        </m:f>
      </m:oMath>
      <w:r>
        <w:rPr>
          <w:rFonts w:ascii="Times New Roman" w:hAnsi="Times New Roman" w:cs="Times New Roman"/>
          <w:sz w:val="24"/>
          <w:szCs w:val="24"/>
          <w:highlight w:val="green"/>
        </w:rPr>
        <w:tab/>
        <w:t>(10)</w:t>
      </w:r>
    </w:p>
    <w:p w14:paraId="329AD791" w14:textId="77777777" w:rsidR="00B06580" w:rsidRPr="003E0CF1" w:rsidRDefault="00000000" w:rsidP="00F9519E">
      <w:pPr>
        <w:keepNext/>
        <w:jc w:val="both"/>
        <w:rPr>
          <w:rFonts w:ascii="Times New Roman" w:hAnsi="Times New Roman" w:cs="Times New Roman"/>
          <w:sz w:val="24"/>
          <w:szCs w:val="24"/>
        </w:rPr>
      </w:pPr>
      <w:r>
        <w:rPr>
          <w:rFonts w:ascii="Times New Roman" w:hAnsi="Times New Roman" w:cs="Times New Roman"/>
          <w:b/>
          <w:bCs/>
          <w:i/>
          <w:iCs/>
          <w:sz w:val="24"/>
          <w:szCs w:val="24"/>
          <w:highlight w:val="green"/>
        </w:rPr>
        <w:t>3.12.4 Multi-objective desirability</w:t>
      </w:r>
    </w:p>
    <w:p w14:paraId="794CB4AF" w14:textId="498F4008"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 xml:space="preserve">In the desirability approach [25] each response </w:t>
      </w:r>
      <w:proofErr w:type="spellStart"/>
      <w:r>
        <w:rPr>
          <w:rFonts w:ascii="Times New Roman" w:hAnsi="Times New Roman" w:cs="Times New Roman"/>
          <w:i/>
          <w:iCs/>
          <w:sz w:val="24"/>
          <w:szCs w:val="24"/>
          <w:highlight w:val="green"/>
        </w:rPr>
        <w:t>y</w:t>
      </w:r>
      <w:r>
        <w:rPr>
          <w:rFonts w:ascii="Times New Roman" w:hAnsi="Times New Roman" w:cs="Times New Roman"/>
          <w:sz w:val="24"/>
          <w:szCs w:val="24"/>
          <w:highlight w:val="green"/>
          <w:vertAlign w:val="subscript"/>
        </w:rPr>
        <w:t>i</w:t>
      </w:r>
      <w:proofErr w:type="spellEnd"/>
      <w:r>
        <w:rPr>
          <w:rFonts w:ascii="Times New Roman" w:hAnsi="Times New Roman" w:cs="Times New Roman"/>
          <w:sz w:val="24"/>
          <w:szCs w:val="24"/>
          <w:highlight w:val="green"/>
        </w:rPr>
        <w:t xml:space="preserve"> is converted to an individual desirability </w:t>
      </w:r>
      <w:r>
        <w:rPr>
          <w:rFonts w:ascii="Times New Roman" w:hAnsi="Times New Roman" w:cs="Times New Roman"/>
          <w:i/>
          <w:iCs/>
          <w:sz w:val="24"/>
          <w:szCs w:val="24"/>
          <w:highlight w:val="green"/>
        </w:rPr>
        <w:t>d</w:t>
      </w:r>
      <w:r>
        <w:rPr>
          <w:rFonts w:ascii="Times New Roman" w:hAnsi="Times New Roman" w:cs="Times New Roman"/>
          <w:sz w:val="24"/>
          <w:szCs w:val="24"/>
          <w:highlight w:val="green"/>
          <w:vertAlign w:val="subscript"/>
        </w:rPr>
        <w:t>i</w:t>
      </w:r>
      <w:r>
        <w:rPr>
          <w:rFonts w:ascii="Times New Roman" w:hAnsi="Times New Roman" w:cs="Times New Roman"/>
          <w:sz w:val="24"/>
          <w:szCs w:val="24"/>
          <w:highlight w:val="green"/>
        </w:rPr>
        <w:t xml:space="preserve"> between 0 and 1. For a response to be </w:t>
      </w:r>
      <w:proofErr w:type="spellStart"/>
      <w:r>
        <w:rPr>
          <w:rFonts w:ascii="Times New Roman" w:hAnsi="Times New Roman" w:cs="Times New Roman"/>
          <w:sz w:val="24"/>
          <w:szCs w:val="24"/>
          <w:highlight w:val="green"/>
        </w:rPr>
        <w:t>maximised</w:t>
      </w:r>
      <w:proofErr w:type="spellEnd"/>
      <w:r>
        <w:rPr>
          <w:rFonts w:ascii="Times New Roman" w:hAnsi="Times New Roman" w:cs="Times New Roman"/>
          <w:sz w:val="24"/>
          <w:szCs w:val="24"/>
          <w:highlight w:val="green"/>
        </w:rPr>
        <w:t xml:space="preserve">, Eq. (11) applies between a lower limit </w:t>
      </w:r>
      <w:r>
        <w:rPr>
          <w:rFonts w:ascii="Times New Roman" w:hAnsi="Times New Roman" w:cs="Times New Roman"/>
          <w:i/>
          <w:iCs/>
          <w:sz w:val="24"/>
          <w:szCs w:val="24"/>
          <w:highlight w:val="green"/>
        </w:rPr>
        <w:t>L</w:t>
      </w:r>
      <w:r>
        <w:rPr>
          <w:rFonts w:ascii="Times New Roman" w:hAnsi="Times New Roman" w:cs="Times New Roman"/>
          <w:sz w:val="24"/>
          <w:szCs w:val="24"/>
          <w:highlight w:val="green"/>
          <w:vertAlign w:val="subscript"/>
        </w:rPr>
        <w:t>i</w:t>
      </w:r>
      <w:r>
        <w:rPr>
          <w:rFonts w:ascii="Times New Roman" w:hAnsi="Times New Roman" w:cs="Times New Roman"/>
          <w:sz w:val="24"/>
          <w:szCs w:val="24"/>
          <w:highlight w:val="green"/>
        </w:rPr>
        <w:t xml:space="preserve"> and a target </w:t>
      </w:r>
      <w:r>
        <w:rPr>
          <w:rFonts w:ascii="Times New Roman" w:hAnsi="Times New Roman" w:cs="Times New Roman"/>
          <w:i/>
          <w:iCs/>
          <w:sz w:val="24"/>
          <w:szCs w:val="24"/>
          <w:highlight w:val="green"/>
        </w:rPr>
        <w:t>T</w:t>
      </w:r>
      <w:r>
        <w:rPr>
          <w:rFonts w:ascii="Times New Roman" w:hAnsi="Times New Roman" w:cs="Times New Roman"/>
          <w:sz w:val="24"/>
          <w:szCs w:val="24"/>
          <w:highlight w:val="green"/>
          <w:vertAlign w:val="subscript"/>
        </w:rPr>
        <w:t>i</w:t>
      </w:r>
      <w:r>
        <w:rPr>
          <w:rFonts w:ascii="Times New Roman" w:hAnsi="Times New Roman" w:cs="Times New Roman"/>
          <w:sz w:val="24"/>
          <w:szCs w:val="24"/>
          <w:highlight w:val="green"/>
        </w:rPr>
        <w:t xml:space="preserve">; for a response to be </w:t>
      </w:r>
      <w:proofErr w:type="spellStart"/>
      <w:r>
        <w:rPr>
          <w:rFonts w:ascii="Times New Roman" w:hAnsi="Times New Roman" w:cs="Times New Roman"/>
          <w:sz w:val="24"/>
          <w:szCs w:val="24"/>
          <w:highlight w:val="green"/>
        </w:rPr>
        <w:t>minimised</w:t>
      </w:r>
      <w:proofErr w:type="spellEnd"/>
      <w:r>
        <w:rPr>
          <w:rFonts w:ascii="Times New Roman" w:hAnsi="Times New Roman" w:cs="Times New Roman"/>
          <w:sz w:val="24"/>
          <w:szCs w:val="24"/>
          <w:highlight w:val="green"/>
        </w:rPr>
        <w:t xml:space="preserve">, Eq. (12) applies between the target and an upper limit </w:t>
      </w:r>
      <w:r>
        <w:rPr>
          <w:rFonts w:ascii="Times New Roman" w:hAnsi="Times New Roman" w:cs="Times New Roman"/>
          <w:i/>
          <w:iCs/>
          <w:sz w:val="24"/>
          <w:szCs w:val="24"/>
          <w:highlight w:val="green"/>
        </w:rPr>
        <w:t>U</w:t>
      </w:r>
      <w:r>
        <w:rPr>
          <w:rFonts w:ascii="Times New Roman" w:hAnsi="Times New Roman" w:cs="Times New Roman"/>
          <w:sz w:val="24"/>
          <w:szCs w:val="24"/>
          <w:highlight w:val="green"/>
          <w:vertAlign w:val="subscript"/>
        </w:rPr>
        <w:t>i</w:t>
      </w:r>
      <w:r>
        <w:rPr>
          <w:rFonts w:ascii="Times New Roman" w:hAnsi="Times New Roman" w:cs="Times New Roman"/>
          <w:sz w:val="24"/>
          <w:szCs w:val="24"/>
          <w:highlight w:val="green"/>
        </w:rPr>
        <w:t xml:space="preserve">; </w:t>
      </w:r>
      <w:proofErr w:type="spellStart"/>
      <w:r>
        <w:rPr>
          <w:rFonts w:ascii="Times New Roman" w:hAnsi="Times New Roman" w:cs="Times New Roman"/>
          <w:i/>
          <w:iCs/>
          <w:sz w:val="24"/>
          <w:szCs w:val="24"/>
          <w:highlight w:val="green"/>
        </w:rPr>
        <w:t>s</w:t>
      </w:r>
      <w:r>
        <w:rPr>
          <w:rFonts w:ascii="Times New Roman" w:hAnsi="Times New Roman" w:cs="Times New Roman"/>
          <w:sz w:val="24"/>
          <w:szCs w:val="24"/>
          <w:highlight w:val="green"/>
          <w:vertAlign w:val="subscript"/>
        </w:rPr>
        <w:t>i</w:t>
      </w:r>
      <w:proofErr w:type="spellEnd"/>
      <w:r>
        <w:rPr>
          <w:rFonts w:ascii="Times New Roman" w:hAnsi="Times New Roman" w:cs="Times New Roman"/>
          <w:sz w:val="24"/>
          <w:szCs w:val="24"/>
          <w:highlight w:val="green"/>
        </w:rPr>
        <w:t xml:space="preserve"> is a shape exponent. The overall desirability </w:t>
      </w:r>
      <w:r>
        <w:rPr>
          <w:rFonts w:ascii="Times New Roman" w:hAnsi="Times New Roman" w:cs="Times New Roman"/>
          <w:i/>
          <w:iCs/>
          <w:sz w:val="24"/>
          <w:szCs w:val="24"/>
          <w:highlight w:val="green"/>
        </w:rPr>
        <w:t>D</w:t>
      </w:r>
      <w:r>
        <w:rPr>
          <w:rFonts w:ascii="Times New Roman" w:hAnsi="Times New Roman" w:cs="Times New Roman"/>
          <w:sz w:val="24"/>
          <w:szCs w:val="24"/>
          <w:highlight w:val="green"/>
        </w:rPr>
        <w:t xml:space="preserve"> is the weighted geometric mean, Eq. (13), with the weights </w:t>
      </w:r>
      <w:proofErr w:type="spellStart"/>
      <w:r>
        <w:rPr>
          <w:rFonts w:ascii="Times New Roman" w:hAnsi="Times New Roman" w:cs="Times New Roman"/>
          <w:i/>
          <w:iCs/>
          <w:sz w:val="24"/>
          <w:szCs w:val="24"/>
          <w:highlight w:val="green"/>
        </w:rPr>
        <w:t>ω</w:t>
      </w:r>
      <w:r>
        <w:rPr>
          <w:rFonts w:ascii="Times New Roman" w:hAnsi="Times New Roman" w:cs="Times New Roman"/>
          <w:sz w:val="24"/>
          <w:szCs w:val="24"/>
          <w:highlight w:val="green"/>
          <w:vertAlign w:val="subscript"/>
        </w:rPr>
        <w:t>i</w:t>
      </w:r>
      <w:proofErr w:type="spellEnd"/>
      <w:r>
        <w:rPr>
          <w:rFonts w:ascii="Times New Roman" w:hAnsi="Times New Roman" w:cs="Times New Roman"/>
          <w:sz w:val="24"/>
          <w:szCs w:val="24"/>
          <w:highlight w:val="green"/>
        </w:rPr>
        <w:t xml:space="preserve"> of Table 8 (5, 4, 4, 3 and 4; </w:t>
      </w:r>
      <w:proofErr w:type="spellStart"/>
      <w:r>
        <w:rPr>
          <w:rFonts w:ascii="Times New Roman" w:hAnsi="Times New Roman" w:cs="Times New Roman"/>
          <w:sz w:val="24"/>
          <w:szCs w:val="24"/>
          <w:highlight w:val="green"/>
        </w:rPr>
        <w:t>Σ</w:t>
      </w:r>
      <w:r>
        <w:rPr>
          <w:rFonts w:ascii="Times New Roman" w:hAnsi="Times New Roman" w:cs="Times New Roman"/>
          <w:i/>
          <w:iCs/>
          <w:sz w:val="24"/>
          <w:szCs w:val="24"/>
          <w:highlight w:val="green"/>
        </w:rPr>
        <w:t>ω</w:t>
      </w:r>
      <w:r>
        <w:rPr>
          <w:rFonts w:ascii="Times New Roman" w:hAnsi="Times New Roman" w:cs="Times New Roman"/>
          <w:sz w:val="24"/>
          <w:szCs w:val="24"/>
          <w:highlight w:val="green"/>
          <w:vertAlign w:val="subscript"/>
        </w:rPr>
        <w:t>i</w:t>
      </w:r>
      <w:proofErr w:type="spellEnd"/>
      <w:r>
        <w:rPr>
          <w:rFonts w:ascii="Times New Roman" w:hAnsi="Times New Roman" w:cs="Times New Roman"/>
          <w:sz w:val="24"/>
          <w:szCs w:val="24"/>
          <w:highlight w:val="green"/>
        </w:rPr>
        <w:t xml:space="preserve"> = 20). The limits, targets and exponents behind the reported </w:t>
      </w:r>
      <w:r>
        <w:rPr>
          <w:rFonts w:ascii="Times New Roman" w:hAnsi="Times New Roman" w:cs="Times New Roman"/>
          <w:i/>
          <w:iCs/>
          <w:sz w:val="24"/>
          <w:szCs w:val="24"/>
          <w:highlight w:val="green"/>
        </w:rPr>
        <w:t>D</w:t>
      </w:r>
      <w:r>
        <w:rPr>
          <w:rFonts w:ascii="Times New Roman" w:hAnsi="Times New Roman" w:cs="Times New Roman"/>
          <w:sz w:val="24"/>
          <w:szCs w:val="24"/>
          <w:highlight w:val="green"/>
        </w:rPr>
        <w:t xml:space="preserve"> = 0.86</w:t>
      </w:r>
      <w:r w:rsidR="00E402F6">
        <w:rPr>
          <w:rFonts w:ascii="Times New Roman" w:hAnsi="Times New Roman" w:cs="Times New Roman"/>
          <w:sz w:val="24"/>
          <w:szCs w:val="24"/>
        </w:rPr>
        <w:t>.</w:t>
      </w:r>
    </w:p>
    <w:p w14:paraId="0EBC83B4" w14:textId="77777777" w:rsidR="00B06580" w:rsidRPr="003E0CF1" w:rsidRDefault="00000000" w:rsidP="00F9519E">
      <w:pPr>
        <w:tabs>
          <w:tab w:val="center" w:pos="4513"/>
          <w:tab w:val="right" w:pos="9026"/>
        </w:tabs>
        <w:jc w:val="both"/>
        <w:rPr>
          <w:rFonts w:ascii="Times New Roman" w:hAnsi="Times New Roman" w:cs="Times New Roman"/>
          <w:sz w:val="24"/>
          <w:szCs w:val="24"/>
        </w:rPr>
      </w:pPr>
      <w:r>
        <w:rPr>
          <w:rFonts w:ascii="Times New Roman" w:hAnsi="Times New Roman" w:cs="Times New Roman"/>
          <w:sz w:val="24"/>
          <w:szCs w:val="24"/>
          <w:highlight w:val="green"/>
        </w:rPr>
        <w:tab/>
      </w:r>
      <m:oMath>
        <m:sSub>
          <m:sSubPr>
            <m:ctrlPr>
              <w:rPr>
                <w:rFonts w:ascii="Cambria Math" w:hAnsi="Cambria Math"/>
              </w:rPr>
            </m:ctrlPr>
          </m:sSubPr>
          <m:e>
            <m:r>
              <w:rPr>
                <w:rFonts w:ascii="Cambria Math" w:hAnsi="Cambria Math" w:cs="Cambria Math"/>
                <w:sz w:val="24"/>
                <w:szCs w:val="24"/>
                <w:highlight w:val="green"/>
              </w:rPr>
              <m:t>d</m:t>
            </m:r>
          </m:e>
          <m:sub>
            <m:r>
              <w:rPr>
                <w:rFonts w:ascii="Cambria Math" w:hAnsi="Cambria Math" w:cs="Cambria Math"/>
                <w:sz w:val="24"/>
                <w:szCs w:val="24"/>
                <w:highlight w:val="green"/>
              </w:rPr>
              <m:t>i</m:t>
            </m:r>
          </m:sub>
        </m:sSub>
        <m:r>
          <m:rPr>
            <m:sty m:val="p"/>
          </m:rPr>
          <w:rPr>
            <w:rFonts w:ascii="Cambria Math" w:hAnsi="Cambria Math" w:cs="Cambria Math"/>
            <w:sz w:val="24"/>
            <w:szCs w:val="24"/>
            <w:highlight w:val="green"/>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sz w:val="24"/>
                            <w:szCs w:val="24"/>
                            <w:highlight w:val="green"/>
                          </w:rPr>
                          <m:t>y</m:t>
                        </m:r>
                      </m:e>
                      <m:sub>
                        <m:r>
                          <w:rPr>
                            <w:rFonts w:ascii="Cambria Math" w:hAnsi="Cambria Math" w:cs="Cambria Math"/>
                            <w:sz w:val="24"/>
                            <w:szCs w:val="24"/>
                            <w:highlight w:val="green"/>
                          </w:rPr>
                          <m:t>i</m:t>
                        </m:r>
                      </m:sub>
                    </m:sSub>
                    <m:r>
                      <m:rPr>
                        <m:sty m:val="p"/>
                      </m:rPr>
                      <w:rPr>
                        <w:rFonts w:ascii="Cambria Math" w:hAnsi="Cambria Math" w:cs="Cambria Math"/>
                        <w:sz w:val="24"/>
                        <w:szCs w:val="24"/>
                        <w:highlight w:val="green"/>
                      </w:rPr>
                      <m:t>-</m:t>
                    </m:r>
                    <m:sSub>
                      <m:sSubPr>
                        <m:ctrlPr>
                          <w:rPr>
                            <w:rFonts w:ascii="Cambria Math" w:hAnsi="Cambria Math"/>
                          </w:rPr>
                        </m:ctrlPr>
                      </m:sSubPr>
                      <m:e>
                        <m:r>
                          <w:rPr>
                            <w:rFonts w:ascii="Cambria Math" w:hAnsi="Cambria Math" w:cs="Cambria Math"/>
                            <w:sz w:val="24"/>
                            <w:szCs w:val="24"/>
                            <w:highlight w:val="green"/>
                          </w:rPr>
                          <m:t>L</m:t>
                        </m:r>
                      </m:e>
                      <m:sub>
                        <m:r>
                          <w:rPr>
                            <w:rFonts w:ascii="Cambria Math" w:hAnsi="Cambria Math" w:cs="Cambria Math"/>
                            <w:sz w:val="24"/>
                            <w:szCs w:val="24"/>
                            <w:highlight w:val="green"/>
                          </w:rPr>
                          <m:t>i</m:t>
                        </m:r>
                      </m:sub>
                    </m:sSub>
                  </m:num>
                  <m:den>
                    <m:sSub>
                      <m:sSubPr>
                        <m:ctrlPr>
                          <w:rPr>
                            <w:rFonts w:ascii="Cambria Math" w:hAnsi="Cambria Math"/>
                          </w:rPr>
                        </m:ctrlPr>
                      </m:sSubPr>
                      <m:e>
                        <m:r>
                          <w:rPr>
                            <w:rFonts w:ascii="Cambria Math" w:hAnsi="Cambria Math" w:cs="Cambria Math"/>
                            <w:sz w:val="24"/>
                            <w:szCs w:val="24"/>
                            <w:highlight w:val="green"/>
                          </w:rPr>
                          <m:t>T</m:t>
                        </m:r>
                      </m:e>
                      <m:sub>
                        <m:r>
                          <w:rPr>
                            <w:rFonts w:ascii="Cambria Math" w:hAnsi="Cambria Math" w:cs="Cambria Math"/>
                            <w:sz w:val="24"/>
                            <w:szCs w:val="24"/>
                            <w:highlight w:val="green"/>
                          </w:rPr>
                          <m:t>i</m:t>
                        </m:r>
                      </m:sub>
                    </m:sSub>
                    <m:r>
                      <m:rPr>
                        <m:sty m:val="p"/>
                      </m:rPr>
                      <w:rPr>
                        <w:rFonts w:ascii="Cambria Math" w:hAnsi="Cambria Math" w:cs="Cambria Math"/>
                        <w:sz w:val="24"/>
                        <w:szCs w:val="24"/>
                        <w:highlight w:val="green"/>
                      </w:rPr>
                      <m:t>-</m:t>
                    </m:r>
                    <m:sSub>
                      <m:sSubPr>
                        <m:ctrlPr>
                          <w:rPr>
                            <w:rFonts w:ascii="Cambria Math" w:hAnsi="Cambria Math"/>
                          </w:rPr>
                        </m:ctrlPr>
                      </m:sSubPr>
                      <m:e>
                        <m:r>
                          <w:rPr>
                            <w:rFonts w:ascii="Cambria Math" w:hAnsi="Cambria Math" w:cs="Cambria Math"/>
                            <w:sz w:val="24"/>
                            <w:szCs w:val="24"/>
                            <w:highlight w:val="green"/>
                          </w:rPr>
                          <m:t>L</m:t>
                        </m:r>
                      </m:e>
                      <m:sub>
                        <m:r>
                          <w:rPr>
                            <w:rFonts w:ascii="Cambria Math" w:hAnsi="Cambria Math" w:cs="Cambria Math"/>
                            <w:sz w:val="24"/>
                            <w:szCs w:val="24"/>
                            <w:highlight w:val="green"/>
                          </w:rPr>
                          <m:t>i</m:t>
                        </m:r>
                      </m:sub>
                    </m:sSub>
                  </m:den>
                </m:f>
              </m:e>
            </m:d>
          </m:e>
          <m:sup>
            <m:sSub>
              <m:sSubPr>
                <m:ctrlPr>
                  <w:rPr>
                    <w:rFonts w:ascii="Cambria Math" w:hAnsi="Cambria Math"/>
                  </w:rPr>
                </m:ctrlPr>
              </m:sSubPr>
              <m:e>
                <m:r>
                  <w:rPr>
                    <w:rFonts w:ascii="Cambria Math" w:hAnsi="Cambria Math" w:cs="Cambria Math"/>
                    <w:sz w:val="24"/>
                    <w:szCs w:val="24"/>
                    <w:highlight w:val="green"/>
                  </w:rPr>
                  <m:t>s</m:t>
                </m:r>
              </m:e>
              <m:sub>
                <m:r>
                  <w:rPr>
                    <w:rFonts w:ascii="Cambria Math" w:hAnsi="Cambria Math" w:cs="Cambria Math"/>
                    <w:sz w:val="24"/>
                    <w:szCs w:val="24"/>
                    <w:highlight w:val="green"/>
                  </w:rPr>
                  <m:t>i</m:t>
                </m:r>
              </m:sub>
            </m:sSub>
          </m:sup>
        </m:sSup>
      </m:oMath>
      <w:r>
        <w:rPr>
          <w:rFonts w:ascii="Times New Roman" w:hAnsi="Times New Roman" w:cs="Times New Roman"/>
          <w:sz w:val="24"/>
          <w:szCs w:val="24"/>
          <w:highlight w:val="green"/>
        </w:rPr>
        <w:tab/>
        <w:t>(11)</w:t>
      </w:r>
    </w:p>
    <w:p w14:paraId="71155A0B" w14:textId="77777777" w:rsidR="00B06580" w:rsidRPr="003E0CF1" w:rsidRDefault="00000000" w:rsidP="00F9519E">
      <w:pPr>
        <w:tabs>
          <w:tab w:val="center" w:pos="4513"/>
          <w:tab w:val="right" w:pos="9026"/>
        </w:tabs>
        <w:jc w:val="both"/>
        <w:rPr>
          <w:rFonts w:ascii="Times New Roman" w:hAnsi="Times New Roman" w:cs="Times New Roman"/>
          <w:sz w:val="24"/>
          <w:szCs w:val="24"/>
        </w:rPr>
      </w:pPr>
      <w:r>
        <w:rPr>
          <w:rFonts w:ascii="Times New Roman" w:hAnsi="Times New Roman" w:cs="Times New Roman"/>
          <w:sz w:val="24"/>
          <w:szCs w:val="24"/>
          <w:highlight w:val="green"/>
        </w:rPr>
        <w:tab/>
      </w:r>
      <m:oMath>
        <m:sSub>
          <m:sSubPr>
            <m:ctrlPr>
              <w:rPr>
                <w:rFonts w:ascii="Cambria Math" w:hAnsi="Cambria Math"/>
              </w:rPr>
            </m:ctrlPr>
          </m:sSubPr>
          <m:e>
            <m:r>
              <w:rPr>
                <w:rFonts w:ascii="Cambria Math" w:hAnsi="Cambria Math" w:cs="Cambria Math"/>
                <w:sz w:val="24"/>
                <w:szCs w:val="24"/>
                <w:highlight w:val="green"/>
              </w:rPr>
              <m:t>d</m:t>
            </m:r>
          </m:e>
          <m:sub>
            <m:r>
              <w:rPr>
                <w:rFonts w:ascii="Cambria Math" w:hAnsi="Cambria Math" w:cs="Cambria Math"/>
                <w:sz w:val="24"/>
                <w:szCs w:val="24"/>
                <w:highlight w:val="green"/>
              </w:rPr>
              <m:t>i</m:t>
            </m:r>
          </m:sub>
        </m:sSub>
        <m:r>
          <m:rPr>
            <m:sty m:val="p"/>
          </m:rPr>
          <w:rPr>
            <w:rFonts w:ascii="Cambria Math" w:hAnsi="Cambria Math" w:cs="Cambria Math"/>
            <w:sz w:val="24"/>
            <w:szCs w:val="24"/>
            <w:highlight w:val="green"/>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sz w:val="24"/>
                            <w:szCs w:val="24"/>
                            <w:highlight w:val="green"/>
                          </w:rPr>
                          <m:t>U</m:t>
                        </m:r>
                      </m:e>
                      <m:sub>
                        <m:r>
                          <w:rPr>
                            <w:rFonts w:ascii="Cambria Math" w:hAnsi="Cambria Math" w:cs="Cambria Math"/>
                            <w:sz w:val="24"/>
                            <w:szCs w:val="24"/>
                            <w:highlight w:val="green"/>
                          </w:rPr>
                          <m:t>i</m:t>
                        </m:r>
                      </m:sub>
                    </m:sSub>
                    <m:r>
                      <m:rPr>
                        <m:sty m:val="p"/>
                      </m:rPr>
                      <w:rPr>
                        <w:rFonts w:ascii="Cambria Math" w:hAnsi="Cambria Math" w:cs="Cambria Math"/>
                        <w:sz w:val="24"/>
                        <w:szCs w:val="24"/>
                        <w:highlight w:val="green"/>
                      </w:rPr>
                      <m:t>-</m:t>
                    </m:r>
                    <m:sSub>
                      <m:sSubPr>
                        <m:ctrlPr>
                          <w:rPr>
                            <w:rFonts w:ascii="Cambria Math" w:hAnsi="Cambria Math"/>
                          </w:rPr>
                        </m:ctrlPr>
                      </m:sSubPr>
                      <m:e>
                        <m:r>
                          <w:rPr>
                            <w:rFonts w:ascii="Cambria Math" w:hAnsi="Cambria Math" w:cs="Cambria Math"/>
                            <w:sz w:val="24"/>
                            <w:szCs w:val="24"/>
                            <w:highlight w:val="green"/>
                          </w:rPr>
                          <m:t>y</m:t>
                        </m:r>
                      </m:e>
                      <m:sub>
                        <m:r>
                          <w:rPr>
                            <w:rFonts w:ascii="Cambria Math" w:hAnsi="Cambria Math" w:cs="Cambria Math"/>
                            <w:sz w:val="24"/>
                            <w:szCs w:val="24"/>
                            <w:highlight w:val="green"/>
                          </w:rPr>
                          <m:t>i</m:t>
                        </m:r>
                      </m:sub>
                    </m:sSub>
                  </m:num>
                  <m:den>
                    <m:sSub>
                      <m:sSubPr>
                        <m:ctrlPr>
                          <w:rPr>
                            <w:rFonts w:ascii="Cambria Math" w:hAnsi="Cambria Math"/>
                          </w:rPr>
                        </m:ctrlPr>
                      </m:sSubPr>
                      <m:e>
                        <m:r>
                          <w:rPr>
                            <w:rFonts w:ascii="Cambria Math" w:hAnsi="Cambria Math" w:cs="Cambria Math"/>
                            <w:sz w:val="24"/>
                            <w:szCs w:val="24"/>
                            <w:highlight w:val="green"/>
                          </w:rPr>
                          <m:t>U</m:t>
                        </m:r>
                      </m:e>
                      <m:sub>
                        <m:r>
                          <w:rPr>
                            <w:rFonts w:ascii="Cambria Math" w:hAnsi="Cambria Math" w:cs="Cambria Math"/>
                            <w:sz w:val="24"/>
                            <w:szCs w:val="24"/>
                            <w:highlight w:val="green"/>
                          </w:rPr>
                          <m:t>i</m:t>
                        </m:r>
                      </m:sub>
                    </m:sSub>
                    <m:r>
                      <m:rPr>
                        <m:sty m:val="p"/>
                      </m:rPr>
                      <w:rPr>
                        <w:rFonts w:ascii="Cambria Math" w:hAnsi="Cambria Math" w:cs="Cambria Math"/>
                        <w:sz w:val="24"/>
                        <w:szCs w:val="24"/>
                        <w:highlight w:val="green"/>
                      </w:rPr>
                      <m:t>-</m:t>
                    </m:r>
                    <m:sSub>
                      <m:sSubPr>
                        <m:ctrlPr>
                          <w:rPr>
                            <w:rFonts w:ascii="Cambria Math" w:hAnsi="Cambria Math"/>
                          </w:rPr>
                        </m:ctrlPr>
                      </m:sSubPr>
                      <m:e>
                        <m:r>
                          <w:rPr>
                            <w:rFonts w:ascii="Cambria Math" w:hAnsi="Cambria Math" w:cs="Cambria Math"/>
                            <w:sz w:val="24"/>
                            <w:szCs w:val="24"/>
                            <w:highlight w:val="green"/>
                          </w:rPr>
                          <m:t>T</m:t>
                        </m:r>
                      </m:e>
                      <m:sub>
                        <m:r>
                          <w:rPr>
                            <w:rFonts w:ascii="Cambria Math" w:hAnsi="Cambria Math" w:cs="Cambria Math"/>
                            <w:sz w:val="24"/>
                            <w:szCs w:val="24"/>
                            <w:highlight w:val="green"/>
                          </w:rPr>
                          <m:t>i</m:t>
                        </m:r>
                      </m:sub>
                    </m:sSub>
                  </m:den>
                </m:f>
              </m:e>
            </m:d>
          </m:e>
          <m:sup>
            <m:sSub>
              <m:sSubPr>
                <m:ctrlPr>
                  <w:rPr>
                    <w:rFonts w:ascii="Cambria Math" w:hAnsi="Cambria Math"/>
                  </w:rPr>
                </m:ctrlPr>
              </m:sSubPr>
              <m:e>
                <m:r>
                  <w:rPr>
                    <w:rFonts w:ascii="Cambria Math" w:hAnsi="Cambria Math" w:cs="Cambria Math"/>
                    <w:sz w:val="24"/>
                    <w:szCs w:val="24"/>
                    <w:highlight w:val="green"/>
                  </w:rPr>
                  <m:t>s</m:t>
                </m:r>
              </m:e>
              <m:sub>
                <m:r>
                  <w:rPr>
                    <w:rFonts w:ascii="Cambria Math" w:hAnsi="Cambria Math" w:cs="Cambria Math"/>
                    <w:sz w:val="24"/>
                    <w:szCs w:val="24"/>
                    <w:highlight w:val="green"/>
                  </w:rPr>
                  <m:t>i</m:t>
                </m:r>
              </m:sub>
            </m:sSub>
          </m:sup>
        </m:sSup>
      </m:oMath>
      <w:r>
        <w:rPr>
          <w:rFonts w:ascii="Times New Roman" w:hAnsi="Times New Roman" w:cs="Times New Roman"/>
          <w:sz w:val="24"/>
          <w:szCs w:val="24"/>
          <w:highlight w:val="green"/>
        </w:rPr>
        <w:tab/>
        <w:t>(12)</w:t>
      </w:r>
    </w:p>
    <w:p w14:paraId="5B2C470A" w14:textId="77777777" w:rsidR="00B06580" w:rsidRPr="003E0CF1" w:rsidRDefault="00000000" w:rsidP="00F9519E">
      <w:pPr>
        <w:tabs>
          <w:tab w:val="center" w:pos="4513"/>
          <w:tab w:val="right" w:pos="9026"/>
        </w:tabs>
        <w:jc w:val="both"/>
        <w:rPr>
          <w:rFonts w:ascii="Times New Roman" w:hAnsi="Times New Roman" w:cs="Times New Roman"/>
          <w:sz w:val="24"/>
          <w:szCs w:val="24"/>
        </w:rPr>
      </w:pPr>
      <w:r>
        <w:rPr>
          <w:rFonts w:ascii="Times New Roman" w:hAnsi="Times New Roman" w:cs="Times New Roman"/>
          <w:sz w:val="24"/>
          <w:szCs w:val="24"/>
          <w:highlight w:val="green"/>
        </w:rPr>
        <w:tab/>
      </w:r>
      <m:oMath>
        <m:r>
          <w:rPr>
            <w:rFonts w:ascii="Cambria Math" w:hAnsi="Cambria Math" w:cs="Cambria Math"/>
            <w:sz w:val="24"/>
            <w:szCs w:val="24"/>
            <w:highlight w:val="green"/>
          </w:rPr>
          <m:t>D</m:t>
        </m:r>
        <m:r>
          <m:rPr>
            <m:sty m:val="p"/>
          </m:rPr>
          <w:rPr>
            <w:rFonts w:ascii="Cambria Math" w:hAnsi="Cambria Math" w:cs="Cambria Math"/>
            <w:sz w:val="24"/>
            <w:szCs w:val="24"/>
            <w:highlight w:val="green"/>
          </w:rPr>
          <m:t>=</m:t>
        </m:r>
        <m:sSup>
          <m:sSupPr>
            <m:ctrlPr>
              <w:rPr>
                <w:rFonts w:ascii="Cambria Math" w:hAnsi="Cambria Math"/>
              </w:rPr>
            </m:ctrlPr>
          </m:sSupPr>
          <m:e>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cs="Cambria Math"/>
                        <w:sz w:val="24"/>
                        <w:szCs w:val="24"/>
                        <w:highlight w:val="green"/>
                      </w:rPr>
                      <m:t>i</m:t>
                    </m:r>
                  </m:sub>
                  <m:sup/>
                  <m:e>
                    <m:sSubSup>
                      <m:sSubSupPr>
                        <m:ctrlPr>
                          <w:rPr>
                            <w:rFonts w:ascii="Cambria Math" w:hAnsi="Cambria Math"/>
                          </w:rPr>
                        </m:ctrlPr>
                      </m:sSubSupPr>
                      <m:e>
                        <m:r>
                          <w:rPr>
                            <w:rFonts w:ascii="Cambria Math" w:hAnsi="Cambria Math" w:cs="Cambria Math"/>
                            <w:sz w:val="24"/>
                            <w:szCs w:val="24"/>
                            <w:highlight w:val="green"/>
                          </w:rPr>
                          <m:t>d</m:t>
                        </m:r>
                      </m:e>
                      <m:sub>
                        <m:r>
                          <w:rPr>
                            <w:rFonts w:ascii="Cambria Math" w:hAnsi="Cambria Math" w:cs="Cambria Math"/>
                            <w:sz w:val="24"/>
                            <w:szCs w:val="24"/>
                            <w:highlight w:val="green"/>
                          </w:rPr>
                          <m:t>i</m:t>
                        </m:r>
                      </m:sub>
                      <m:sup>
                        <m:sSub>
                          <m:sSubPr>
                            <m:ctrlPr>
                              <w:rPr>
                                <w:rFonts w:ascii="Cambria Math" w:hAnsi="Cambria Math"/>
                              </w:rPr>
                            </m:ctrlPr>
                          </m:sSubPr>
                          <m:e>
                            <m:r>
                              <w:rPr>
                                <w:rFonts w:ascii="Cambria Math" w:hAnsi="Cambria Math" w:cs="Cambria Math"/>
                                <w:sz w:val="24"/>
                                <w:szCs w:val="24"/>
                                <w:highlight w:val="green"/>
                              </w:rPr>
                              <m:t>ω</m:t>
                            </m:r>
                          </m:e>
                          <m:sub>
                            <m:r>
                              <w:rPr>
                                <w:rFonts w:ascii="Cambria Math" w:hAnsi="Cambria Math" w:cs="Cambria Math"/>
                                <w:sz w:val="24"/>
                                <w:szCs w:val="24"/>
                                <w:highlight w:val="green"/>
                              </w:rPr>
                              <m:t>i</m:t>
                            </m:r>
                          </m:sub>
                        </m:sSub>
                      </m:sup>
                    </m:sSubSup>
                  </m:e>
                </m:nary>
              </m:e>
            </m:d>
          </m:e>
          <m:sup>
            <m:f>
              <m:fPr>
                <m:type m:val="lin"/>
                <m:ctrlPr>
                  <w:rPr>
                    <w:rFonts w:ascii="Cambria Math" w:hAnsi="Cambria Math"/>
                  </w:rPr>
                </m:ctrlPr>
              </m:fPr>
              <m:num>
                <m:r>
                  <m:rPr>
                    <m:sty m:val="p"/>
                  </m:rPr>
                  <w:rPr>
                    <w:rFonts w:ascii="Cambria Math" w:hAnsi="Cambria Math" w:cs="Cambria Math"/>
                    <w:sz w:val="24"/>
                    <w:szCs w:val="24"/>
                    <w:highlight w:val="green"/>
                  </w:rPr>
                  <m:t>1</m:t>
                </m:r>
              </m:num>
              <m:den>
                <m:nary>
                  <m:naryPr>
                    <m:chr m:val="∑"/>
                    <m:limLoc m:val="subSup"/>
                    <m:supHide m:val="1"/>
                    <m:ctrlPr>
                      <w:rPr>
                        <w:rFonts w:ascii="Cambria Math" w:hAnsi="Cambria Math"/>
                      </w:rPr>
                    </m:ctrlPr>
                  </m:naryPr>
                  <m:sub>
                    <m:r>
                      <w:rPr>
                        <w:rFonts w:ascii="Cambria Math" w:hAnsi="Cambria Math" w:cs="Cambria Math"/>
                        <w:sz w:val="24"/>
                        <w:szCs w:val="24"/>
                        <w:highlight w:val="green"/>
                      </w:rPr>
                      <m:t>i</m:t>
                    </m:r>
                  </m:sub>
                  <m:sup/>
                  <m:e>
                    <m:sSub>
                      <m:sSubPr>
                        <m:ctrlPr>
                          <w:rPr>
                            <w:rFonts w:ascii="Cambria Math" w:hAnsi="Cambria Math"/>
                          </w:rPr>
                        </m:ctrlPr>
                      </m:sSubPr>
                      <m:e>
                        <m:r>
                          <w:rPr>
                            <w:rFonts w:ascii="Cambria Math" w:hAnsi="Cambria Math" w:cs="Cambria Math"/>
                            <w:sz w:val="24"/>
                            <w:szCs w:val="24"/>
                            <w:highlight w:val="green"/>
                          </w:rPr>
                          <m:t>ω</m:t>
                        </m:r>
                      </m:e>
                      <m:sub>
                        <m:r>
                          <w:rPr>
                            <w:rFonts w:ascii="Cambria Math" w:hAnsi="Cambria Math" w:cs="Cambria Math"/>
                            <w:sz w:val="24"/>
                            <w:szCs w:val="24"/>
                            <w:highlight w:val="green"/>
                          </w:rPr>
                          <m:t>i</m:t>
                        </m:r>
                      </m:sub>
                    </m:sSub>
                  </m:e>
                </m:nary>
              </m:den>
            </m:f>
          </m:sup>
        </m:sSup>
      </m:oMath>
      <w:r>
        <w:rPr>
          <w:rFonts w:ascii="Times New Roman" w:hAnsi="Times New Roman" w:cs="Times New Roman"/>
          <w:sz w:val="24"/>
          <w:szCs w:val="24"/>
          <w:highlight w:val="green"/>
        </w:rPr>
        <w:tab/>
        <w:t>(13)</w:t>
      </w:r>
    </w:p>
    <w:p w14:paraId="4CAE2BF7" w14:textId="77777777" w:rsidR="00B06580" w:rsidRPr="003E0CF1" w:rsidRDefault="00000000" w:rsidP="00F9519E">
      <w:pPr>
        <w:keepNext/>
        <w:jc w:val="both"/>
        <w:rPr>
          <w:rFonts w:ascii="Times New Roman" w:hAnsi="Times New Roman" w:cs="Times New Roman"/>
          <w:sz w:val="24"/>
          <w:szCs w:val="24"/>
        </w:rPr>
      </w:pPr>
      <w:r>
        <w:rPr>
          <w:rFonts w:ascii="Times New Roman" w:hAnsi="Times New Roman" w:cs="Times New Roman"/>
          <w:b/>
          <w:bCs/>
          <w:i/>
          <w:iCs/>
          <w:sz w:val="24"/>
          <w:szCs w:val="24"/>
          <w:highlight w:val="green"/>
        </w:rPr>
        <w:t>3.12.5 Derived comparison metrics</w:t>
      </w:r>
    </w:p>
    <w:p w14:paraId="50D97AB2"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 xml:space="preserve">The percentage change of mixture </w:t>
      </w:r>
      <w:r>
        <w:rPr>
          <w:rFonts w:ascii="Times New Roman" w:hAnsi="Times New Roman" w:cs="Times New Roman"/>
          <w:i/>
          <w:iCs/>
          <w:sz w:val="24"/>
          <w:szCs w:val="24"/>
          <w:highlight w:val="green"/>
        </w:rPr>
        <w:t>j</w:t>
      </w:r>
      <w:r>
        <w:rPr>
          <w:rFonts w:ascii="Times New Roman" w:hAnsi="Times New Roman" w:cs="Times New Roman"/>
          <w:sz w:val="24"/>
          <w:szCs w:val="24"/>
          <w:highlight w:val="green"/>
        </w:rPr>
        <w:t xml:space="preserve"> relative to the control is given by Eq. (14). The Pearson coefficient used in Table 10 is given by Eq. (15). As an indicative eco-efficiency measure, the compressive strength is divided by the global warming potential, Eq. (16); because GWP in </w:t>
      </w:r>
      <w:r>
        <w:rPr>
          <w:rFonts w:ascii="Times New Roman" w:hAnsi="Times New Roman" w:cs="Times New Roman"/>
          <w:sz w:val="24"/>
          <w:szCs w:val="24"/>
          <w:highlight w:val="green"/>
        </w:rPr>
        <w:lastRenderedPageBreak/>
        <w:t>Table 9 is expressed per kilogram of material and not per functional unit, this indicator is used for comparison only.</w:t>
      </w:r>
    </w:p>
    <w:p w14:paraId="4244E1F2" w14:textId="77777777" w:rsidR="00B06580" w:rsidRPr="003E0CF1" w:rsidRDefault="00000000" w:rsidP="00F9519E">
      <w:pPr>
        <w:tabs>
          <w:tab w:val="center" w:pos="4513"/>
          <w:tab w:val="right" w:pos="9026"/>
        </w:tabs>
        <w:jc w:val="both"/>
        <w:rPr>
          <w:rFonts w:ascii="Times New Roman" w:hAnsi="Times New Roman" w:cs="Times New Roman"/>
          <w:sz w:val="24"/>
          <w:szCs w:val="24"/>
        </w:rPr>
      </w:pPr>
      <w:r>
        <w:rPr>
          <w:rFonts w:ascii="Times New Roman" w:hAnsi="Times New Roman" w:cs="Times New Roman"/>
          <w:sz w:val="24"/>
          <w:szCs w:val="24"/>
          <w:highlight w:val="green"/>
        </w:rPr>
        <w:tab/>
      </w:r>
      <m:oMath>
        <m:sSub>
          <m:sSubPr>
            <m:ctrlPr>
              <w:rPr>
                <w:rFonts w:ascii="Cambria Math" w:hAnsi="Cambria Math"/>
              </w:rPr>
            </m:ctrlPr>
          </m:sSubPr>
          <m:e>
            <m:r>
              <m:rPr>
                <m:sty m:val="p"/>
              </m:rPr>
              <w:rPr>
                <w:rFonts w:ascii="Cambria Math" w:hAnsi="Cambria Math" w:cs="Cambria Math"/>
                <w:sz w:val="24"/>
                <w:szCs w:val="24"/>
                <w:highlight w:val="green"/>
              </w:rPr>
              <m:t>Δ</m:t>
            </m:r>
          </m:e>
          <m:sub>
            <m:r>
              <w:rPr>
                <w:rFonts w:ascii="Cambria Math" w:hAnsi="Cambria Math" w:cs="Cambria Math"/>
                <w:sz w:val="24"/>
                <w:szCs w:val="24"/>
                <w:highlight w:val="green"/>
              </w:rPr>
              <m:t>j</m:t>
            </m:r>
          </m:sub>
        </m:sSub>
        <m:d>
          <m:dPr>
            <m:ctrlPr>
              <w:rPr>
                <w:rFonts w:ascii="Cambria Math" w:hAnsi="Cambria Math"/>
              </w:rPr>
            </m:ctrlPr>
          </m:dPr>
          <m:e>
            <m:r>
              <m:rPr>
                <m:sty m:val="p"/>
              </m:rPr>
              <w:rPr>
                <w:rFonts w:ascii="Cambria Math" w:hAnsi="Cambria Math" w:cs="Cambria Math"/>
                <w:sz w:val="24"/>
                <w:szCs w:val="24"/>
                <w:highlight w:val="green"/>
              </w:rPr>
              <m:t>%</m:t>
            </m:r>
          </m:e>
        </m:d>
        <m:r>
          <m:rPr>
            <m:sty m:val="p"/>
          </m:rPr>
          <w:rPr>
            <w:rFonts w:ascii="Cambria Math" w:hAnsi="Cambria Math" w:cs="Cambria Math"/>
            <w:sz w:val="24"/>
            <w:szCs w:val="24"/>
            <w:highlight w:val="green"/>
          </w:rPr>
          <m:t>=100</m:t>
        </m:r>
        <m:f>
          <m:fPr>
            <m:ctrlPr>
              <w:rPr>
                <w:rFonts w:ascii="Cambria Math" w:hAnsi="Cambria Math"/>
              </w:rPr>
            </m:ctrlPr>
          </m:fPr>
          <m:num>
            <m:sSub>
              <m:sSubPr>
                <m:ctrlPr>
                  <w:rPr>
                    <w:rFonts w:ascii="Cambria Math" w:hAnsi="Cambria Math"/>
                  </w:rPr>
                </m:ctrlPr>
              </m:sSubPr>
              <m:e>
                <m:r>
                  <w:rPr>
                    <w:rFonts w:ascii="Cambria Math" w:hAnsi="Cambria Math" w:cs="Cambria Math"/>
                    <w:sz w:val="24"/>
                    <w:szCs w:val="24"/>
                    <w:highlight w:val="green"/>
                  </w:rPr>
                  <m:t>y</m:t>
                </m:r>
              </m:e>
              <m:sub>
                <m:r>
                  <w:rPr>
                    <w:rFonts w:ascii="Cambria Math" w:hAnsi="Cambria Math" w:cs="Cambria Math"/>
                    <w:sz w:val="24"/>
                    <w:szCs w:val="24"/>
                    <w:highlight w:val="green"/>
                  </w:rPr>
                  <m:t>j</m:t>
                </m:r>
              </m:sub>
            </m:sSub>
            <m:r>
              <m:rPr>
                <m:sty m:val="p"/>
              </m:rPr>
              <w:rPr>
                <w:rFonts w:ascii="Cambria Math" w:hAnsi="Cambria Math" w:cs="Cambria Math"/>
                <w:sz w:val="24"/>
                <w:szCs w:val="24"/>
                <w:highlight w:val="green"/>
              </w:rPr>
              <m:t>-</m:t>
            </m:r>
            <m:sSub>
              <m:sSubPr>
                <m:ctrlPr>
                  <w:rPr>
                    <w:rFonts w:ascii="Cambria Math" w:hAnsi="Cambria Math"/>
                  </w:rPr>
                </m:ctrlPr>
              </m:sSubPr>
              <m:e>
                <m:r>
                  <w:rPr>
                    <w:rFonts w:ascii="Cambria Math" w:hAnsi="Cambria Math" w:cs="Cambria Math"/>
                    <w:sz w:val="24"/>
                    <w:szCs w:val="24"/>
                    <w:highlight w:val="green"/>
                  </w:rPr>
                  <m:t>y</m:t>
                </m:r>
              </m:e>
              <m:sub>
                <m:r>
                  <m:rPr>
                    <m:sty m:val="p"/>
                  </m:rPr>
                  <w:rPr>
                    <w:rFonts w:ascii="Cambria Math" w:hAnsi="Cambria Math" w:cs="Cambria Math"/>
                    <w:sz w:val="24"/>
                    <w:szCs w:val="24"/>
                    <w:highlight w:val="green"/>
                  </w:rPr>
                  <m:t>C0</m:t>
                </m:r>
              </m:sub>
            </m:sSub>
          </m:num>
          <m:den>
            <m:sSub>
              <m:sSubPr>
                <m:ctrlPr>
                  <w:rPr>
                    <w:rFonts w:ascii="Cambria Math" w:hAnsi="Cambria Math"/>
                  </w:rPr>
                </m:ctrlPr>
              </m:sSubPr>
              <m:e>
                <m:r>
                  <w:rPr>
                    <w:rFonts w:ascii="Cambria Math" w:hAnsi="Cambria Math" w:cs="Cambria Math"/>
                    <w:sz w:val="24"/>
                    <w:szCs w:val="24"/>
                    <w:highlight w:val="green"/>
                  </w:rPr>
                  <m:t>y</m:t>
                </m:r>
              </m:e>
              <m:sub>
                <m:r>
                  <m:rPr>
                    <m:sty m:val="p"/>
                  </m:rPr>
                  <w:rPr>
                    <w:rFonts w:ascii="Cambria Math" w:hAnsi="Cambria Math" w:cs="Cambria Math"/>
                    <w:sz w:val="24"/>
                    <w:szCs w:val="24"/>
                    <w:highlight w:val="green"/>
                  </w:rPr>
                  <m:t>C0</m:t>
                </m:r>
              </m:sub>
            </m:sSub>
          </m:den>
        </m:f>
      </m:oMath>
      <w:r>
        <w:rPr>
          <w:rFonts w:ascii="Times New Roman" w:hAnsi="Times New Roman" w:cs="Times New Roman"/>
          <w:sz w:val="24"/>
          <w:szCs w:val="24"/>
          <w:highlight w:val="green"/>
        </w:rPr>
        <w:tab/>
        <w:t>(14)</w:t>
      </w:r>
    </w:p>
    <w:p w14:paraId="679CCE3D" w14:textId="77777777" w:rsidR="00B06580" w:rsidRPr="003E0CF1" w:rsidRDefault="00000000" w:rsidP="00F9519E">
      <w:pPr>
        <w:tabs>
          <w:tab w:val="center" w:pos="4513"/>
          <w:tab w:val="right" w:pos="9026"/>
        </w:tabs>
        <w:jc w:val="both"/>
        <w:rPr>
          <w:rFonts w:ascii="Times New Roman" w:hAnsi="Times New Roman" w:cs="Times New Roman"/>
          <w:sz w:val="24"/>
          <w:szCs w:val="24"/>
        </w:rPr>
      </w:pPr>
      <w:r>
        <w:rPr>
          <w:rFonts w:ascii="Times New Roman" w:hAnsi="Times New Roman" w:cs="Times New Roman"/>
          <w:sz w:val="24"/>
          <w:szCs w:val="24"/>
          <w:highlight w:val="green"/>
        </w:rPr>
        <w:tab/>
      </w:r>
      <m:oMath>
        <m:r>
          <w:rPr>
            <w:rFonts w:ascii="Cambria Math" w:hAnsi="Cambria Math" w:cs="Cambria Math"/>
            <w:sz w:val="24"/>
            <w:szCs w:val="24"/>
            <w:highlight w:val="green"/>
          </w:rPr>
          <m:t>r</m:t>
        </m:r>
        <m:r>
          <m:rPr>
            <m:sty m:val="p"/>
          </m:rPr>
          <w:rPr>
            <w:rFonts w:ascii="Cambria Math" w:hAnsi="Cambria Math" w:cs="Cambria Math"/>
            <w:sz w:val="24"/>
            <w:szCs w:val="24"/>
            <w:highlight w:val="green"/>
          </w:rPr>
          <m:t>=</m:t>
        </m:r>
        <m:f>
          <m:fPr>
            <m:ctrlPr>
              <w:rPr>
                <w:rFonts w:ascii="Cambria Math" w:hAnsi="Cambria Math"/>
              </w:rPr>
            </m:ctrlPr>
          </m:fPr>
          <m:num>
            <m:nary>
              <m:naryPr>
                <m:chr m:val="∑"/>
                <m:limLoc m:val="undOvr"/>
                <m:subHide m:val="1"/>
                <m:supHide m:val="1"/>
                <m:ctrlPr>
                  <w:rPr>
                    <w:rFonts w:ascii="Cambria Math" w:hAnsi="Cambria Math"/>
                  </w:rPr>
                </m:ctrlPr>
              </m:naryPr>
              <m:sub/>
              <m:sup/>
              <m:e>
                <m:d>
                  <m:dPr>
                    <m:ctrlPr>
                      <w:rPr>
                        <w:rFonts w:ascii="Cambria Math" w:hAnsi="Cambria Math"/>
                      </w:rPr>
                    </m:ctrlPr>
                  </m:dPr>
                  <m:e>
                    <m:sSub>
                      <m:sSubPr>
                        <m:ctrlPr>
                          <w:rPr>
                            <w:rFonts w:ascii="Cambria Math" w:hAnsi="Cambria Math"/>
                          </w:rPr>
                        </m:ctrlPr>
                      </m:sSubPr>
                      <m:e>
                        <m:r>
                          <w:rPr>
                            <w:rFonts w:ascii="Cambria Math" w:hAnsi="Cambria Math" w:cs="Cambria Math"/>
                            <w:sz w:val="24"/>
                            <w:szCs w:val="24"/>
                            <w:highlight w:val="green"/>
                          </w:rPr>
                          <m:t>x</m:t>
                        </m:r>
                      </m:e>
                      <m:sub>
                        <m:r>
                          <w:rPr>
                            <w:rFonts w:ascii="Cambria Math" w:hAnsi="Cambria Math" w:cs="Cambria Math"/>
                            <w:sz w:val="24"/>
                            <w:szCs w:val="24"/>
                            <w:highlight w:val="green"/>
                          </w:rPr>
                          <m:t>i</m:t>
                        </m:r>
                      </m:sub>
                    </m:sSub>
                    <m:r>
                      <m:rPr>
                        <m:sty m:val="p"/>
                      </m:rPr>
                      <w:rPr>
                        <w:rFonts w:ascii="Cambria Math" w:hAnsi="Cambria Math" w:cs="Cambria Math"/>
                        <w:sz w:val="24"/>
                        <w:szCs w:val="24"/>
                        <w:highlight w:val="green"/>
                      </w:rPr>
                      <m:t>-</m:t>
                    </m:r>
                    <m:bar>
                      <m:barPr>
                        <m:pos m:val="top"/>
                        <m:ctrlPr>
                          <w:rPr>
                            <w:rFonts w:ascii="Cambria Math" w:hAnsi="Cambria Math"/>
                          </w:rPr>
                        </m:ctrlPr>
                      </m:barPr>
                      <m:e>
                        <m:r>
                          <w:rPr>
                            <w:rFonts w:ascii="Cambria Math" w:hAnsi="Cambria Math" w:cs="Cambria Math"/>
                            <w:sz w:val="24"/>
                            <w:szCs w:val="24"/>
                            <w:highlight w:val="green"/>
                          </w:rPr>
                          <m:t>x</m:t>
                        </m:r>
                      </m:e>
                    </m:bar>
                  </m:e>
                </m:d>
                <m:d>
                  <m:dPr>
                    <m:ctrlPr>
                      <w:rPr>
                        <w:rFonts w:ascii="Cambria Math" w:hAnsi="Cambria Math"/>
                      </w:rPr>
                    </m:ctrlPr>
                  </m:dPr>
                  <m:e>
                    <m:sSub>
                      <m:sSubPr>
                        <m:ctrlPr>
                          <w:rPr>
                            <w:rFonts w:ascii="Cambria Math" w:hAnsi="Cambria Math"/>
                          </w:rPr>
                        </m:ctrlPr>
                      </m:sSubPr>
                      <m:e>
                        <m:r>
                          <w:rPr>
                            <w:rFonts w:ascii="Cambria Math" w:hAnsi="Cambria Math" w:cs="Cambria Math"/>
                            <w:sz w:val="24"/>
                            <w:szCs w:val="24"/>
                            <w:highlight w:val="green"/>
                          </w:rPr>
                          <m:t>y</m:t>
                        </m:r>
                      </m:e>
                      <m:sub>
                        <m:r>
                          <w:rPr>
                            <w:rFonts w:ascii="Cambria Math" w:hAnsi="Cambria Math" w:cs="Cambria Math"/>
                            <w:sz w:val="24"/>
                            <w:szCs w:val="24"/>
                            <w:highlight w:val="green"/>
                          </w:rPr>
                          <m:t>i</m:t>
                        </m:r>
                      </m:sub>
                    </m:sSub>
                    <m:r>
                      <m:rPr>
                        <m:sty m:val="p"/>
                      </m:rPr>
                      <w:rPr>
                        <w:rFonts w:ascii="Cambria Math" w:hAnsi="Cambria Math" w:cs="Cambria Math"/>
                        <w:sz w:val="24"/>
                        <w:szCs w:val="24"/>
                        <w:highlight w:val="green"/>
                      </w:rPr>
                      <m:t>-</m:t>
                    </m:r>
                    <m:bar>
                      <m:barPr>
                        <m:pos m:val="top"/>
                        <m:ctrlPr>
                          <w:rPr>
                            <w:rFonts w:ascii="Cambria Math" w:hAnsi="Cambria Math"/>
                          </w:rPr>
                        </m:ctrlPr>
                      </m:barPr>
                      <m:e>
                        <m:r>
                          <w:rPr>
                            <w:rFonts w:ascii="Cambria Math" w:hAnsi="Cambria Math" w:cs="Cambria Math"/>
                            <w:sz w:val="24"/>
                            <w:szCs w:val="24"/>
                            <w:highlight w:val="green"/>
                          </w:rPr>
                          <m:t>y</m:t>
                        </m:r>
                      </m:e>
                    </m:bar>
                  </m:e>
                </m:d>
              </m:e>
            </m:nary>
          </m:num>
          <m:den>
            <m:rad>
              <m:radPr>
                <m:degHide m:val="1"/>
                <m:ctrlPr>
                  <w:rPr>
                    <w:rFonts w:ascii="Cambria Math" w:hAnsi="Cambria Math"/>
                  </w:rPr>
                </m:ctrlPr>
              </m:radPr>
              <m:deg/>
              <m:e>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sz w:val="24"/>
                                    <w:szCs w:val="24"/>
                                    <w:highlight w:val="green"/>
                                  </w:rPr>
                                  <m:t>x</m:t>
                                </m:r>
                              </m:e>
                              <m:sub>
                                <m:r>
                                  <w:rPr>
                                    <w:rFonts w:ascii="Cambria Math" w:hAnsi="Cambria Math" w:cs="Cambria Math"/>
                                    <w:sz w:val="24"/>
                                    <w:szCs w:val="24"/>
                                    <w:highlight w:val="green"/>
                                  </w:rPr>
                                  <m:t>i</m:t>
                                </m:r>
                              </m:sub>
                            </m:sSub>
                            <m:r>
                              <m:rPr>
                                <m:sty m:val="p"/>
                              </m:rPr>
                              <w:rPr>
                                <w:rFonts w:ascii="Cambria Math" w:hAnsi="Cambria Math" w:cs="Cambria Math"/>
                                <w:sz w:val="24"/>
                                <w:szCs w:val="24"/>
                                <w:highlight w:val="green"/>
                              </w:rPr>
                              <m:t>-</m:t>
                            </m:r>
                            <m:bar>
                              <m:barPr>
                                <m:pos m:val="top"/>
                                <m:ctrlPr>
                                  <w:rPr>
                                    <w:rFonts w:ascii="Cambria Math" w:hAnsi="Cambria Math"/>
                                  </w:rPr>
                                </m:ctrlPr>
                              </m:barPr>
                              <m:e>
                                <m:r>
                                  <w:rPr>
                                    <w:rFonts w:ascii="Cambria Math" w:hAnsi="Cambria Math" w:cs="Cambria Math"/>
                                    <w:sz w:val="24"/>
                                    <w:szCs w:val="24"/>
                                    <w:highlight w:val="green"/>
                                  </w:rPr>
                                  <m:t>x</m:t>
                                </m:r>
                              </m:e>
                            </m:bar>
                          </m:e>
                        </m:d>
                      </m:e>
                      <m:sup>
                        <m:r>
                          <m:rPr>
                            <m:sty m:val="p"/>
                          </m:rPr>
                          <w:rPr>
                            <w:rFonts w:ascii="Cambria Math" w:hAnsi="Cambria Math" w:cs="Cambria Math"/>
                            <w:sz w:val="24"/>
                            <w:szCs w:val="24"/>
                            <w:highlight w:val="green"/>
                          </w:rPr>
                          <m:t>2</m:t>
                        </m:r>
                      </m:sup>
                    </m:sSup>
                  </m:e>
                </m:nary>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sz w:val="24"/>
                                    <w:szCs w:val="24"/>
                                    <w:highlight w:val="green"/>
                                  </w:rPr>
                                  <m:t>y</m:t>
                                </m:r>
                              </m:e>
                              <m:sub>
                                <m:r>
                                  <w:rPr>
                                    <w:rFonts w:ascii="Cambria Math" w:hAnsi="Cambria Math" w:cs="Cambria Math"/>
                                    <w:sz w:val="24"/>
                                    <w:szCs w:val="24"/>
                                    <w:highlight w:val="green"/>
                                  </w:rPr>
                                  <m:t>i</m:t>
                                </m:r>
                              </m:sub>
                            </m:sSub>
                            <m:r>
                              <m:rPr>
                                <m:sty m:val="p"/>
                              </m:rPr>
                              <w:rPr>
                                <w:rFonts w:ascii="Cambria Math" w:hAnsi="Cambria Math" w:cs="Cambria Math"/>
                                <w:sz w:val="24"/>
                                <w:szCs w:val="24"/>
                                <w:highlight w:val="green"/>
                              </w:rPr>
                              <m:t>-</m:t>
                            </m:r>
                            <m:bar>
                              <m:barPr>
                                <m:pos m:val="top"/>
                                <m:ctrlPr>
                                  <w:rPr>
                                    <w:rFonts w:ascii="Cambria Math" w:hAnsi="Cambria Math"/>
                                  </w:rPr>
                                </m:ctrlPr>
                              </m:barPr>
                              <m:e>
                                <m:r>
                                  <w:rPr>
                                    <w:rFonts w:ascii="Cambria Math" w:hAnsi="Cambria Math" w:cs="Cambria Math"/>
                                    <w:sz w:val="24"/>
                                    <w:szCs w:val="24"/>
                                    <w:highlight w:val="green"/>
                                  </w:rPr>
                                  <m:t>y</m:t>
                                </m:r>
                              </m:e>
                            </m:bar>
                          </m:e>
                        </m:d>
                      </m:e>
                      <m:sup>
                        <m:r>
                          <m:rPr>
                            <m:sty m:val="p"/>
                          </m:rPr>
                          <w:rPr>
                            <w:rFonts w:ascii="Cambria Math" w:hAnsi="Cambria Math" w:cs="Cambria Math"/>
                            <w:sz w:val="24"/>
                            <w:szCs w:val="24"/>
                            <w:highlight w:val="green"/>
                          </w:rPr>
                          <m:t>2</m:t>
                        </m:r>
                      </m:sup>
                    </m:sSup>
                  </m:e>
                </m:nary>
              </m:e>
            </m:rad>
          </m:den>
        </m:f>
      </m:oMath>
      <w:r>
        <w:rPr>
          <w:rFonts w:ascii="Times New Roman" w:hAnsi="Times New Roman" w:cs="Times New Roman"/>
          <w:sz w:val="24"/>
          <w:szCs w:val="24"/>
          <w:highlight w:val="green"/>
        </w:rPr>
        <w:tab/>
        <w:t>(15)</w:t>
      </w:r>
    </w:p>
    <w:p w14:paraId="05A0E563" w14:textId="77777777" w:rsidR="00B06580" w:rsidRPr="003E0CF1" w:rsidRDefault="00000000" w:rsidP="00F9519E">
      <w:pPr>
        <w:tabs>
          <w:tab w:val="center" w:pos="4513"/>
          <w:tab w:val="right" w:pos="9026"/>
        </w:tabs>
        <w:jc w:val="both"/>
        <w:rPr>
          <w:rFonts w:ascii="Times New Roman" w:hAnsi="Times New Roman" w:cs="Times New Roman"/>
          <w:sz w:val="24"/>
          <w:szCs w:val="24"/>
        </w:rPr>
      </w:pPr>
      <w:r>
        <w:rPr>
          <w:rFonts w:ascii="Times New Roman" w:hAnsi="Times New Roman" w:cs="Times New Roman"/>
          <w:sz w:val="24"/>
          <w:szCs w:val="24"/>
          <w:highlight w:val="green"/>
        </w:rPr>
        <w:tab/>
      </w:r>
      <m:oMath>
        <m:sSub>
          <m:sSubPr>
            <m:ctrlPr>
              <w:rPr>
                <w:rFonts w:ascii="Cambria Math" w:hAnsi="Cambria Math"/>
              </w:rPr>
            </m:ctrlPr>
          </m:sSubPr>
          <m:e>
            <m:r>
              <w:rPr>
                <w:rFonts w:ascii="Cambria Math" w:hAnsi="Cambria Math" w:cs="Cambria Math"/>
                <w:sz w:val="24"/>
                <w:szCs w:val="24"/>
                <w:highlight w:val="green"/>
              </w:rPr>
              <m:t>E</m:t>
            </m:r>
          </m:e>
          <m:sub>
            <m:r>
              <m:rPr>
                <m:sty m:val="p"/>
              </m:rPr>
              <w:rPr>
                <w:rFonts w:ascii="Cambria Math" w:hAnsi="Cambria Math" w:cs="Cambria Math"/>
                <w:sz w:val="24"/>
                <w:szCs w:val="24"/>
                <w:highlight w:val="green"/>
              </w:rPr>
              <m:t>eco</m:t>
            </m:r>
          </m:sub>
        </m:sSub>
        <m:r>
          <m:rPr>
            <m:sty m:val="p"/>
          </m:rPr>
          <w:rPr>
            <w:rFonts w:ascii="Cambria Math" w:hAnsi="Cambria Math" w:cs="Cambria Math"/>
            <w:sz w:val="24"/>
            <w:szCs w:val="24"/>
            <w:highlight w:val="green"/>
          </w:rPr>
          <m:t>=</m:t>
        </m:r>
        <m:f>
          <m:fPr>
            <m:ctrlPr>
              <w:rPr>
                <w:rFonts w:ascii="Cambria Math" w:hAnsi="Cambria Math"/>
              </w:rPr>
            </m:ctrlPr>
          </m:fPr>
          <m:num>
            <m:sSub>
              <m:sSubPr>
                <m:ctrlPr>
                  <w:rPr>
                    <w:rFonts w:ascii="Cambria Math" w:hAnsi="Cambria Math"/>
                  </w:rPr>
                </m:ctrlPr>
              </m:sSubPr>
              <m:e>
                <m:r>
                  <w:rPr>
                    <w:rFonts w:ascii="Cambria Math" w:hAnsi="Cambria Math" w:cs="Cambria Math"/>
                    <w:sz w:val="24"/>
                    <w:szCs w:val="24"/>
                    <w:highlight w:val="green"/>
                  </w:rPr>
                  <m:t>f</m:t>
                </m:r>
              </m:e>
              <m:sub>
                <m:r>
                  <m:rPr>
                    <m:sty m:val="p"/>
                  </m:rPr>
                  <w:rPr>
                    <w:rFonts w:ascii="Cambria Math" w:hAnsi="Cambria Math" w:cs="Cambria Math"/>
                    <w:sz w:val="24"/>
                    <w:szCs w:val="24"/>
                    <w:highlight w:val="green"/>
                  </w:rPr>
                  <m:t>c</m:t>
                </m:r>
              </m:sub>
            </m:sSub>
          </m:num>
          <m:den>
            <m:r>
              <m:rPr>
                <m:sty m:val="p"/>
              </m:rPr>
              <w:rPr>
                <w:rFonts w:ascii="Cambria Math" w:hAnsi="Cambria Math" w:cs="Cambria Math"/>
                <w:sz w:val="24"/>
                <w:szCs w:val="24"/>
                <w:highlight w:val="green"/>
              </w:rPr>
              <m:t>GWP</m:t>
            </m:r>
          </m:den>
        </m:f>
      </m:oMath>
      <w:r>
        <w:rPr>
          <w:rFonts w:ascii="Times New Roman" w:hAnsi="Times New Roman" w:cs="Times New Roman"/>
          <w:sz w:val="24"/>
          <w:szCs w:val="24"/>
          <w:highlight w:val="green"/>
        </w:rPr>
        <w:tab/>
        <w:t>(16)</w:t>
      </w:r>
    </w:p>
    <w:p w14:paraId="088CB7AC" w14:textId="77777777" w:rsidR="00295223" w:rsidRPr="003E0CF1" w:rsidRDefault="00000000" w:rsidP="00F9519E">
      <w:pPr>
        <w:pStyle w:val="Heading3"/>
        <w:jc w:val="both"/>
        <w:rPr>
          <w:rFonts w:ascii="Times New Roman" w:hAnsi="Times New Roman" w:cs="Times New Roman"/>
        </w:rPr>
      </w:pPr>
      <w:r>
        <w:rPr>
          <w:rFonts w:ascii="Times New Roman" w:hAnsi="Times New Roman" w:cs="Times New Roman"/>
          <w:highlight w:val="yellow"/>
        </w:rPr>
        <w:t>3.12.6 Sampling, particle-size conditioning and representativeness</w:t>
      </w:r>
    </w:p>
    <w:p w14:paraId="196EF783" w14:textId="77777777" w:rsidR="00295223"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The observed response of a mortar sample depends not only on its mineral phases and binder chemistry but also on sampling location, weathering, contamination, moisture state and particle-size distribution. A detached fragment preserves some spatial heterogeneity, including coarse inclusions and weathered interfaces, while crushing and sieving produce a smaller, more uniform fraction that is easier to subsample for powder-based characterization. This preparation is useful for methods such as XRF and XRD, provided the analytical fraction and sieve aperture are documented; however, grinding can obscure the original fabric and cannot substitute for imaging or testing of the intact mortar. In addition, a 1.18 mm sieve defines an upper size cut rather than a complete particle-size distribution. For reproducibility, the study should report drying temperature and duration, crushing method, sieve aperture and retained/passing mass fractions, sample mass, storage conditions and any subsampling procedure. Because only one detached sample is described, the resulting characterization is case-specific and should not be generalized to all mortar in the temple or to historic temple mortars more broadly.</w:t>
      </w:r>
    </w:p>
    <w:p w14:paraId="511A0EA4" w14:textId="77777777" w:rsidR="00F741DE" w:rsidRPr="003E0CF1" w:rsidRDefault="00E71383" w:rsidP="00F9519E">
      <w:pPr>
        <w:pStyle w:val="Heading1"/>
        <w:jc w:val="both"/>
        <w:rPr>
          <w:rFonts w:ascii="Times New Roman" w:hAnsi="Times New Roman" w:cs="Times New Roman"/>
          <w:color w:val="auto"/>
          <w:sz w:val="24"/>
          <w:szCs w:val="24"/>
        </w:rPr>
      </w:pPr>
      <w:r>
        <w:rPr>
          <w:rFonts w:ascii="Times New Roman" w:hAnsi="Times New Roman" w:cs="Times New Roman"/>
          <w:b/>
          <w:bCs/>
          <w:color w:val="auto"/>
          <w:sz w:val="24"/>
          <w:szCs w:val="24"/>
        </w:rPr>
        <w:t>4. Results</w:t>
      </w:r>
    </w:p>
    <w:p w14:paraId="6FB0904D" w14:textId="77777777" w:rsidR="00F741DE" w:rsidRPr="003E0CF1" w:rsidRDefault="00E71383" w:rsidP="00F9519E">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4.1 Chemical composition</w:t>
      </w:r>
    </w:p>
    <w:p w14:paraId="639CDB4C" w14:textId="77777777" w:rsidR="00F741DE" w:rsidRPr="003E0CF1" w:rsidRDefault="0057243E" w:rsidP="00F9519E">
      <w:pPr>
        <w:jc w:val="both"/>
        <w:rPr>
          <w:rFonts w:ascii="Times New Roman" w:hAnsi="Times New Roman" w:cs="Times New Roman"/>
          <w:sz w:val="24"/>
          <w:szCs w:val="24"/>
        </w:rPr>
      </w:pPr>
      <w:r>
        <w:rPr>
          <w:rFonts w:ascii="Times New Roman" w:hAnsi="Times New Roman" w:cs="Times New Roman"/>
          <w:sz w:val="24"/>
          <w:szCs w:val="24"/>
        </w:rPr>
        <w:t xml:space="preserve">The XRF data (Table 2, Figure 3) report 55.21% SiO₂, 12.18% </w:t>
      </w:r>
      <w:proofErr w:type="spellStart"/>
      <w:r>
        <w:rPr>
          <w:rFonts w:ascii="Times New Roman" w:hAnsi="Times New Roman" w:cs="Times New Roman"/>
          <w:sz w:val="24"/>
          <w:szCs w:val="24"/>
        </w:rPr>
        <w:t>Al₂O</w:t>
      </w:r>
      <w:proofErr w:type="spellEnd"/>
      <w:r>
        <w:rPr>
          <w:rFonts w:ascii="Times New Roman" w:hAnsi="Times New Roman" w:cs="Times New Roman"/>
          <w:sz w:val="24"/>
          <w:szCs w:val="24"/>
        </w:rPr>
        <w:t xml:space="preserve">₃ and 18.73% CaO for the sampled ancient mortar, consistent with a calcium-bearing aluminosilicate material. Granite waste powder is silica-rich (72.48% SiO₂) and contains 2.31% CaO, supporting its initial evaluation as a mineral filler. Metakaolin is rich in SiO₂ and </w:t>
      </w:r>
      <w:proofErr w:type="spellStart"/>
      <w:r>
        <w:rPr>
          <w:rFonts w:ascii="Times New Roman" w:hAnsi="Times New Roman" w:cs="Times New Roman"/>
          <w:sz w:val="24"/>
          <w:szCs w:val="24"/>
        </w:rPr>
        <w:t>Al₂O</w:t>
      </w:r>
      <w:proofErr w:type="spellEnd"/>
      <w:r>
        <w:rPr>
          <w:rFonts w:ascii="Times New Roman" w:hAnsi="Times New Roman" w:cs="Times New Roman"/>
          <w:sz w:val="24"/>
          <w:szCs w:val="24"/>
        </w:rPr>
        <w:t>₃, consistent with its use as an aluminosilicate precursor. Future phase-sensitive characterization and reactivity testing can further clarify binder phases, reaction products and the historical mix design.</w:t>
      </w:r>
    </w:p>
    <w:p w14:paraId="1395E03C" w14:textId="77777777" w:rsidR="00FC26F6"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 xml:space="preserve">Across the three materials, the main contrast is the higher CaO content of the sampled historic mortar (18.73%) compared with granite waste powder (2.31%) and metakaolin (0.47%), while granite waste has the highest listed SiO₂ content (72.48%) and metakaolin has the highest </w:t>
      </w:r>
      <w:proofErr w:type="spellStart"/>
      <w:r>
        <w:rPr>
          <w:rFonts w:ascii="Times New Roman" w:hAnsi="Times New Roman" w:cs="Times New Roman"/>
          <w:sz w:val="24"/>
          <w:szCs w:val="24"/>
        </w:rPr>
        <w:t>Al₂O</w:t>
      </w:r>
      <w:proofErr w:type="spellEnd"/>
      <w:r>
        <w:rPr>
          <w:rFonts w:ascii="Times New Roman" w:hAnsi="Times New Roman" w:cs="Times New Roman"/>
          <w:sz w:val="24"/>
          <w:szCs w:val="24"/>
        </w:rPr>
        <w:t>₃ content (43.50%). These bulk-composition differences help distinguish the candidate materials, but they do not alone identify mineral phases, establish pozzolanic activity, or reveal the original historic-mortar recipe. The oxide totals including loss on ignition close to 100% for all three reported materials, which is an arithmetic consistency check rather than an independent validation of the XRF measurements.</w:t>
      </w:r>
    </w:p>
    <w:p w14:paraId="77C8074E" w14:textId="77777777" w:rsidR="00914338" w:rsidRPr="003E0CF1" w:rsidRDefault="00BF10A9" w:rsidP="00F9519E">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CC4D157" wp14:editId="1085D2A3">
            <wp:extent cx="5732780" cy="3800475"/>
            <wp:effectExtent l="0" t="0" r="1270" b="9525"/>
            <wp:docPr id="1145184427" name="Picture 1" descr="XRF composition of ancient mortar, granite waste powder and metakaol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84427" name=""/>
                    <pic:cNvPicPr/>
                  </pic:nvPicPr>
                  <pic:blipFill>
                    <a:blip r:embed="rId8"/>
                    <a:stretch>
                      <a:fillRect/>
                    </a:stretch>
                  </pic:blipFill>
                  <pic:spPr>
                    <a:xfrm>
                      <a:off x="0" y="0"/>
                      <a:ext cx="5732780" cy="3800475"/>
                    </a:xfrm>
                    <a:prstGeom prst="rect">
                      <a:avLst/>
                    </a:prstGeom>
                  </pic:spPr>
                </pic:pic>
              </a:graphicData>
            </a:graphic>
          </wp:inline>
        </w:drawing>
      </w:r>
    </w:p>
    <w:p w14:paraId="4FCD2D4D" w14:textId="77777777" w:rsidR="00914338" w:rsidRPr="003E0CF1" w:rsidRDefault="00914338" w:rsidP="00F9519E">
      <w:pPr>
        <w:jc w:val="both"/>
        <w:rPr>
          <w:rFonts w:ascii="Times New Roman" w:hAnsi="Times New Roman" w:cs="Times New Roman"/>
          <w:sz w:val="24"/>
          <w:szCs w:val="24"/>
        </w:rPr>
      </w:pPr>
      <w:r>
        <w:rPr>
          <w:rFonts w:ascii="Times New Roman" w:hAnsi="Times New Roman" w:cs="Times New Roman"/>
          <w:sz w:val="24"/>
          <w:szCs w:val="24"/>
        </w:rPr>
        <w:t>Figure 3. XRF composition of (a) ancient mortar, (b) granite waste powder and (c) metakaolin.</w:t>
      </w:r>
    </w:p>
    <w:p w14:paraId="0D4FC774"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 xml:space="preserve">Table 2. </w:t>
      </w:r>
      <w:r>
        <w:rPr>
          <w:rFonts w:ascii="Times New Roman" w:hAnsi="Times New Roman" w:cs="Times New Roman"/>
          <w:sz w:val="24"/>
          <w:szCs w:val="24"/>
        </w:rPr>
        <w:t>XRF oxide composition (mass %) of ATM, GWP and MK.</w:t>
      </w:r>
    </w:p>
    <w:p w14:paraId="48A376DF" w14:textId="77777777" w:rsidR="00AE63E2" w:rsidRPr="003E0CF1" w:rsidRDefault="00AE63E2" w:rsidP="00F9519E">
      <w:pPr>
        <w:jc w:val="both"/>
        <w:rPr>
          <w:rFonts w:ascii="Times New Roman" w:hAnsi="Times New Roman" w:cs="Times New Roman"/>
          <w:sz w:val="24"/>
          <w:szCs w:val="24"/>
        </w:rPr>
      </w:pPr>
    </w:p>
    <w:tbl>
      <w:tblPr>
        <w:tblStyle w:val="TableGrid"/>
        <w:tblW w:w="8800" w:type="dxa"/>
        <w:tblLook w:val="04A0" w:firstRow="1" w:lastRow="0" w:firstColumn="1" w:lastColumn="0" w:noHBand="0" w:noVBand="1"/>
      </w:tblPr>
      <w:tblGrid>
        <w:gridCol w:w="1728"/>
        <w:gridCol w:w="2572"/>
        <w:gridCol w:w="2450"/>
        <w:gridCol w:w="2050"/>
      </w:tblGrid>
      <w:tr w:rsidR="008A62E8" w:rsidRPr="003E0CF1" w14:paraId="5F980E7D" w14:textId="77777777" w:rsidTr="0057243E">
        <w:tc>
          <w:tcPr>
            <w:tcW w:w="1728" w:type="dxa"/>
          </w:tcPr>
          <w:p w14:paraId="421418A9"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Oxide</w:t>
            </w:r>
          </w:p>
        </w:tc>
        <w:tc>
          <w:tcPr>
            <w:tcW w:w="2572" w:type="dxa"/>
          </w:tcPr>
          <w:p w14:paraId="1802E875"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ATM mortar</w:t>
            </w:r>
          </w:p>
        </w:tc>
        <w:tc>
          <w:tcPr>
            <w:tcW w:w="2450" w:type="dxa"/>
          </w:tcPr>
          <w:p w14:paraId="429C9AE8"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Granite waste powder</w:t>
            </w:r>
          </w:p>
        </w:tc>
        <w:tc>
          <w:tcPr>
            <w:tcW w:w="2050" w:type="dxa"/>
          </w:tcPr>
          <w:p w14:paraId="0CEF9E49"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Metakaolin</w:t>
            </w:r>
          </w:p>
        </w:tc>
      </w:tr>
      <w:tr w:rsidR="008A62E8" w:rsidRPr="003E0CF1" w14:paraId="06BE288B" w14:textId="77777777" w:rsidTr="0057243E">
        <w:tc>
          <w:tcPr>
            <w:tcW w:w="1728" w:type="dxa"/>
          </w:tcPr>
          <w:p w14:paraId="6770C58C"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SiO</w:t>
            </w:r>
            <w:r>
              <w:rPr>
                <w:rFonts w:ascii="Times New Roman" w:hAnsi="Times New Roman" w:cs="Times New Roman"/>
                <w:sz w:val="24"/>
                <w:szCs w:val="24"/>
                <w:vertAlign w:val="subscript"/>
              </w:rPr>
              <w:t>2</w:t>
            </w:r>
          </w:p>
        </w:tc>
        <w:tc>
          <w:tcPr>
            <w:tcW w:w="2572" w:type="dxa"/>
          </w:tcPr>
          <w:p w14:paraId="6C577A87"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55.21</w:t>
            </w:r>
          </w:p>
        </w:tc>
        <w:tc>
          <w:tcPr>
            <w:tcW w:w="2450" w:type="dxa"/>
          </w:tcPr>
          <w:p w14:paraId="730471B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72.48</w:t>
            </w:r>
          </w:p>
        </w:tc>
        <w:tc>
          <w:tcPr>
            <w:tcW w:w="2050" w:type="dxa"/>
          </w:tcPr>
          <w:p w14:paraId="0C8C8B06"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highlight w:val="cyan"/>
              </w:rPr>
              <w:t>51.61</w:t>
            </w:r>
          </w:p>
        </w:tc>
      </w:tr>
      <w:tr w:rsidR="008A62E8" w:rsidRPr="003E0CF1" w14:paraId="145390B4" w14:textId="77777777" w:rsidTr="0057243E">
        <w:tc>
          <w:tcPr>
            <w:tcW w:w="1728" w:type="dxa"/>
          </w:tcPr>
          <w:p w14:paraId="48261B49"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Al</w:t>
            </w:r>
            <w:r>
              <w:rPr>
                <w:rFonts w:ascii="Times New Roman" w:hAnsi="Times New Roman" w:cs="Times New Roman"/>
                <w:sz w:val="24"/>
                <w:szCs w:val="24"/>
                <w:vertAlign w:val="subscript"/>
              </w:rPr>
              <w:t>2</w:t>
            </w:r>
            <w:r>
              <w:rPr>
                <w:rFonts w:ascii="Times New Roman" w:hAnsi="Times New Roman" w:cs="Times New Roman"/>
                <w:sz w:val="24"/>
                <w:szCs w:val="24"/>
              </w:rPr>
              <w:t>O</w:t>
            </w:r>
            <w:r>
              <w:rPr>
                <w:rFonts w:ascii="Times New Roman" w:hAnsi="Times New Roman" w:cs="Times New Roman"/>
                <w:sz w:val="24"/>
                <w:szCs w:val="24"/>
                <w:vertAlign w:val="subscript"/>
              </w:rPr>
              <w:t>3</w:t>
            </w:r>
          </w:p>
        </w:tc>
        <w:tc>
          <w:tcPr>
            <w:tcW w:w="2572" w:type="dxa"/>
          </w:tcPr>
          <w:p w14:paraId="78F1A199"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12.18</w:t>
            </w:r>
          </w:p>
        </w:tc>
        <w:tc>
          <w:tcPr>
            <w:tcW w:w="2450" w:type="dxa"/>
          </w:tcPr>
          <w:p w14:paraId="68D161D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14.21</w:t>
            </w:r>
          </w:p>
        </w:tc>
        <w:tc>
          <w:tcPr>
            <w:tcW w:w="2050" w:type="dxa"/>
          </w:tcPr>
          <w:p w14:paraId="43A46215"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highlight w:val="cyan"/>
              </w:rPr>
              <w:t>43.50</w:t>
            </w:r>
          </w:p>
        </w:tc>
      </w:tr>
      <w:tr w:rsidR="008A62E8" w:rsidRPr="003E0CF1" w14:paraId="444B74EA" w14:textId="77777777" w:rsidTr="0057243E">
        <w:tc>
          <w:tcPr>
            <w:tcW w:w="1728" w:type="dxa"/>
          </w:tcPr>
          <w:p w14:paraId="64E31165"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CaO</w:t>
            </w:r>
          </w:p>
        </w:tc>
        <w:tc>
          <w:tcPr>
            <w:tcW w:w="2572" w:type="dxa"/>
          </w:tcPr>
          <w:p w14:paraId="761F3EE2"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18.73</w:t>
            </w:r>
          </w:p>
        </w:tc>
        <w:tc>
          <w:tcPr>
            <w:tcW w:w="2450" w:type="dxa"/>
          </w:tcPr>
          <w:p w14:paraId="27BC5339"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2.31</w:t>
            </w:r>
          </w:p>
        </w:tc>
        <w:tc>
          <w:tcPr>
            <w:tcW w:w="2050" w:type="dxa"/>
          </w:tcPr>
          <w:p w14:paraId="7ED17391"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highlight w:val="cyan"/>
              </w:rPr>
              <w:t>0.47</w:t>
            </w:r>
          </w:p>
        </w:tc>
      </w:tr>
      <w:tr w:rsidR="008A62E8" w:rsidRPr="003E0CF1" w14:paraId="12BBC61A" w14:textId="77777777" w:rsidTr="0057243E">
        <w:tc>
          <w:tcPr>
            <w:tcW w:w="1728" w:type="dxa"/>
          </w:tcPr>
          <w:p w14:paraId="1DD11CF0"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MgO</w:t>
            </w:r>
          </w:p>
        </w:tc>
        <w:tc>
          <w:tcPr>
            <w:tcW w:w="2572" w:type="dxa"/>
          </w:tcPr>
          <w:p w14:paraId="7A4FD430"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2.36</w:t>
            </w:r>
          </w:p>
        </w:tc>
        <w:tc>
          <w:tcPr>
            <w:tcW w:w="2450" w:type="dxa"/>
          </w:tcPr>
          <w:p w14:paraId="638C2DB2"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0.78</w:t>
            </w:r>
          </w:p>
        </w:tc>
        <w:tc>
          <w:tcPr>
            <w:tcW w:w="2050" w:type="dxa"/>
          </w:tcPr>
          <w:p w14:paraId="13C1F409"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highlight w:val="cyan"/>
              </w:rPr>
              <w:t>0.26</w:t>
            </w:r>
          </w:p>
        </w:tc>
      </w:tr>
      <w:tr w:rsidR="008A62E8" w:rsidRPr="003E0CF1" w14:paraId="45983609" w14:textId="77777777" w:rsidTr="0057243E">
        <w:tc>
          <w:tcPr>
            <w:tcW w:w="1728" w:type="dxa"/>
          </w:tcPr>
          <w:p w14:paraId="48AB9C33"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Fe</w:t>
            </w:r>
            <w:r>
              <w:rPr>
                <w:rFonts w:ascii="Times New Roman" w:hAnsi="Times New Roman" w:cs="Times New Roman"/>
                <w:sz w:val="24"/>
                <w:szCs w:val="24"/>
                <w:vertAlign w:val="subscript"/>
              </w:rPr>
              <w:t>2</w:t>
            </w:r>
            <w:r>
              <w:rPr>
                <w:rFonts w:ascii="Times New Roman" w:hAnsi="Times New Roman" w:cs="Times New Roman"/>
                <w:sz w:val="24"/>
                <w:szCs w:val="24"/>
              </w:rPr>
              <w:t>O</w:t>
            </w:r>
            <w:r>
              <w:rPr>
                <w:rFonts w:ascii="Times New Roman" w:hAnsi="Times New Roman" w:cs="Times New Roman"/>
                <w:sz w:val="24"/>
                <w:szCs w:val="24"/>
                <w:vertAlign w:val="subscript"/>
              </w:rPr>
              <w:t>3</w:t>
            </w:r>
          </w:p>
        </w:tc>
        <w:tc>
          <w:tcPr>
            <w:tcW w:w="2572" w:type="dxa"/>
          </w:tcPr>
          <w:p w14:paraId="7A9438AD"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4.21</w:t>
            </w:r>
          </w:p>
        </w:tc>
        <w:tc>
          <w:tcPr>
            <w:tcW w:w="2450" w:type="dxa"/>
          </w:tcPr>
          <w:p w14:paraId="234F311F"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1.86</w:t>
            </w:r>
          </w:p>
        </w:tc>
        <w:tc>
          <w:tcPr>
            <w:tcW w:w="2050" w:type="dxa"/>
          </w:tcPr>
          <w:p w14:paraId="301C37DF"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highlight w:val="cyan"/>
              </w:rPr>
              <w:t>0.69</w:t>
            </w:r>
          </w:p>
        </w:tc>
      </w:tr>
      <w:tr w:rsidR="008A62E8" w:rsidRPr="003E0CF1" w14:paraId="2A97C0DD" w14:textId="77777777" w:rsidTr="0057243E">
        <w:tc>
          <w:tcPr>
            <w:tcW w:w="1728" w:type="dxa"/>
          </w:tcPr>
          <w:p w14:paraId="7B5DD0C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Na</w:t>
            </w:r>
            <w:r>
              <w:rPr>
                <w:rFonts w:ascii="Times New Roman" w:hAnsi="Times New Roman" w:cs="Times New Roman"/>
                <w:sz w:val="24"/>
                <w:szCs w:val="24"/>
                <w:vertAlign w:val="subscript"/>
              </w:rPr>
              <w:t>2</w:t>
            </w:r>
            <w:r>
              <w:rPr>
                <w:rFonts w:ascii="Times New Roman" w:hAnsi="Times New Roman" w:cs="Times New Roman"/>
                <w:sz w:val="24"/>
                <w:szCs w:val="24"/>
              </w:rPr>
              <w:t>O</w:t>
            </w:r>
          </w:p>
        </w:tc>
        <w:tc>
          <w:tcPr>
            <w:tcW w:w="2572" w:type="dxa"/>
          </w:tcPr>
          <w:p w14:paraId="5920715C"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1.87</w:t>
            </w:r>
          </w:p>
        </w:tc>
        <w:tc>
          <w:tcPr>
            <w:tcW w:w="2450" w:type="dxa"/>
          </w:tcPr>
          <w:p w14:paraId="4CA9C072"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3.24</w:t>
            </w:r>
          </w:p>
        </w:tc>
        <w:tc>
          <w:tcPr>
            <w:tcW w:w="2050" w:type="dxa"/>
          </w:tcPr>
          <w:p w14:paraId="2748B014"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highlight w:val="cyan"/>
              </w:rPr>
              <w:t>0.25</w:t>
            </w:r>
          </w:p>
        </w:tc>
      </w:tr>
      <w:tr w:rsidR="008A62E8" w:rsidRPr="003E0CF1" w14:paraId="32FA374B" w14:textId="77777777" w:rsidTr="0057243E">
        <w:tc>
          <w:tcPr>
            <w:tcW w:w="1728" w:type="dxa"/>
          </w:tcPr>
          <w:p w14:paraId="1ACEB0B5"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K</w:t>
            </w:r>
            <w:r>
              <w:rPr>
                <w:rFonts w:ascii="Times New Roman" w:hAnsi="Times New Roman" w:cs="Times New Roman"/>
                <w:sz w:val="24"/>
                <w:szCs w:val="24"/>
                <w:vertAlign w:val="subscript"/>
              </w:rPr>
              <w:t>2</w:t>
            </w:r>
            <w:r>
              <w:rPr>
                <w:rFonts w:ascii="Times New Roman" w:hAnsi="Times New Roman" w:cs="Times New Roman"/>
                <w:sz w:val="24"/>
                <w:szCs w:val="24"/>
              </w:rPr>
              <w:t>O</w:t>
            </w:r>
          </w:p>
        </w:tc>
        <w:tc>
          <w:tcPr>
            <w:tcW w:w="2572" w:type="dxa"/>
          </w:tcPr>
          <w:p w14:paraId="065DE21B"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2.11</w:t>
            </w:r>
          </w:p>
        </w:tc>
        <w:tc>
          <w:tcPr>
            <w:tcW w:w="2450" w:type="dxa"/>
          </w:tcPr>
          <w:p w14:paraId="5AB7CAD2"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4.13</w:t>
            </w:r>
          </w:p>
        </w:tc>
        <w:tc>
          <w:tcPr>
            <w:tcW w:w="2050" w:type="dxa"/>
          </w:tcPr>
          <w:p w14:paraId="57ECD026"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highlight w:val="cyan"/>
              </w:rPr>
              <w:t>0.85</w:t>
            </w:r>
          </w:p>
        </w:tc>
      </w:tr>
      <w:tr w:rsidR="008A62E8" w:rsidRPr="003E0CF1" w14:paraId="45C1293C" w14:textId="77777777" w:rsidTr="0057243E">
        <w:tc>
          <w:tcPr>
            <w:tcW w:w="1728" w:type="dxa"/>
          </w:tcPr>
          <w:p w14:paraId="44280AE4"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TiO</w:t>
            </w:r>
            <w:r>
              <w:rPr>
                <w:rFonts w:ascii="Times New Roman" w:hAnsi="Times New Roman" w:cs="Times New Roman"/>
                <w:sz w:val="24"/>
                <w:szCs w:val="24"/>
                <w:vertAlign w:val="subscript"/>
              </w:rPr>
              <w:t>2</w:t>
            </w:r>
          </w:p>
        </w:tc>
        <w:tc>
          <w:tcPr>
            <w:tcW w:w="2572" w:type="dxa"/>
          </w:tcPr>
          <w:p w14:paraId="4F36B414"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0.92</w:t>
            </w:r>
          </w:p>
        </w:tc>
        <w:tc>
          <w:tcPr>
            <w:tcW w:w="2450" w:type="dxa"/>
          </w:tcPr>
          <w:p w14:paraId="00A748A6"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0.36</w:t>
            </w:r>
          </w:p>
        </w:tc>
        <w:tc>
          <w:tcPr>
            <w:tcW w:w="2050" w:type="dxa"/>
          </w:tcPr>
          <w:p w14:paraId="2C9AB291"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highlight w:val="cyan"/>
              </w:rPr>
              <w:t>1.18</w:t>
            </w:r>
          </w:p>
        </w:tc>
      </w:tr>
      <w:tr w:rsidR="008A62E8" w:rsidRPr="003E0CF1" w14:paraId="433C86D1" w14:textId="77777777" w:rsidTr="0057243E">
        <w:tc>
          <w:tcPr>
            <w:tcW w:w="1728" w:type="dxa"/>
          </w:tcPr>
          <w:p w14:paraId="1E57CFDB"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LOI</w:t>
            </w:r>
          </w:p>
        </w:tc>
        <w:tc>
          <w:tcPr>
            <w:tcW w:w="2572" w:type="dxa"/>
          </w:tcPr>
          <w:p w14:paraId="29CDD9A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2.41</w:t>
            </w:r>
          </w:p>
        </w:tc>
        <w:tc>
          <w:tcPr>
            <w:tcW w:w="2450" w:type="dxa"/>
          </w:tcPr>
          <w:p w14:paraId="5924A8DF"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0.63</w:t>
            </w:r>
          </w:p>
        </w:tc>
        <w:tc>
          <w:tcPr>
            <w:tcW w:w="2050" w:type="dxa"/>
          </w:tcPr>
          <w:p w14:paraId="6E6F69D8"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highlight w:val="cyan"/>
              </w:rPr>
              <w:t>1.19</w:t>
            </w:r>
          </w:p>
        </w:tc>
      </w:tr>
    </w:tbl>
    <w:p w14:paraId="040CE9CE" w14:textId="77777777" w:rsidR="00F741DE" w:rsidRPr="003E0CF1" w:rsidRDefault="00E71383" w:rsidP="00F9519E">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4.2 Mineralogical characterization (XRD)</w:t>
      </w:r>
    </w:p>
    <w:p w14:paraId="7E722A32" w14:textId="77777777" w:rsidR="00F741DE" w:rsidRPr="003E0CF1" w:rsidRDefault="0057243E" w:rsidP="00F9519E">
      <w:pPr>
        <w:jc w:val="both"/>
        <w:rPr>
          <w:rFonts w:ascii="Times New Roman" w:hAnsi="Times New Roman" w:cs="Times New Roman"/>
          <w:sz w:val="24"/>
          <w:szCs w:val="24"/>
        </w:rPr>
      </w:pPr>
      <w:r>
        <w:rPr>
          <w:rFonts w:ascii="Times New Roman" w:hAnsi="Times New Roman" w:cs="Times New Roman"/>
          <w:sz w:val="24"/>
          <w:szCs w:val="24"/>
        </w:rPr>
        <w:t>The XRD patterns of the ancient mortar, granite waste and metakaolin are presented in Figure 4. The reported peaks are attributed to quartz, calcite, feldspar, muscovite and kaolinite in the historical mortar, and quartz/feldspar in granite waste. The amorphous halo in metakaolin is consistent with a disordered aluminosilicate fraction after calcination. Future reactivity tests and phase analysis of hardened composites can quantify the contribution of these phases to composite performance.</w:t>
      </w:r>
    </w:p>
    <w:p w14:paraId="7CC9C05D" w14:textId="77777777" w:rsidR="00FC26F6"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The phase assignments are qualitative interpretations of the displayed diffraction patterns. Peak lists, reference cards, quantitative phase fractions and refinement outputs would help verify the assignments and quantify phase abundance. The amorphous halo is consistent with disordered material in metakaolin, although it does not quantify the reactive fraction. The patterns therefore provide mineralogical context for material selection rather than a quantitative account of the hardened AT-MMC reaction products.</w:t>
      </w:r>
    </w:p>
    <w:p w14:paraId="62E5A7E5" w14:textId="77777777" w:rsidR="00F741DE" w:rsidRPr="003E0CF1" w:rsidRDefault="00E80256" w:rsidP="00F9519E">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9A3F898" wp14:editId="3284C0B4">
            <wp:extent cx="4752975" cy="2784150"/>
            <wp:effectExtent l="0" t="0" r="0" b="0"/>
            <wp:docPr id="2" name="Picture 2" descr="XRD patterns of the ancient temple mortar, granite waste powder and metakaol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2026-Work Papers\AT-MMC\To be Upload_11092026\XRD_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3876" cy="2784678"/>
                    </a:xfrm>
                    <a:prstGeom prst="rect">
                      <a:avLst/>
                    </a:prstGeom>
                    <a:noFill/>
                    <a:ln>
                      <a:noFill/>
                    </a:ln>
                  </pic:spPr>
                </pic:pic>
              </a:graphicData>
            </a:graphic>
          </wp:inline>
        </w:drawing>
      </w:r>
    </w:p>
    <w:p w14:paraId="1F66DCA0" w14:textId="77777777" w:rsidR="00C91A49"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cyan"/>
        </w:rPr>
        <w:t>Figure 4. XRD patterns of the ancient temple mortar, granite waste powder and metakaolin.</w:t>
      </w:r>
    </w:p>
    <w:p w14:paraId="482AB732" w14:textId="77777777" w:rsidR="00AE63E2" w:rsidRPr="003E0CF1" w:rsidRDefault="00AE63E2" w:rsidP="00F9519E">
      <w:pPr>
        <w:pStyle w:val="Heading2"/>
        <w:jc w:val="both"/>
        <w:rPr>
          <w:rFonts w:ascii="Times New Roman" w:hAnsi="Times New Roman" w:cs="Times New Roman"/>
          <w:b/>
          <w:bCs/>
          <w:color w:val="auto"/>
          <w:sz w:val="24"/>
          <w:szCs w:val="24"/>
        </w:rPr>
      </w:pPr>
      <w:r>
        <w:rPr>
          <w:rFonts w:ascii="Times New Roman" w:hAnsi="Times New Roman" w:cs="Times New Roman"/>
          <w:sz w:val="24"/>
          <w:szCs w:val="24"/>
          <w:highlight w:val="yellow"/>
        </w:rPr>
        <w:t xml:space="preserve">The SEM images provide qualitative observations of selected surfaces and interfaces. Additional verified EDS maps and spectra, acquisition metadata and phase-sensitive methods—such as TGA/DTG, FTIR, quantitative XRD or solid-state NMR—would help assess the identity and quantity of C–S–H/C–A–S–H phases, interfacial features and the proposed </w:t>
      </w:r>
      <w:proofErr w:type="spellStart"/>
      <w:r>
        <w:rPr>
          <w:rFonts w:ascii="Times New Roman" w:hAnsi="Times New Roman" w:cs="Times New Roman"/>
          <w:sz w:val="24"/>
          <w:szCs w:val="24"/>
          <w:highlight w:val="yellow"/>
        </w:rPr>
        <w:t>fibre</w:t>
      </w:r>
      <w:proofErr w:type="spellEnd"/>
      <w:r>
        <w:rPr>
          <w:rFonts w:ascii="Times New Roman" w:hAnsi="Times New Roman" w:cs="Times New Roman"/>
          <w:sz w:val="24"/>
          <w:szCs w:val="24"/>
          <w:highlight w:val="yellow"/>
        </w:rPr>
        <w:t>-bridging interpretation.</w:t>
      </w:r>
    </w:p>
    <w:p w14:paraId="29C2E789" w14:textId="77777777" w:rsidR="00F741DE" w:rsidRPr="003E0CF1" w:rsidRDefault="00E71383" w:rsidP="00F9519E">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4.3 Microstructural characterization (SEM-EDS)</w:t>
      </w:r>
    </w:p>
    <w:p w14:paraId="5954FA2D" w14:textId="17985BF5" w:rsidR="00120596" w:rsidRDefault="0057243E" w:rsidP="00F9519E">
      <w:pPr>
        <w:jc w:val="both"/>
        <w:rPr>
          <w:rFonts w:ascii="Times New Roman" w:hAnsi="Times New Roman" w:cs="Times New Roman"/>
          <w:sz w:val="24"/>
          <w:szCs w:val="24"/>
        </w:rPr>
      </w:pPr>
      <w:r>
        <w:rPr>
          <w:rFonts w:ascii="Times New Roman" w:hAnsi="Times New Roman" w:cs="Times New Roman"/>
          <w:sz w:val="24"/>
          <w:szCs w:val="24"/>
        </w:rPr>
        <w:t xml:space="preserve">The SEM images (Figure 5) provide qualitative observations of the selected surfaces and interfaces. The morphology is consistent with differences in packing and </w:t>
      </w:r>
      <w:proofErr w:type="spellStart"/>
      <w:r>
        <w:rPr>
          <w:rFonts w:ascii="Times New Roman" w:hAnsi="Times New Roman" w:cs="Times New Roman"/>
          <w:sz w:val="24"/>
          <w:szCs w:val="24"/>
        </w:rPr>
        <w:t>fibre</w:t>
      </w:r>
      <w:proofErr w:type="spellEnd"/>
      <w:r>
        <w:rPr>
          <w:rFonts w:ascii="Times New Roman" w:hAnsi="Times New Roman" w:cs="Times New Roman"/>
          <w:sz w:val="24"/>
          <w:szCs w:val="24"/>
        </w:rPr>
        <w:t>–matrix contact. Future phase-sensitive measurements, including FTIR, TGA/DTG, solid-state NMR or quantitative XRD, together with suitable elemental mapping, can quantify reaction products and further test the proposed pozzolanic interpretation.</w:t>
      </w:r>
      <w:r>
        <w:rPr>
          <w:rFonts w:ascii="Times New Roman" w:hAnsi="Times New Roman" w:cs="Times New Roman"/>
          <w:sz w:val="24"/>
          <w:szCs w:val="24"/>
          <w:highlight w:val="cyan"/>
        </w:rPr>
        <w:t xml:space="preserve"> Panel (b) of Figure 5 shows the AT6 matrix microstructure (scale bar: 10 µm). Scale bars, magnification, acquisition conditions and sample identities should be checked against the original instrument metadata.</w:t>
      </w:r>
    </w:p>
    <w:p w14:paraId="3C68C9A5" w14:textId="77777777" w:rsidR="00E402F6" w:rsidRPr="003E0CF1" w:rsidRDefault="00E402F6" w:rsidP="00F9519E">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006"/>
        <w:gridCol w:w="3006"/>
        <w:gridCol w:w="3006"/>
      </w:tblGrid>
      <w:tr w:rsidR="00120596" w:rsidRPr="003E0CF1" w14:paraId="568F6D1C" w14:textId="77777777" w:rsidTr="00120596">
        <w:tc>
          <w:tcPr>
            <w:tcW w:w="3006" w:type="dxa"/>
          </w:tcPr>
          <w:p w14:paraId="2C0E7CC5" w14:textId="77777777" w:rsidR="00120596" w:rsidRPr="003E0CF1" w:rsidRDefault="00120596" w:rsidP="00F9519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676C089" wp14:editId="74C53011">
                  <wp:extent cx="1638300" cy="1970612"/>
                  <wp:effectExtent l="0" t="0" r="0" b="0"/>
                  <wp:docPr id="8" name="Picture 8" descr="SEM micrograph, panel (a): ancient temple mor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2026-Work Papers\AT-MMC\To be Upload_11092026\Raw-Sem-Image\Ancient Temple Mortar.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3969" cy="1977431"/>
                          </a:xfrm>
                          <a:prstGeom prst="rect">
                            <a:avLst/>
                          </a:prstGeom>
                          <a:noFill/>
                          <a:ln>
                            <a:noFill/>
                          </a:ln>
                        </pic:spPr>
                      </pic:pic>
                    </a:graphicData>
                  </a:graphic>
                </wp:inline>
              </w:drawing>
            </w:r>
          </w:p>
          <w:p w14:paraId="42D56509" w14:textId="77777777" w:rsidR="00120596" w:rsidRPr="003E0CF1" w:rsidRDefault="00120596" w:rsidP="00F9519E">
            <w:pPr>
              <w:jc w:val="both"/>
              <w:rPr>
                <w:rFonts w:ascii="Times New Roman" w:hAnsi="Times New Roman" w:cs="Times New Roman"/>
                <w:sz w:val="24"/>
                <w:szCs w:val="24"/>
              </w:rPr>
            </w:pPr>
            <w:r>
              <w:rPr>
                <w:rFonts w:ascii="Times New Roman" w:hAnsi="Times New Roman" w:cs="Times New Roman"/>
                <w:i/>
                <w:iCs/>
                <w:sz w:val="24"/>
                <w:szCs w:val="24"/>
              </w:rPr>
              <w:t>(a) Ancient Temple Mortar</w:t>
            </w:r>
          </w:p>
        </w:tc>
        <w:tc>
          <w:tcPr>
            <w:tcW w:w="3006" w:type="dxa"/>
          </w:tcPr>
          <w:p w14:paraId="0F91F173" w14:textId="77777777" w:rsidR="00120596" w:rsidRPr="003E0CF1" w:rsidRDefault="00120596" w:rsidP="00F9519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B2B444" wp14:editId="7D410F34">
                  <wp:extent cx="1619250" cy="1946370"/>
                  <wp:effectExtent l="0" t="0" r="0" b="0"/>
                  <wp:docPr id="1145184430" name="Picture 1145184430" descr="SEM micrograph, panel (b): AT6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1625892" cy="1954353"/>
                          </a:xfrm>
                          <a:prstGeom prst="rect">
                            <a:avLst/>
                          </a:prstGeom>
                        </pic:spPr>
                      </pic:pic>
                    </a:graphicData>
                  </a:graphic>
                </wp:inline>
              </w:drawing>
            </w:r>
          </w:p>
          <w:p w14:paraId="6CE880D2" w14:textId="77777777" w:rsidR="00120596" w:rsidRPr="003E0CF1" w:rsidRDefault="00120596" w:rsidP="00F9519E">
            <w:pPr>
              <w:jc w:val="both"/>
              <w:rPr>
                <w:rFonts w:ascii="Times New Roman" w:hAnsi="Times New Roman" w:cs="Times New Roman"/>
                <w:sz w:val="24"/>
                <w:szCs w:val="24"/>
                <w:highlight w:val="yellow"/>
              </w:rPr>
            </w:pPr>
            <w:r>
              <w:rPr>
                <w:rFonts w:ascii="Times New Roman" w:hAnsi="Times New Roman" w:cs="Times New Roman"/>
                <w:sz w:val="24"/>
                <w:szCs w:val="24"/>
                <w:highlight w:val="yellow"/>
              </w:rPr>
              <w:t>(b) AT6 matrix</w:t>
            </w:r>
          </w:p>
        </w:tc>
        <w:tc>
          <w:tcPr>
            <w:tcW w:w="3006" w:type="dxa"/>
          </w:tcPr>
          <w:p w14:paraId="2EA2F366" w14:textId="77777777" w:rsidR="00120596" w:rsidRPr="003E0CF1" w:rsidRDefault="00120596" w:rsidP="00F9519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83FB66E" wp14:editId="2D0B6ECC">
                  <wp:extent cx="1607950" cy="1905000"/>
                  <wp:effectExtent l="0" t="0" r="0" b="0"/>
                  <wp:docPr id="10" name="Picture 10" descr="SEM micrograph, panel (c): basalt-fibre pull-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2026-Work Papers\AT-MMC\To be Upload_11092026\Raw-Sem-Image\Basalt-Fibre Pull-Out.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20016" cy="1919295"/>
                          </a:xfrm>
                          <a:prstGeom prst="rect">
                            <a:avLst/>
                          </a:prstGeom>
                          <a:noFill/>
                          <a:ln>
                            <a:noFill/>
                          </a:ln>
                        </pic:spPr>
                      </pic:pic>
                    </a:graphicData>
                  </a:graphic>
                </wp:inline>
              </w:drawing>
            </w:r>
          </w:p>
          <w:p w14:paraId="3C605451" w14:textId="77777777" w:rsidR="00120596" w:rsidRPr="003E0CF1" w:rsidRDefault="00120596" w:rsidP="00F9519E">
            <w:pPr>
              <w:jc w:val="both"/>
              <w:rPr>
                <w:rFonts w:ascii="Times New Roman" w:hAnsi="Times New Roman" w:cs="Times New Roman"/>
                <w:sz w:val="24"/>
                <w:szCs w:val="24"/>
              </w:rPr>
            </w:pPr>
            <w:r>
              <w:rPr>
                <w:rFonts w:ascii="Times New Roman" w:hAnsi="Times New Roman" w:cs="Times New Roman"/>
                <w:i/>
                <w:iCs/>
                <w:sz w:val="24"/>
                <w:szCs w:val="24"/>
              </w:rPr>
              <w:t>(c)Basalt-</w:t>
            </w:r>
            <w:proofErr w:type="spellStart"/>
            <w:r>
              <w:rPr>
                <w:rFonts w:ascii="Times New Roman" w:hAnsi="Times New Roman" w:cs="Times New Roman"/>
                <w:i/>
                <w:iCs/>
                <w:sz w:val="24"/>
                <w:szCs w:val="24"/>
              </w:rPr>
              <w:t>Fibre</w:t>
            </w:r>
            <w:proofErr w:type="spellEnd"/>
            <w:r>
              <w:rPr>
                <w:rFonts w:ascii="Times New Roman" w:hAnsi="Times New Roman" w:cs="Times New Roman"/>
                <w:i/>
                <w:iCs/>
                <w:sz w:val="24"/>
                <w:szCs w:val="24"/>
              </w:rPr>
              <w:t xml:space="preserve"> Pull-Out</w:t>
            </w:r>
          </w:p>
        </w:tc>
      </w:tr>
    </w:tbl>
    <w:p w14:paraId="5759A22A" w14:textId="77777777" w:rsidR="00295223" w:rsidRPr="003E0CF1" w:rsidRDefault="00295223" w:rsidP="00F9519E">
      <w:pPr>
        <w:jc w:val="both"/>
        <w:rPr>
          <w:rFonts w:ascii="Times New Roman" w:hAnsi="Times New Roman" w:cs="Times New Roman"/>
          <w:sz w:val="24"/>
          <w:szCs w:val="24"/>
        </w:rPr>
      </w:pPr>
    </w:p>
    <w:p w14:paraId="24AEFAA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highlight w:val="cyan"/>
        </w:rPr>
        <w:t>Figure 5. SEM micrographs of (a) ancient temple mortar, (b) AT6 matrix and (c) basalt-</w:t>
      </w:r>
      <w:proofErr w:type="spellStart"/>
      <w:r>
        <w:rPr>
          <w:rFonts w:ascii="Times New Roman" w:hAnsi="Times New Roman" w:cs="Times New Roman"/>
          <w:sz w:val="24"/>
          <w:szCs w:val="24"/>
          <w:highlight w:val="cyan"/>
        </w:rPr>
        <w:t>fibre</w:t>
      </w:r>
      <w:proofErr w:type="spellEnd"/>
      <w:r>
        <w:rPr>
          <w:rFonts w:ascii="Times New Roman" w:hAnsi="Times New Roman" w:cs="Times New Roman"/>
          <w:sz w:val="24"/>
          <w:szCs w:val="24"/>
          <w:highlight w:val="cyan"/>
        </w:rPr>
        <w:t xml:space="preserve"> pull-out.</w:t>
      </w:r>
    </w:p>
    <w:p w14:paraId="67D39B62" w14:textId="77777777" w:rsidR="00F741DE" w:rsidRPr="003E0CF1" w:rsidRDefault="00E71383" w:rsidP="00F9519E">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4.4 Physical properties</w:t>
      </w:r>
    </w:p>
    <w:p w14:paraId="3BFCE4F4" w14:textId="77777777" w:rsidR="00F741DE" w:rsidRPr="003E0CF1" w:rsidRDefault="0057243E" w:rsidP="00F9519E">
      <w:pPr>
        <w:jc w:val="both"/>
        <w:rPr>
          <w:rFonts w:ascii="Times New Roman" w:hAnsi="Times New Roman" w:cs="Times New Roman"/>
          <w:sz w:val="24"/>
          <w:szCs w:val="24"/>
        </w:rPr>
      </w:pPr>
      <w:r>
        <w:rPr>
          <w:rFonts w:ascii="Times New Roman" w:hAnsi="Times New Roman" w:cs="Times New Roman"/>
          <w:sz w:val="24"/>
          <w:szCs w:val="24"/>
        </w:rPr>
        <w:t xml:space="preserve">The tabulated 28-day results (Table 3, Figure 6) show a consistent trend across the seven listed mixtures: AT6 has the lowest reported water absorption (3.61%), apparent porosity (7.82%) and </w:t>
      </w:r>
      <w:proofErr w:type="spellStart"/>
      <w:r>
        <w:rPr>
          <w:rFonts w:ascii="Times New Roman" w:hAnsi="Times New Roman" w:cs="Times New Roman"/>
          <w:sz w:val="24"/>
          <w:szCs w:val="24"/>
        </w:rPr>
        <w:t>sorptivity</w:t>
      </w:r>
      <w:proofErr w:type="spellEnd"/>
      <w:r>
        <w:rPr>
          <w:rFonts w:ascii="Times New Roman" w:hAnsi="Times New Roman" w:cs="Times New Roman"/>
          <w:sz w:val="24"/>
          <w:szCs w:val="24"/>
        </w:rPr>
        <w:t xml:space="preserve"> (0.031 mm/min</w:t>
      </w:r>
      <w:r>
        <w:rPr>
          <w:rFonts w:ascii="Times New Roman" w:hAnsi="Times New Roman" w:cs="Times New Roman"/>
          <w:sz w:val="24"/>
          <w:szCs w:val="24"/>
          <w:vertAlign w:val="superscript"/>
        </w:rPr>
        <w:t>0.5</w:t>
      </w:r>
      <w:r>
        <w:rPr>
          <w:rFonts w:ascii="Times New Roman" w:hAnsi="Times New Roman" w:cs="Times New Roman"/>
          <w:sz w:val="24"/>
          <w:szCs w:val="24"/>
        </w:rPr>
        <w:t xml:space="preserve">). These descriptive comparisons provide a basis for follow-up </w:t>
      </w:r>
      <w:r>
        <w:rPr>
          <w:rFonts w:ascii="Times New Roman" w:hAnsi="Times New Roman" w:cs="Times New Roman"/>
          <w:sz w:val="24"/>
          <w:szCs w:val="24"/>
        </w:rPr>
        <w:lastRenderedPageBreak/>
        <w:t xml:space="preserve">testing. A controlled mixture design and the non-orthogonal design limits separation of the contributions of binder chemistry, granite-waste packing and </w:t>
      </w:r>
      <w:proofErr w:type="spellStart"/>
      <w:r>
        <w:rPr>
          <w:rFonts w:ascii="Times New Roman" w:hAnsi="Times New Roman" w:cs="Times New Roman"/>
          <w:sz w:val="24"/>
          <w:szCs w:val="24"/>
        </w:rPr>
        <w:t>fibre</w:t>
      </w:r>
      <w:proofErr w:type="spellEnd"/>
      <w:r>
        <w:rPr>
          <w:rFonts w:ascii="Times New Roman" w:hAnsi="Times New Roman" w:cs="Times New Roman"/>
          <w:sz w:val="24"/>
          <w:szCs w:val="24"/>
        </w:rPr>
        <w:t xml:space="preserve"> dosage.</w:t>
      </w:r>
    </w:p>
    <w:p w14:paraId="6FE8431F" w14:textId="77777777" w:rsidR="00FC26F6"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 xml:space="preserve">Relative to C0, the AT6 summary values correspond to decreases of approximately 43.8% in water absorption, 45.4% in apparent porosity and 66.3% in </w:t>
      </w:r>
      <w:proofErr w:type="spellStart"/>
      <w:r>
        <w:rPr>
          <w:rFonts w:ascii="Times New Roman" w:hAnsi="Times New Roman" w:cs="Times New Roman"/>
          <w:sz w:val="24"/>
          <w:szCs w:val="24"/>
        </w:rPr>
        <w:t>sorptivity</w:t>
      </w:r>
      <w:proofErr w:type="spellEnd"/>
      <w:r>
        <w:rPr>
          <w:rFonts w:ascii="Times New Roman" w:hAnsi="Times New Roman" w:cs="Times New Roman"/>
          <w:sz w:val="24"/>
          <w:szCs w:val="24"/>
        </w:rPr>
        <w:t xml:space="preserve">. The intermediate AT-MMC formulations generally follow the same direction of change, although the reported density is lower than C0 for every AT-MMC mixture. Lower water uptake and </w:t>
      </w:r>
      <w:proofErr w:type="spellStart"/>
      <w:r>
        <w:rPr>
          <w:rFonts w:ascii="Times New Roman" w:hAnsi="Times New Roman" w:cs="Times New Roman"/>
          <w:sz w:val="24"/>
          <w:szCs w:val="24"/>
        </w:rPr>
        <w:t>sorptivity</w:t>
      </w:r>
      <w:proofErr w:type="spellEnd"/>
      <w:r>
        <w:rPr>
          <w:rFonts w:ascii="Times New Roman" w:hAnsi="Times New Roman" w:cs="Times New Roman"/>
          <w:sz w:val="24"/>
          <w:szCs w:val="24"/>
        </w:rPr>
        <w:t xml:space="preserve"> are consistent with reduced accessible pore pathways under the reported test methods; however, no specimen-level data or uncertainty estimates are available to establish whether these differences are repeatable or statistically distinguishable.</w:t>
      </w:r>
    </w:p>
    <w:p w14:paraId="3C63FE56"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 xml:space="preserve">Table 3. </w:t>
      </w:r>
      <w:r>
        <w:rPr>
          <w:rFonts w:ascii="Times New Roman" w:hAnsi="Times New Roman" w:cs="Times New Roman"/>
          <w:i/>
          <w:iCs/>
          <w:sz w:val="24"/>
          <w:szCs w:val="24"/>
        </w:rPr>
        <w:t>Physical properties of AT-MMC at 28 days.</w:t>
      </w:r>
    </w:p>
    <w:tbl>
      <w:tblPr>
        <w:tblStyle w:val="TableGrid"/>
        <w:tblW w:w="8800" w:type="dxa"/>
        <w:tblLook w:val="04A0" w:firstRow="1" w:lastRow="0" w:firstColumn="1" w:lastColumn="0" w:noHBand="0" w:noVBand="1"/>
      </w:tblPr>
      <w:tblGrid>
        <w:gridCol w:w="1200"/>
        <w:gridCol w:w="1850"/>
        <w:gridCol w:w="1850"/>
        <w:gridCol w:w="2050"/>
        <w:gridCol w:w="1850"/>
      </w:tblGrid>
      <w:tr w:rsidR="008A62E8" w:rsidRPr="003E0CF1" w14:paraId="519123BA" w14:textId="77777777" w:rsidTr="0057243E">
        <w:tc>
          <w:tcPr>
            <w:tcW w:w="1200" w:type="dxa"/>
          </w:tcPr>
          <w:p w14:paraId="63210FAB"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Mix ID</w:t>
            </w:r>
          </w:p>
        </w:tc>
        <w:tc>
          <w:tcPr>
            <w:tcW w:w="1850" w:type="dxa"/>
          </w:tcPr>
          <w:p w14:paraId="0662F894"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Density (kg/m</w:t>
            </w:r>
            <w:r>
              <w:rPr>
                <w:rFonts w:ascii="Times New Roman" w:hAnsi="Times New Roman" w:cs="Times New Roman"/>
                <w:b/>
                <w:bCs/>
                <w:sz w:val="24"/>
                <w:szCs w:val="24"/>
                <w:vertAlign w:val="superscript"/>
              </w:rPr>
              <w:t>3</w:t>
            </w:r>
            <w:r>
              <w:rPr>
                <w:rFonts w:ascii="Times New Roman" w:hAnsi="Times New Roman" w:cs="Times New Roman"/>
                <w:b/>
                <w:bCs/>
                <w:sz w:val="24"/>
                <w:szCs w:val="24"/>
              </w:rPr>
              <w:t>)</w:t>
            </w:r>
          </w:p>
        </w:tc>
        <w:tc>
          <w:tcPr>
            <w:tcW w:w="1850" w:type="dxa"/>
          </w:tcPr>
          <w:p w14:paraId="1DE6F6FF"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Water absorption (%)</w:t>
            </w:r>
          </w:p>
        </w:tc>
        <w:tc>
          <w:tcPr>
            <w:tcW w:w="2050" w:type="dxa"/>
          </w:tcPr>
          <w:p w14:paraId="409E5513"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Apparent porosity (%)</w:t>
            </w:r>
          </w:p>
        </w:tc>
        <w:tc>
          <w:tcPr>
            <w:tcW w:w="1850" w:type="dxa"/>
          </w:tcPr>
          <w:p w14:paraId="15329BD6" w14:textId="77777777" w:rsidR="00F741DE" w:rsidRPr="003E0CF1" w:rsidRDefault="00E71383" w:rsidP="00F9519E">
            <w:pPr>
              <w:jc w:val="both"/>
              <w:rPr>
                <w:rFonts w:ascii="Times New Roman" w:hAnsi="Times New Roman" w:cs="Times New Roman"/>
                <w:sz w:val="24"/>
                <w:szCs w:val="24"/>
              </w:rPr>
            </w:pPr>
            <w:proofErr w:type="spellStart"/>
            <w:r>
              <w:rPr>
                <w:rFonts w:ascii="Times New Roman" w:hAnsi="Times New Roman" w:cs="Times New Roman"/>
                <w:b/>
                <w:bCs/>
                <w:sz w:val="24"/>
                <w:szCs w:val="24"/>
              </w:rPr>
              <w:t>Sorptivity</w:t>
            </w:r>
            <w:proofErr w:type="spellEnd"/>
            <w:r>
              <w:rPr>
                <w:rFonts w:ascii="Times New Roman" w:hAnsi="Times New Roman" w:cs="Times New Roman"/>
                <w:b/>
                <w:bCs/>
                <w:sz w:val="24"/>
                <w:szCs w:val="24"/>
              </w:rPr>
              <w:t xml:space="preserve"> (mm/min</w:t>
            </w:r>
            <w:r>
              <w:rPr>
                <w:rFonts w:ascii="Times New Roman" w:hAnsi="Times New Roman" w:cs="Times New Roman"/>
                <w:b/>
                <w:bCs/>
                <w:sz w:val="24"/>
                <w:szCs w:val="24"/>
                <w:vertAlign w:val="superscript"/>
              </w:rPr>
              <w:t>0.5</w:t>
            </w:r>
            <w:r>
              <w:rPr>
                <w:rFonts w:ascii="Times New Roman" w:hAnsi="Times New Roman" w:cs="Times New Roman"/>
                <w:b/>
                <w:bCs/>
                <w:sz w:val="24"/>
                <w:szCs w:val="24"/>
              </w:rPr>
              <w:t>)</w:t>
            </w:r>
          </w:p>
        </w:tc>
      </w:tr>
      <w:tr w:rsidR="008A62E8" w:rsidRPr="003E0CF1" w14:paraId="2A4AE1B0" w14:textId="77777777" w:rsidTr="0057243E">
        <w:tc>
          <w:tcPr>
            <w:tcW w:w="1200" w:type="dxa"/>
          </w:tcPr>
          <w:p w14:paraId="48147F3F"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C0</w:t>
            </w:r>
          </w:p>
        </w:tc>
        <w:tc>
          <w:tcPr>
            <w:tcW w:w="1850" w:type="dxa"/>
          </w:tcPr>
          <w:p w14:paraId="55626435"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2340</w:t>
            </w:r>
          </w:p>
        </w:tc>
        <w:tc>
          <w:tcPr>
            <w:tcW w:w="1850" w:type="dxa"/>
          </w:tcPr>
          <w:p w14:paraId="3AAB3AAB"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6.42</w:t>
            </w:r>
          </w:p>
        </w:tc>
        <w:tc>
          <w:tcPr>
            <w:tcW w:w="2050" w:type="dxa"/>
          </w:tcPr>
          <w:p w14:paraId="55F67DCC"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14.31</w:t>
            </w:r>
          </w:p>
        </w:tc>
        <w:tc>
          <w:tcPr>
            <w:tcW w:w="1850" w:type="dxa"/>
          </w:tcPr>
          <w:p w14:paraId="6C44E67B"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0.092</w:t>
            </w:r>
          </w:p>
        </w:tc>
      </w:tr>
      <w:tr w:rsidR="008A62E8" w:rsidRPr="003E0CF1" w14:paraId="7A20B258" w14:textId="77777777" w:rsidTr="0057243E">
        <w:tc>
          <w:tcPr>
            <w:tcW w:w="1200" w:type="dxa"/>
          </w:tcPr>
          <w:p w14:paraId="15C0F116"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AT1</w:t>
            </w:r>
          </w:p>
        </w:tc>
        <w:tc>
          <w:tcPr>
            <w:tcW w:w="1850" w:type="dxa"/>
          </w:tcPr>
          <w:p w14:paraId="25ED8BCC"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2215</w:t>
            </w:r>
          </w:p>
        </w:tc>
        <w:tc>
          <w:tcPr>
            <w:tcW w:w="1850" w:type="dxa"/>
          </w:tcPr>
          <w:p w14:paraId="2518CA6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5.12</w:t>
            </w:r>
          </w:p>
        </w:tc>
        <w:tc>
          <w:tcPr>
            <w:tcW w:w="2050" w:type="dxa"/>
          </w:tcPr>
          <w:p w14:paraId="431AB614"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11.26</w:t>
            </w:r>
          </w:p>
        </w:tc>
        <w:tc>
          <w:tcPr>
            <w:tcW w:w="1850" w:type="dxa"/>
          </w:tcPr>
          <w:p w14:paraId="72C7E81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0.063</w:t>
            </w:r>
          </w:p>
        </w:tc>
      </w:tr>
      <w:tr w:rsidR="008A62E8" w:rsidRPr="003E0CF1" w14:paraId="4D49EC0D" w14:textId="77777777" w:rsidTr="0057243E">
        <w:tc>
          <w:tcPr>
            <w:tcW w:w="1200" w:type="dxa"/>
          </w:tcPr>
          <w:p w14:paraId="5366C617"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AT2</w:t>
            </w:r>
          </w:p>
        </w:tc>
        <w:tc>
          <w:tcPr>
            <w:tcW w:w="1850" w:type="dxa"/>
          </w:tcPr>
          <w:p w14:paraId="28CA3E64"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2228</w:t>
            </w:r>
          </w:p>
        </w:tc>
        <w:tc>
          <w:tcPr>
            <w:tcW w:w="1850" w:type="dxa"/>
          </w:tcPr>
          <w:p w14:paraId="71C85A97"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4.78</w:t>
            </w:r>
          </w:p>
        </w:tc>
        <w:tc>
          <w:tcPr>
            <w:tcW w:w="2050" w:type="dxa"/>
          </w:tcPr>
          <w:p w14:paraId="2E485203"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10.41</w:t>
            </w:r>
          </w:p>
        </w:tc>
        <w:tc>
          <w:tcPr>
            <w:tcW w:w="1850" w:type="dxa"/>
          </w:tcPr>
          <w:p w14:paraId="277EFA02"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0.052</w:t>
            </w:r>
          </w:p>
        </w:tc>
      </w:tr>
      <w:tr w:rsidR="008A62E8" w:rsidRPr="003E0CF1" w14:paraId="25142E81" w14:textId="77777777" w:rsidTr="0057243E">
        <w:tc>
          <w:tcPr>
            <w:tcW w:w="1200" w:type="dxa"/>
          </w:tcPr>
          <w:p w14:paraId="27F199F2"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AT3</w:t>
            </w:r>
          </w:p>
        </w:tc>
        <w:tc>
          <w:tcPr>
            <w:tcW w:w="1850" w:type="dxa"/>
          </w:tcPr>
          <w:p w14:paraId="7AABAFFA"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2230</w:t>
            </w:r>
          </w:p>
        </w:tc>
        <w:tc>
          <w:tcPr>
            <w:tcW w:w="1850" w:type="dxa"/>
          </w:tcPr>
          <w:p w14:paraId="278B0C92"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4.31</w:t>
            </w:r>
          </w:p>
        </w:tc>
        <w:tc>
          <w:tcPr>
            <w:tcW w:w="2050" w:type="dxa"/>
          </w:tcPr>
          <w:p w14:paraId="1C6E1588"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9.36</w:t>
            </w:r>
          </w:p>
        </w:tc>
        <w:tc>
          <w:tcPr>
            <w:tcW w:w="1850" w:type="dxa"/>
          </w:tcPr>
          <w:p w14:paraId="463CC9BD"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0.045</w:t>
            </w:r>
          </w:p>
        </w:tc>
      </w:tr>
      <w:tr w:rsidR="008A62E8" w:rsidRPr="003E0CF1" w14:paraId="2F45D7B8" w14:textId="77777777" w:rsidTr="0057243E">
        <w:tc>
          <w:tcPr>
            <w:tcW w:w="1200" w:type="dxa"/>
          </w:tcPr>
          <w:p w14:paraId="1248D259"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AT4</w:t>
            </w:r>
          </w:p>
        </w:tc>
        <w:tc>
          <w:tcPr>
            <w:tcW w:w="1850" w:type="dxa"/>
          </w:tcPr>
          <w:p w14:paraId="0EBA5EC0"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2245</w:t>
            </w:r>
          </w:p>
        </w:tc>
        <w:tc>
          <w:tcPr>
            <w:tcW w:w="1850" w:type="dxa"/>
          </w:tcPr>
          <w:p w14:paraId="1ED1AAF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4.12</w:t>
            </w:r>
          </w:p>
        </w:tc>
        <w:tc>
          <w:tcPr>
            <w:tcW w:w="2050" w:type="dxa"/>
          </w:tcPr>
          <w:p w14:paraId="6C999170"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8.97</w:t>
            </w:r>
          </w:p>
        </w:tc>
        <w:tc>
          <w:tcPr>
            <w:tcW w:w="1850" w:type="dxa"/>
          </w:tcPr>
          <w:p w14:paraId="5A6D543F"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0.041</w:t>
            </w:r>
          </w:p>
        </w:tc>
      </w:tr>
      <w:tr w:rsidR="008A62E8" w:rsidRPr="003E0CF1" w14:paraId="51FA4AD0" w14:textId="77777777" w:rsidTr="0057243E">
        <w:tc>
          <w:tcPr>
            <w:tcW w:w="1200" w:type="dxa"/>
          </w:tcPr>
          <w:p w14:paraId="257177BA"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AT5</w:t>
            </w:r>
          </w:p>
        </w:tc>
        <w:tc>
          <w:tcPr>
            <w:tcW w:w="1850" w:type="dxa"/>
          </w:tcPr>
          <w:p w14:paraId="0D0AD1CC"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2260</w:t>
            </w:r>
          </w:p>
        </w:tc>
        <w:tc>
          <w:tcPr>
            <w:tcW w:w="1850" w:type="dxa"/>
          </w:tcPr>
          <w:p w14:paraId="731F2D90"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3.95</w:t>
            </w:r>
          </w:p>
        </w:tc>
        <w:tc>
          <w:tcPr>
            <w:tcW w:w="2050" w:type="dxa"/>
          </w:tcPr>
          <w:p w14:paraId="0E23DED5"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8.45</w:t>
            </w:r>
          </w:p>
        </w:tc>
        <w:tc>
          <w:tcPr>
            <w:tcW w:w="1850" w:type="dxa"/>
          </w:tcPr>
          <w:p w14:paraId="11284C0D"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0.037</w:t>
            </w:r>
          </w:p>
        </w:tc>
      </w:tr>
      <w:tr w:rsidR="008A62E8" w:rsidRPr="003E0CF1" w14:paraId="55DE40FD" w14:textId="77777777" w:rsidTr="0057243E">
        <w:tc>
          <w:tcPr>
            <w:tcW w:w="1200" w:type="dxa"/>
          </w:tcPr>
          <w:p w14:paraId="0A150155"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AT6</w:t>
            </w:r>
          </w:p>
        </w:tc>
        <w:tc>
          <w:tcPr>
            <w:tcW w:w="1850" w:type="dxa"/>
          </w:tcPr>
          <w:p w14:paraId="62E0BF57"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2272</w:t>
            </w:r>
          </w:p>
        </w:tc>
        <w:tc>
          <w:tcPr>
            <w:tcW w:w="1850" w:type="dxa"/>
          </w:tcPr>
          <w:p w14:paraId="631965EA"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3.61</w:t>
            </w:r>
          </w:p>
        </w:tc>
        <w:tc>
          <w:tcPr>
            <w:tcW w:w="2050" w:type="dxa"/>
          </w:tcPr>
          <w:p w14:paraId="60679EC4"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7.82</w:t>
            </w:r>
          </w:p>
        </w:tc>
        <w:tc>
          <w:tcPr>
            <w:tcW w:w="1850" w:type="dxa"/>
          </w:tcPr>
          <w:p w14:paraId="0242C077"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0.031</w:t>
            </w:r>
          </w:p>
        </w:tc>
      </w:tr>
    </w:tbl>
    <w:p w14:paraId="4A7006C0" w14:textId="77777777" w:rsidR="00F741DE" w:rsidRPr="003E0CF1" w:rsidRDefault="0013306E" w:rsidP="00F9519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195570" wp14:editId="01EF8CAC">
            <wp:extent cx="4349626" cy="3521964"/>
            <wp:effectExtent l="0" t="0" r="0" b="0"/>
            <wp:docPr id="1" name="Picture 1" descr="Physical properties of AT-MMC at 28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358311" cy="3111350"/>
                    </a:xfrm>
                    <a:prstGeom prst="rect">
                      <a:avLst/>
                    </a:prstGeom>
                  </pic:spPr>
                </pic:pic>
              </a:graphicData>
            </a:graphic>
          </wp:inline>
        </w:drawing>
      </w:r>
    </w:p>
    <w:p w14:paraId="46BFC040"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Figure 6. Physical properties of AT-MMC at 28 days</w:t>
      </w:r>
    </w:p>
    <w:p w14:paraId="453F428C" w14:textId="77777777" w:rsidR="00F741DE" w:rsidRPr="003E0CF1" w:rsidRDefault="00E71383" w:rsidP="00F9519E">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4.5 Mechanical performance</w:t>
      </w:r>
    </w:p>
    <w:p w14:paraId="26E8D2E5" w14:textId="77777777" w:rsidR="00F741DE" w:rsidRPr="003E0CF1" w:rsidRDefault="00A16F45" w:rsidP="00F9519E">
      <w:pPr>
        <w:jc w:val="both"/>
        <w:rPr>
          <w:rFonts w:ascii="Times New Roman" w:hAnsi="Times New Roman" w:cs="Times New Roman"/>
          <w:sz w:val="24"/>
          <w:szCs w:val="24"/>
        </w:rPr>
      </w:pPr>
      <w:r>
        <w:rPr>
          <w:rFonts w:ascii="Times New Roman" w:hAnsi="Times New Roman" w:cs="Times New Roman"/>
          <w:sz w:val="24"/>
          <w:szCs w:val="24"/>
          <w:highlight w:val="yellow"/>
        </w:rPr>
        <w:t>Table 4 (Figure 7) reproduces the manuscript-reported 28-day summary values; these are reported summaries, not model predictions. Relative to C0, the AT6 values correspond to descriptive increases of 43.5% in compressive strength, 51.6% in flexural strength, 54.2% in splitting tensile strength and 109.8% in fracture toughness. These percentages are calculated arithmetically from the listed values and do not establish statistical significance or a causal effect of any individual constituent. Specimen-level observations and uncertainty estimates are unavailable in the supplied manuscript.</w:t>
      </w:r>
    </w:p>
    <w:p w14:paraId="4CEF7375" w14:textId="77777777" w:rsidR="00FC26F6"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 xml:space="preserve">The listed values increase progressively from AT1 to AT6 across all four mechanical indicators. This ordering provides a useful screening comparison of the reported formulations. </w:t>
      </w:r>
      <w:r>
        <w:rPr>
          <w:rFonts w:ascii="Times New Roman" w:hAnsi="Times New Roman" w:cs="Times New Roman"/>
          <w:sz w:val="24"/>
          <w:szCs w:val="24"/>
          <w:highlight w:val="yellow"/>
        </w:rPr>
        <w:lastRenderedPageBreak/>
        <w:t xml:space="preserve">Because AT5 and AT6 also contain higher lime, metakaolin and granite-waste fractions and a lower reported water-to-binder ratio than AT1–AT4, the observed progression cannot be attributed to basalt </w:t>
      </w:r>
      <w:proofErr w:type="spellStart"/>
      <w:r>
        <w:rPr>
          <w:rFonts w:ascii="Times New Roman" w:hAnsi="Times New Roman" w:cs="Times New Roman"/>
          <w:sz w:val="24"/>
          <w:szCs w:val="24"/>
          <w:highlight w:val="yellow"/>
        </w:rPr>
        <w:t>fibre</w:t>
      </w:r>
      <w:proofErr w:type="spellEnd"/>
      <w:r>
        <w:rPr>
          <w:rFonts w:ascii="Times New Roman" w:hAnsi="Times New Roman" w:cs="Times New Roman"/>
          <w:sz w:val="24"/>
          <w:szCs w:val="24"/>
          <w:highlight w:val="yellow"/>
        </w:rPr>
        <w:t xml:space="preserve"> alone. The curves are interpreted qualitatively; specimen-level load–deflection and load–CMOD coordinates, test geometry and replicate information would enable more detailed comparisons.</w:t>
      </w:r>
    </w:p>
    <w:p w14:paraId="192D284C"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 xml:space="preserve">Table 4. </w:t>
      </w:r>
      <w:r>
        <w:rPr>
          <w:rFonts w:ascii="Times New Roman" w:hAnsi="Times New Roman" w:cs="Times New Roman"/>
          <w:i/>
          <w:iCs/>
          <w:sz w:val="24"/>
          <w:szCs w:val="24"/>
        </w:rPr>
        <w:t>Mechanical properties of AT-MMC at 28 days.</w:t>
      </w:r>
    </w:p>
    <w:tbl>
      <w:tblPr>
        <w:tblStyle w:val="TableGrid"/>
        <w:tblW w:w="8800" w:type="dxa"/>
        <w:tblLook w:val="04A0" w:firstRow="1" w:lastRow="0" w:firstColumn="1" w:lastColumn="0" w:noHBand="0" w:noVBand="1"/>
      </w:tblPr>
      <w:tblGrid>
        <w:gridCol w:w="1200"/>
        <w:gridCol w:w="1850"/>
        <w:gridCol w:w="1850"/>
        <w:gridCol w:w="2050"/>
        <w:gridCol w:w="1850"/>
      </w:tblGrid>
      <w:tr w:rsidR="008A62E8" w:rsidRPr="003E0CF1" w14:paraId="23FBC9C6" w14:textId="77777777" w:rsidTr="00A16F45">
        <w:tc>
          <w:tcPr>
            <w:tcW w:w="1200" w:type="dxa"/>
          </w:tcPr>
          <w:p w14:paraId="746FA873"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Mix ID</w:t>
            </w:r>
          </w:p>
        </w:tc>
        <w:tc>
          <w:tcPr>
            <w:tcW w:w="1850" w:type="dxa"/>
          </w:tcPr>
          <w:p w14:paraId="7A9E307F"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Compressive strength (MPa)</w:t>
            </w:r>
          </w:p>
        </w:tc>
        <w:tc>
          <w:tcPr>
            <w:tcW w:w="1850" w:type="dxa"/>
          </w:tcPr>
          <w:p w14:paraId="21B7678F"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Flexural strength (MPa)</w:t>
            </w:r>
          </w:p>
        </w:tc>
        <w:tc>
          <w:tcPr>
            <w:tcW w:w="2050" w:type="dxa"/>
          </w:tcPr>
          <w:p w14:paraId="140C9053"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Splitting tensile strength (MPa)</w:t>
            </w:r>
          </w:p>
        </w:tc>
        <w:tc>
          <w:tcPr>
            <w:tcW w:w="1850" w:type="dxa"/>
          </w:tcPr>
          <w:p w14:paraId="41097C8B"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Fracture toughness (MPa·m</w:t>
            </w:r>
            <w:r>
              <w:rPr>
                <w:rFonts w:ascii="Times New Roman" w:hAnsi="Times New Roman" w:cs="Times New Roman"/>
                <w:b/>
                <w:bCs/>
                <w:sz w:val="24"/>
                <w:szCs w:val="24"/>
                <w:vertAlign w:val="superscript"/>
              </w:rPr>
              <w:t>0.5</w:t>
            </w:r>
            <w:r>
              <w:rPr>
                <w:rFonts w:ascii="Times New Roman" w:hAnsi="Times New Roman" w:cs="Times New Roman"/>
                <w:b/>
                <w:bCs/>
                <w:sz w:val="24"/>
                <w:szCs w:val="24"/>
              </w:rPr>
              <w:t>)</w:t>
            </w:r>
          </w:p>
        </w:tc>
      </w:tr>
      <w:tr w:rsidR="008A62E8" w:rsidRPr="003E0CF1" w14:paraId="18319A56" w14:textId="77777777" w:rsidTr="00A16F45">
        <w:tc>
          <w:tcPr>
            <w:tcW w:w="1200" w:type="dxa"/>
          </w:tcPr>
          <w:p w14:paraId="0D786C47"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C0</w:t>
            </w:r>
          </w:p>
        </w:tc>
        <w:tc>
          <w:tcPr>
            <w:tcW w:w="1850" w:type="dxa"/>
          </w:tcPr>
          <w:p w14:paraId="5FDE8DDF"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38.6</w:t>
            </w:r>
          </w:p>
        </w:tc>
        <w:tc>
          <w:tcPr>
            <w:tcW w:w="1850" w:type="dxa"/>
          </w:tcPr>
          <w:p w14:paraId="77F5990C"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6.12</w:t>
            </w:r>
          </w:p>
        </w:tc>
        <w:tc>
          <w:tcPr>
            <w:tcW w:w="2050" w:type="dxa"/>
          </w:tcPr>
          <w:p w14:paraId="23FD56ED"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3.21</w:t>
            </w:r>
          </w:p>
        </w:tc>
        <w:tc>
          <w:tcPr>
            <w:tcW w:w="1850" w:type="dxa"/>
          </w:tcPr>
          <w:p w14:paraId="48FC756C"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1.12</w:t>
            </w:r>
          </w:p>
        </w:tc>
      </w:tr>
      <w:tr w:rsidR="008A62E8" w:rsidRPr="003E0CF1" w14:paraId="7D4EE3FD" w14:textId="77777777" w:rsidTr="00A16F45">
        <w:tc>
          <w:tcPr>
            <w:tcW w:w="1200" w:type="dxa"/>
          </w:tcPr>
          <w:p w14:paraId="41FA9083"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AT1</w:t>
            </w:r>
          </w:p>
        </w:tc>
        <w:tc>
          <w:tcPr>
            <w:tcW w:w="1850" w:type="dxa"/>
          </w:tcPr>
          <w:p w14:paraId="4486BF11"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41.8</w:t>
            </w:r>
          </w:p>
        </w:tc>
        <w:tc>
          <w:tcPr>
            <w:tcW w:w="1850" w:type="dxa"/>
          </w:tcPr>
          <w:p w14:paraId="005CC1FA"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6.85</w:t>
            </w:r>
          </w:p>
        </w:tc>
        <w:tc>
          <w:tcPr>
            <w:tcW w:w="2050" w:type="dxa"/>
          </w:tcPr>
          <w:p w14:paraId="018A3C49"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3.62</w:t>
            </w:r>
          </w:p>
        </w:tc>
        <w:tc>
          <w:tcPr>
            <w:tcW w:w="1850" w:type="dxa"/>
          </w:tcPr>
          <w:p w14:paraId="2F37734C"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1.45</w:t>
            </w:r>
          </w:p>
        </w:tc>
      </w:tr>
      <w:tr w:rsidR="008A62E8" w:rsidRPr="003E0CF1" w14:paraId="062591E6" w14:textId="77777777" w:rsidTr="00A16F45">
        <w:tc>
          <w:tcPr>
            <w:tcW w:w="1200" w:type="dxa"/>
          </w:tcPr>
          <w:p w14:paraId="568D5AF8"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AT2</w:t>
            </w:r>
          </w:p>
        </w:tc>
        <w:tc>
          <w:tcPr>
            <w:tcW w:w="1850" w:type="dxa"/>
          </w:tcPr>
          <w:p w14:paraId="07E7B1E4"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45.7</w:t>
            </w:r>
          </w:p>
        </w:tc>
        <w:tc>
          <w:tcPr>
            <w:tcW w:w="1850" w:type="dxa"/>
          </w:tcPr>
          <w:p w14:paraId="5EA02A7A"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7.32</w:t>
            </w:r>
          </w:p>
        </w:tc>
        <w:tc>
          <w:tcPr>
            <w:tcW w:w="2050" w:type="dxa"/>
          </w:tcPr>
          <w:p w14:paraId="418A826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3.91</w:t>
            </w:r>
          </w:p>
        </w:tc>
        <w:tc>
          <w:tcPr>
            <w:tcW w:w="1850" w:type="dxa"/>
          </w:tcPr>
          <w:p w14:paraId="79BA9651"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1.86</w:t>
            </w:r>
          </w:p>
        </w:tc>
      </w:tr>
      <w:tr w:rsidR="008A62E8" w:rsidRPr="003E0CF1" w14:paraId="6ED84383" w14:textId="77777777" w:rsidTr="00A16F45">
        <w:tc>
          <w:tcPr>
            <w:tcW w:w="1200" w:type="dxa"/>
          </w:tcPr>
          <w:p w14:paraId="6A5ACA64"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AT3</w:t>
            </w:r>
          </w:p>
        </w:tc>
        <w:tc>
          <w:tcPr>
            <w:tcW w:w="1850" w:type="dxa"/>
          </w:tcPr>
          <w:p w14:paraId="3813541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48.9</w:t>
            </w:r>
          </w:p>
        </w:tc>
        <w:tc>
          <w:tcPr>
            <w:tcW w:w="1850" w:type="dxa"/>
          </w:tcPr>
          <w:p w14:paraId="588ECB0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7.96</w:t>
            </w:r>
          </w:p>
        </w:tc>
        <w:tc>
          <w:tcPr>
            <w:tcW w:w="2050" w:type="dxa"/>
          </w:tcPr>
          <w:p w14:paraId="7910AEDA"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4.28</w:t>
            </w:r>
          </w:p>
        </w:tc>
        <w:tc>
          <w:tcPr>
            <w:tcW w:w="1850" w:type="dxa"/>
          </w:tcPr>
          <w:p w14:paraId="1010C813"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2.08</w:t>
            </w:r>
          </w:p>
        </w:tc>
      </w:tr>
      <w:tr w:rsidR="008A62E8" w:rsidRPr="003E0CF1" w14:paraId="3BD64F03" w14:textId="77777777" w:rsidTr="00A16F45">
        <w:tc>
          <w:tcPr>
            <w:tcW w:w="1200" w:type="dxa"/>
          </w:tcPr>
          <w:p w14:paraId="79A2E4C8"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AT4</w:t>
            </w:r>
          </w:p>
        </w:tc>
        <w:tc>
          <w:tcPr>
            <w:tcW w:w="1850" w:type="dxa"/>
          </w:tcPr>
          <w:p w14:paraId="792FD7F2"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50.1</w:t>
            </w:r>
          </w:p>
        </w:tc>
        <w:tc>
          <w:tcPr>
            <w:tcW w:w="1850" w:type="dxa"/>
          </w:tcPr>
          <w:p w14:paraId="3B7C5287"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8.21</w:t>
            </w:r>
          </w:p>
        </w:tc>
        <w:tc>
          <w:tcPr>
            <w:tcW w:w="2050" w:type="dxa"/>
          </w:tcPr>
          <w:p w14:paraId="2B76E960"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4.42</w:t>
            </w:r>
          </w:p>
        </w:tc>
        <w:tc>
          <w:tcPr>
            <w:tcW w:w="1850" w:type="dxa"/>
          </w:tcPr>
          <w:p w14:paraId="0BE3C3AC"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2.21</w:t>
            </w:r>
          </w:p>
        </w:tc>
      </w:tr>
      <w:tr w:rsidR="008A62E8" w:rsidRPr="003E0CF1" w14:paraId="3D3B4C41" w14:textId="77777777" w:rsidTr="00A16F45">
        <w:tc>
          <w:tcPr>
            <w:tcW w:w="1200" w:type="dxa"/>
          </w:tcPr>
          <w:p w14:paraId="27A20267"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AT5</w:t>
            </w:r>
          </w:p>
        </w:tc>
        <w:tc>
          <w:tcPr>
            <w:tcW w:w="1850" w:type="dxa"/>
          </w:tcPr>
          <w:p w14:paraId="0D42FAD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52.6</w:t>
            </w:r>
          </w:p>
        </w:tc>
        <w:tc>
          <w:tcPr>
            <w:tcW w:w="1850" w:type="dxa"/>
          </w:tcPr>
          <w:p w14:paraId="5D9EDB22"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8.76</w:t>
            </w:r>
          </w:p>
        </w:tc>
        <w:tc>
          <w:tcPr>
            <w:tcW w:w="2050" w:type="dxa"/>
          </w:tcPr>
          <w:p w14:paraId="324981F1"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4.71</w:t>
            </w:r>
          </w:p>
        </w:tc>
        <w:tc>
          <w:tcPr>
            <w:tcW w:w="1850" w:type="dxa"/>
          </w:tcPr>
          <w:p w14:paraId="490AC52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2.29</w:t>
            </w:r>
          </w:p>
        </w:tc>
      </w:tr>
      <w:tr w:rsidR="008A62E8" w:rsidRPr="003E0CF1" w14:paraId="5FF33617" w14:textId="77777777" w:rsidTr="00A16F45">
        <w:tc>
          <w:tcPr>
            <w:tcW w:w="1200" w:type="dxa"/>
          </w:tcPr>
          <w:p w14:paraId="26E92B96"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AT6</w:t>
            </w:r>
          </w:p>
        </w:tc>
        <w:tc>
          <w:tcPr>
            <w:tcW w:w="1850" w:type="dxa"/>
          </w:tcPr>
          <w:p w14:paraId="5A39E864"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55.4</w:t>
            </w:r>
          </w:p>
        </w:tc>
        <w:tc>
          <w:tcPr>
            <w:tcW w:w="1850" w:type="dxa"/>
          </w:tcPr>
          <w:p w14:paraId="7A95286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9.28</w:t>
            </w:r>
          </w:p>
        </w:tc>
        <w:tc>
          <w:tcPr>
            <w:tcW w:w="2050" w:type="dxa"/>
          </w:tcPr>
          <w:p w14:paraId="473CF793"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4.95</w:t>
            </w:r>
          </w:p>
        </w:tc>
        <w:tc>
          <w:tcPr>
            <w:tcW w:w="1850" w:type="dxa"/>
          </w:tcPr>
          <w:p w14:paraId="08F2A6BC"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2.35</w:t>
            </w:r>
          </w:p>
        </w:tc>
      </w:tr>
    </w:tbl>
    <w:p w14:paraId="106EE840"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6B390F" wp14:editId="1878DACE">
            <wp:extent cx="4122200" cy="3332418"/>
            <wp:effectExtent l="0" t="0" r="0" b="1905"/>
            <wp:docPr id="4" name="Picture 4" descr="28-day mechanical properties of all mix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23786" cy="3333700"/>
                    </a:xfrm>
                    <a:prstGeom prst="rect">
                      <a:avLst/>
                    </a:prstGeom>
                  </pic:spPr>
                </pic:pic>
              </a:graphicData>
            </a:graphic>
          </wp:inline>
        </w:drawing>
      </w:r>
    </w:p>
    <w:p w14:paraId="09D09534"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Figure 7. 28-day mechanical properties of all mixes</w:t>
      </w:r>
    </w:p>
    <w:p w14:paraId="21F896FA" w14:textId="77777777" w:rsidR="00A16F45" w:rsidRPr="003E0CF1" w:rsidRDefault="00A16F45" w:rsidP="00F9519E">
      <w:pPr>
        <w:jc w:val="both"/>
        <w:rPr>
          <w:rFonts w:ascii="Times New Roman" w:hAnsi="Times New Roman" w:cs="Times New Roman"/>
          <w:sz w:val="24"/>
          <w:szCs w:val="24"/>
        </w:rPr>
      </w:pPr>
      <w:r>
        <w:rPr>
          <w:rFonts w:ascii="Times New Roman" w:hAnsi="Times New Roman" w:cs="Times New Roman"/>
          <w:sz w:val="24"/>
          <w:szCs w:val="24"/>
        </w:rPr>
        <w:t xml:space="preserve">The curves </w:t>
      </w:r>
      <w:r>
        <w:rPr>
          <w:rFonts w:ascii="Times New Roman" w:hAnsi="Times New Roman" w:cs="Times New Roman"/>
          <w:sz w:val="24"/>
          <w:szCs w:val="24"/>
          <w:highlight w:val="yellow"/>
        </w:rPr>
        <w:t>shown</w:t>
      </w:r>
      <w:r>
        <w:rPr>
          <w:rFonts w:ascii="Times New Roman" w:hAnsi="Times New Roman" w:cs="Times New Roman"/>
          <w:sz w:val="24"/>
          <w:szCs w:val="24"/>
        </w:rPr>
        <w:t xml:space="preserve"> for C0, AT3 and AT6 </w:t>
      </w:r>
      <w:r>
        <w:rPr>
          <w:rFonts w:ascii="Times New Roman" w:hAnsi="Times New Roman" w:cs="Times New Roman"/>
          <w:sz w:val="24"/>
          <w:szCs w:val="24"/>
          <w:highlight w:val="cyan"/>
        </w:rPr>
        <w:t>(Figures 8 and 9)</w:t>
      </w:r>
      <w:r>
        <w:rPr>
          <w:rFonts w:ascii="Times New Roman" w:hAnsi="Times New Roman" w:cs="Times New Roman"/>
          <w:sz w:val="24"/>
          <w:szCs w:val="24"/>
          <w:highlight w:val="magenta"/>
        </w:rPr>
        <w:t xml:space="preserve"> </w:t>
      </w:r>
      <w:r>
        <w:rPr>
          <w:rFonts w:ascii="Times New Roman" w:hAnsi="Times New Roman" w:cs="Times New Roman"/>
          <w:sz w:val="24"/>
          <w:szCs w:val="24"/>
          <w:highlight w:val="yellow"/>
        </w:rPr>
        <w:t>illustrate the reported flexural</w:t>
      </w:r>
      <w:r>
        <w:rPr>
          <w:rFonts w:ascii="Times New Roman" w:hAnsi="Times New Roman" w:cs="Times New Roman"/>
          <w:sz w:val="24"/>
          <w:szCs w:val="24"/>
        </w:rPr>
        <w:t xml:space="preserve"> and post-peak </w:t>
      </w:r>
      <w:r>
        <w:rPr>
          <w:rFonts w:ascii="Times New Roman" w:hAnsi="Times New Roman" w:cs="Times New Roman"/>
          <w:sz w:val="24"/>
          <w:szCs w:val="24"/>
          <w:highlight w:val="yellow"/>
        </w:rPr>
        <w:t>responses. Supplementary stress–deflection and</w:t>
      </w:r>
      <w:r>
        <w:rPr>
          <w:rFonts w:ascii="Times New Roman" w:hAnsi="Times New Roman" w:cs="Times New Roman"/>
          <w:sz w:val="24"/>
          <w:szCs w:val="24"/>
        </w:rPr>
        <w:t xml:space="preserve"> load</w:t>
      </w:r>
      <w:r>
        <w:rPr>
          <w:rFonts w:ascii="Times New Roman" w:hAnsi="Times New Roman" w:cs="Times New Roman"/>
          <w:sz w:val="24"/>
          <w:szCs w:val="24"/>
          <w:highlight w:val="yellow"/>
        </w:rPr>
        <w:t>–CMOD coordinates, together with specimen-level replicates, will allow</w:t>
      </w:r>
      <w:r>
        <w:rPr>
          <w:rFonts w:ascii="Times New Roman" w:hAnsi="Times New Roman" w:cs="Times New Roman"/>
          <w:sz w:val="24"/>
          <w:szCs w:val="24"/>
        </w:rPr>
        <w:t xml:space="preserve"> curve</w:t>
      </w:r>
      <w:r>
        <w:rPr>
          <w:rFonts w:ascii="Times New Roman" w:hAnsi="Times New Roman" w:cs="Times New Roman"/>
          <w:sz w:val="24"/>
          <w:szCs w:val="24"/>
          <w:highlight w:val="yellow"/>
        </w:rPr>
        <w:t>-level comparisons and quantitative evaluation</w:t>
      </w:r>
      <w:r>
        <w:rPr>
          <w:rFonts w:ascii="Times New Roman" w:hAnsi="Times New Roman" w:cs="Times New Roman"/>
          <w:sz w:val="24"/>
          <w:szCs w:val="24"/>
        </w:rPr>
        <w:t xml:space="preserve"> of </w:t>
      </w:r>
      <w:proofErr w:type="spellStart"/>
      <w:r>
        <w:rPr>
          <w:rFonts w:ascii="Times New Roman" w:hAnsi="Times New Roman" w:cs="Times New Roman"/>
          <w:sz w:val="24"/>
          <w:szCs w:val="24"/>
          <w:highlight w:val="yellow"/>
        </w:rPr>
        <w:t>fibre</w:t>
      </w:r>
      <w:proofErr w:type="spellEnd"/>
      <w:r>
        <w:rPr>
          <w:rFonts w:ascii="Times New Roman" w:hAnsi="Times New Roman" w:cs="Times New Roman"/>
          <w:sz w:val="24"/>
          <w:szCs w:val="24"/>
          <w:highlight w:val="yellow"/>
        </w:rPr>
        <w:t>-</w:t>
      </w:r>
      <w:r>
        <w:rPr>
          <w:rFonts w:ascii="Times New Roman" w:hAnsi="Times New Roman" w:cs="Times New Roman"/>
          <w:sz w:val="24"/>
          <w:szCs w:val="24"/>
        </w:rPr>
        <w:t xml:space="preserve">bridging </w:t>
      </w:r>
      <w:proofErr w:type="spellStart"/>
      <w:r>
        <w:rPr>
          <w:rFonts w:ascii="Times New Roman" w:hAnsi="Times New Roman" w:cs="Times New Roman"/>
          <w:sz w:val="24"/>
          <w:szCs w:val="24"/>
          <w:highlight w:val="yellow"/>
        </w:rPr>
        <w:t>behaviour</w:t>
      </w:r>
      <w:proofErr w:type="spellEnd"/>
      <w:r>
        <w:rPr>
          <w:rFonts w:ascii="Times New Roman" w:hAnsi="Times New Roman" w:cs="Times New Roman"/>
          <w:sz w:val="24"/>
          <w:szCs w:val="24"/>
        </w:rPr>
        <w:t>.</w:t>
      </w:r>
    </w:p>
    <w:p w14:paraId="58C4B94E" w14:textId="77777777" w:rsidR="00F741DE" w:rsidRPr="003E0CF1" w:rsidRDefault="008C31D5" w:rsidP="00F9519E">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EA76234" wp14:editId="066F3538">
            <wp:extent cx="3369063" cy="2162175"/>
            <wp:effectExtent l="0" t="0" r="3175" b="0"/>
            <wp:docPr id="19" name="Picture 19" descr="Flexural stress-deflection curves for C0, AT3 and A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371350" cy="2163643"/>
                    </a:xfrm>
                    <a:prstGeom prst="rect">
                      <a:avLst/>
                    </a:prstGeom>
                  </pic:spPr>
                </pic:pic>
              </a:graphicData>
            </a:graphic>
          </wp:inline>
        </w:drawing>
      </w:r>
    </w:p>
    <w:p w14:paraId="0E05BFED"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 xml:space="preserve">Figure 8. Flexural stress-deflection curves for C0, AT3 and AT6 </w:t>
      </w:r>
    </w:p>
    <w:p w14:paraId="0DA0B1BB" w14:textId="77777777" w:rsidR="00F741DE" w:rsidRPr="003E0CF1" w:rsidRDefault="008C31D5" w:rsidP="00F9519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21C654C" wp14:editId="5666ED40">
            <wp:extent cx="3294699" cy="2228850"/>
            <wp:effectExtent l="0" t="0" r="1270" b="0"/>
            <wp:docPr id="20" name="Picture 20" descr="Load-CMOD curves for C0, AT3 and A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295996" cy="2229727"/>
                    </a:xfrm>
                    <a:prstGeom prst="rect">
                      <a:avLst/>
                    </a:prstGeom>
                  </pic:spPr>
                </pic:pic>
              </a:graphicData>
            </a:graphic>
          </wp:inline>
        </w:drawing>
      </w:r>
    </w:p>
    <w:p w14:paraId="68CF031C"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 xml:space="preserve">Figure 9. Load-CMOD curves for C0, AT3 and AT6 </w:t>
      </w:r>
    </w:p>
    <w:p w14:paraId="68B74181" w14:textId="77777777" w:rsidR="00F741DE" w:rsidRPr="003E0CF1" w:rsidRDefault="00E71383" w:rsidP="00F9519E">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4.6 Durability performance</w:t>
      </w:r>
    </w:p>
    <w:p w14:paraId="5958E720" w14:textId="77777777" w:rsidR="00F741DE" w:rsidRPr="003E0CF1" w:rsidRDefault="00A16F45" w:rsidP="00F9519E">
      <w:pPr>
        <w:jc w:val="both"/>
        <w:rPr>
          <w:rFonts w:ascii="Times New Roman" w:hAnsi="Times New Roman" w:cs="Times New Roman"/>
          <w:sz w:val="24"/>
          <w:szCs w:val="24"/>
        </w:rPr>
      </w:pPr>
      <w:r>
        <w:rPr>
          <w:rFonts w:ascii="Times New Roman" w:hAnsi="Times New Roman" w:cs="Times New Roman"/>
          <w:sz w:val="24"/>
          <w:szCs w:val="24"/>
          <w:highlight w:val="yellow"/>
        </w:rPr>
        <w:t>The reported residual compressive-strength ratios (Table 5, Figure 10) are highest for AT6 among the listed mixtures under the stated laboratory exposure endpoints. These rankings provide an initial basis for comparative durability screening. Complete exposure protocols, replicate counts and specimen-level measurements would help quantify variability and determine how consistently the ranking is reproduced. The results describe the reported laboratory conditions and are not direct measures of field durability or service life.</w:t>
      </w:r>
    </w:p>
    <w:p w14:paraId="42A79ABB" w14:textId="77777777" w:rsidR="00FC26F6"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For AT6, the reported retention values range from 81.5% after the 5% H₂SO₄ exposure to 97.6% after water immersion; the corresponding C0 values are 62.4% and 92.1%. AT6 also has the highest listed retention under wet–dry cycling (93.8%), sulfate exposure (90.3%) and freeze–thaw cycling (92.4%). These comparisons suggest better retention within the reported laboratory dataset, but the precise meaning of the percentages, baseline calculations, solution concentration basis and exposure protocols must be confirmed before quantitative durability claims are made.</w:t>
      </w:r>
    </w:p>
    <w:p w14:paraId="32E7C530"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 xml:space="preserve">Table 5. </w:t>
      </w:r>
      <w:r>
        <w:rPr>
          <w:rFonts w:ascii="Times New Roman" w:hAnsi="Times New Roman" w:cs="Times New Roman"/>
          <w:i/>
          <w:iCs/>
          <w:sz w:val="24"/>
          <w:szCs w:val="24"/>
        </w:rPr>
        <w:t>Residual compressive strength (%) after durability exposure (28-day baseline).</w:t>
      </w:r>
    </w:p>
    <w:tbl>
      <w:tblPr>
        <w:tblStyle w:val="TableGrid"/>
        <w:tblW w:w="8800" w:type="dxa"/>
        <w:tblLook w:val="04A0" w:firstRow="1" w:lastRow="0" w:firstColumn="1" w:lastColumn="0" w:noHBand="0" w:noVBand="1"/>
      </w:tblPr>
      <w:tblGrid>
        <w:gridCol w:w="1150"/>
        <w:gridCol w:w="1700"/>
        <w:gridCol w:w="1500"/>
        <w:gridCol w:w="1500"/>
        <w:gridCol w:w="1300"/>
        <w:gridCol w:w="1650"/>
      </w:tblGrid>
      <w:tr w:rsidR="008A62E8" w:rsidRPr="003E0CF1" w14:paraId="5195AAAF" w14:textId="77777777" w:rsidTr="00A16F45">
        <w:tc>
          <w:tcPr>
            <w:tcW w:w="1150" w:type="dxa"/>
          </w:tcPr>
          <w:p w14:paraId="00848055"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Mix ID</w:t>
            </w:r>
          </w:p>
        </w:tc>
        <w:tc>
          <w:tcPr>
            <w:tcW w:w="1700" w:type="dxa"/>
          </w:tcPr>
          <w:p w14:paraId="763BF1B3"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Water immersion (56d)</w:t>
            </w:r>
          </w:p>
        </w:tc>
        <w:tc>
          <w:tcPr>
            <w:tcW w:w="1500" w:type="dxa"/>
          </w:tcPr>
          <w:p w14:paraId="74B46267"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 xml:space="preserve">Wet-dry (100 </w:t>
            </w:r>
            <w:proofErr w:type="spellStart"/>
            <w:r>
              <w:rPr>
                <w:rFonts w:ascii="Times New Roman" w:hAnsi="Times New Roman" w:cs="Times New Roman"/>
                <w:b/>
                <w:bCs/>
                <w:sz w:val="24"/>
                <w:szCs w:val="24"/>
              </w:rPr>
              <w:t>cyc</w:t>
            </w:r>
            <w:proofErr w:type="spellEnd"/>
            <w:r>
              <w:rPr>
                <w:rFonts w:ascii="Times New Roman" w:hAnsi="Times New Roman" w:cs="Times New Roman"/>
                <w:b/>
                <w:bCs/>
                <w:sz w:val="24"/>
                <w:szCs w:val="24"/>
              </w:rPr>
              <w:t>)</w:t>
            </w:r>
          </w:p>
        </w:tc>
        <w:tc>
          <w:tcPr>
            <w:tcW w:w="1500" w:type="dxa"/>
          </w:tcPr>
          <w:p w14:paraId="472FF0E5"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Sulfate 5% (56d)</w:t>
            </w:r>
          </w:p>
        </w:tc>
        <w:tc>
          <w:tcPr>
            <w:tcW w:w="1300" w:type="dxa"/>
          </w:tcPr>
          <w:p w14:paraId="15395530"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Acid 5% (28d)</w:t>
            </w:r>
          </w:p>
        </w:tc>
        <w:tc>
          <w:tcPr>
            <w:tcW w:w="1650" w:type="dxa"/>
          </w:tcPr>
          <w:p w14:paraId="5385DDAA"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 xml:space="preserve">Freeze-thaw (50 </w:t>
            </w:r>
            <w:proofErr w:type="spellStart"/>
            <w:r>
              <w:rPr>
                <w:rFonts w:ascii="Times New Roman" w:hAnsi="Times New Roman" w:cs="Times New Roman"/>
                <w:b/>
                <w:bCs/>
                <w:sz w:val="24"/>
                <w:szCs w:val="24"/>
              </w:rPr>
              <w:t>cyc</w:t>
            </w:r>
            <w:proofErr w:type="spellEnd"/>
            <w:r>
              <w:rPr>
                <w:rFonts w:ascii="Times New Roman" w:hAnsi="Times New Roman" w:cs="Times New Roman"/>
                <w:b/>
                <w:bCs/>
                <w:sz w:val="24"/>
                <w:szCs w:val="24"/>
              </w:rPr>
              <w:t>)</w:t>
            </w:r>
          </w:p>
        </w:tc>
      </w:tr>
      <w:tr w:rsidR="008A62E8" w:rsidRPr="003E0CF1" w14:paraId="2A2D28E0" w14:textId="77777777" w:rsidTr="00A16F45">
        <w:tc>
          <w:tcPr>
            <w:tcW w:w="1150" w:type="dxa"/>
          </w:tcPr>
          <w:p w14:paraId="75C1D2F0"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C0</w:t>
            </w:r>
          </w:p>
        </w:tc>
        <w:tc>
          <w:tcPr>
            <w:tcW w:w="1700" w:type="dxa"/>
          </w:tcPr>
          <w:p w14:paraId="27C63973"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92.1</w:t>
            </w:r>
          </w:p>
        </w:tc>
        <w:tc>
          <w:tcPr>
            <w:tcW w:w="1500" w:type="dxa"/>
          </w:tcPr>
          <w:p w14:paraId="7A96B8C8"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75.3</w:t>
            </w:r>
          </w:p>
        </w:tc>
        <w:tc>
          <w:tcPr>
            <w:tcW w:w="1500" w:type="dxa"/>
          </w:tcPr>
          <w:p w14:paraId="033BBFDB"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70.2</w:t>
            </w:r>
          </w:p>
        </w:tc>
        <w:tc>
          <w:tcPr>
            <w:tcW w:w="1300" w:type="dxa"/>
          </w:tcPr>
          <w:p w14:paraId="263BD6F4"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62.4</w:t>
            </w:r>
          </w:p>
        </w:tc>
        <w:tc>
          <w:tcPr>
            <w:tcW w:w="1650" w:type="dxa"/>
          </w:tcPr>
          <w:p w14:paraId="60B2106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78.6</w:t>
            </w:r>
          </w:p>
        </w:tc>
      </w:tr>
      <w:tr w:rsidR="008A62E8" w:rsidRPr="003E0CF1" w14:paraId="7F513C11" w14:textId="77777777" w:rsidTr="00A16F45">
        <w:tc>
          <w:tcPr>
            <w:tcW w:w="1150" w:type="dxa"/>
          </w:tcPr>
          <w:p w14:paraId="2185D5D8"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AT1</w:t>
            </w:r>
          </w:p>
        </w:tc>
        <w:tc>
          <w:tcPr>
            <w:tcW w:w="1700" w:type="dxa"/>
          </w:tcPr>
          <w:p w14:paraId="2669895A"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94.6</w:t>
            </w:r>
          </w:p>
        </w:tc>
        <w:tc>
          <w:tcPr>
            <w:tcW w:w="1500" w:type="dxa"/>
          </w:tcPr>
          <w:p w14:paraId="39C6F8EB"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81.7</w:t>
            </w:r>
          </w:p>
        </w:tc>
        <w:tc>
          <w:tcPr>
            <w:tcW w:w="1500" w:type="dxa"/>
          </w:tcPr>
          <w:p w14:paraId="21482431"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76.5</w:t>
            </w:r>
          </w:p>
        </w:tc>
        <w:tc>
          <w:tcPr>
            <w:tcW w:w="1300" w:type="dxa"/>
          </w:tcPr>
          <w:p w14:paraId="67A136F4"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69.3</w:t>
            </w:r>
          </w:p>
        </w:tc>
        <w:tc>
          <w:tcPr>
            <w:tcW w:w="1650" w:type="dxa"/>
          </w:tcPr>
          <w:p w14:paraId="2EC60F99"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83.2</w:t>
            </w:r>
          </w:p>
        </w:tc>
      </w:tr>
      <w:tr w:rsidR="008A62E8" w:rsidRPr="003E0CF1" w14:paraId="589888B8" w14:textId="77777777" w:rsidTr="00A16F45">
        <w:tc>
          <w:tcPr>
            <w:tcW w:w="1150" w:type="dxa"/>
          </w:tcPr>
          <w:p w14:paraId="6A7A500F"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AT2</w:t>
            </w:r>
          </w:p>
        </w:tc>
        <w:tc>
          <w:tcPr>
            <w:tcW w:w="1700" w:type="dxa"/>
          </w:tcPr>
          <w:p w14:paraId="715E4143"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95.8</w:t>
            </w:r>
          </w:p>
        </w:tc>
        <w:tc>
          <w:tcPr>
            <w:tcW w:w="1500" w:type="dxa"/>
          </w:tcPr>
          <w:p w14:paraId="47FAA42C"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86.3</w:t>
            </w:r>
          </w:p>
        </w:tc>
        <w:tc>
          <w:tcPr>
            <w:tcW w:w="1500" w:type="dxa"/>
          </w:tcPr>
          <w:p w14:paraId="7578F722"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81.4</w:t>
            </w:r>
          </w:p>
        </w:tc>
        <w:tc>
          <w:tcPr>
            <w:tcW w:w="1300" w:type="dxa"/>
          </w:tcPr>
          <w:p w14:paraId="3CADDAAC"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72.2</w:t>
            </w:r>
          </w:p>
        </w:tc>
        <w:tc>
          <w:tcPr>
            <w:tcW w:w="1650" w:type="dxa"/>
          </w:tcPr>
          <w:p w14:paraId="74AAD41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86.1</w:t>
            </w:r>
          </w:p>
        </w:tc>
      </w:tr>
      <w:tr w:rsidR="008A62E8" w:rsidRPr="003E0CF1" w14:paraId="66EACCD1" w14:textId="77777777" w:rsidTr="00A16F45">
        <w:tc>
          <w:tcPr>
            <w:tcW w:w="1150" w:type="dxa"/>
          </w:tcPr>
          <w:p w14:paraId="6EC1E491"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AT3</w:t>
            </w:r>
          </w:p>
        </w:tc>
        <w:tc>
          <w:tcPr>
            <w:tcW w:w="1700" w:type="dxa"/>
          </w:tcPr>
          <w:p w14:paraId="1F6A73D5"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96.5</w:t>
            </w:r>
          </w:p>
        </w:tc>
        <w:tc>
          <w:tcPr>
            <w:tcW w:w="1500" w:type="dxa"/>
          </w:tcPr>
          <w:p w14:paraId="51EA6E3F"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88.9</w:t>
            </w:r>
          </w:p>
        </w:tc>
        <w:tc>
          <w:tcPr>
            <w:tcW w:w="1500" w:type="dxa"/>
          </w:tcPr>
          <w:p w14:paraId="299445BF"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84.7</w:t>
            </w:r>
          </w:p>
        </w:tc>
        <w:tc>
          <w:tcPr>
            <w:tcW w:w="1300" w:type="dxa"/>
          </w:tcPr>
          <w:p w14:paraId="38448894"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75.1</w:t>
            </w:r>
          </w:p>
        </w:tc>
        <w:tc>
          <w:tcPr>
            <w:tcW w:w="1650" w:type="dxa"/>
          </w:tcPr>
          <w:p w14:paraId="38386797"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88.7</w:t>
            </w:r>
          </w:p>
        </w:tc>
      </w:tr>
      <w:tr w:rsidR="008A62E8" w:rsidRPr="003E0CF1" w14:paraId="4AC2B089" w14:textId="77777777" w:rsidTr="00A16F45">
        <w:tc>
          <w:tcPr>
            <w:tcW w:w="1150" w:type="dxa"/>
          </w:tcPr>
          <w:p w14:paraId="58C05A45"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AT4</w:t>
            </w:r>
          </w:p>
        </w:tc>
        <w:tc>
          <w:tcPr>
            <w:tcW w:w="1700" w:type="dxa"/>
          </w:tcPr>
          <w:p w14:paraId="6653FBE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97.1</w:t>
            </w:r>
          </w:p>
        </w:tc>
        <w:tc>
          <w:tcPr>
            <w:tcW w:w="1500" w:type="dxa"/>
          </w:tcPr>
          <w:p w14:paraId="3EF4C4C2"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91.2</w:t>
            </w:r>
          </w:p>
        </w:tc>
        <w:tc>
          <w:tcPr>
            <w:tcW w:w="1500" w:type="dxa"/>
          </w:tcPr>
          <w:p w14:paraId="4F2D2483"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86.2</w:t>
            </w:r>
          </w:p>
        </w:tc>
        <w:tc>
          <w:tcPr>
            <w:tcW w:w="1300" w:type="dxa"/>
          </w:tcPr>
          <w:p w14:paraId="11DE8DDC"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77.6</w:t>
            </w:r>
          </w:p>
        </w:tc>
        <w:tc>
          <w:tcPr>
            <w:tcW w:w="1650" w:type="dxa"/>
          </w:tcPr>
          <w:p w14:paraId="21F4E35A"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90.3</w:t>
            </w:r>
          </w:p>
        </w:tc>
      </w:tr>
      <w:tr w:rsidR="008A62E8" w:rsidRPr="003E0CF1" w14:paraId="5625E767" w14:textId="77777777" w:rsidTr="00A16F45">
        <w:tc>
          <w:tcPr>
            <w:tcW w:w="1150" w:type="dxa"/>
          </w:tcPr>
          <w:p w14:paraId="29FB647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lastRenderedPageBreak/>
              <w:t>AT5</w:t>
            </w:r>
          </w:p>
        </w:tc>
        <w:tc>
          <w:tcPr>
            <w:tcW w:w="1700" w:type="dxa"/>
          </w:tcPr>
          <w:p w14:paraId="2C4AFEC1"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96.8</w:t>
            </w:r>
          </w:p>
        </w:tc>
        <w:tc>
          <w:tcPr>
            <w:tcW w:w="1500" w:type="dxa"/>
          </w:tcPr>
          <w:p w14:paraId="541C08C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92.4</w:t>
            </w:r>
          </w:p>
        </w:tc>
        <w:tc>
          <w:tcPr>
            <w:tcW w:w="1500" w:type="dxa"/>
          </w:tcPr>
          <w:p w14:paraId="528AA6B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88.6</w:t>
            </w:r>
          </w:p>
        </w:tc>
        <w:tc>
          <w:tcPr>
            <w:tcW w:w="1300" w:type="dxa"/>
          </w:tcPr>
          <w:p w14:paraId="2C2BB40C"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79.6</w:t>
            </w:r>
          </w:p>
        </w:tc>
        <w:tc>
          <w:tcPr>
            <w:tcW w:w="1650" w:type="dxa"/>
          </w:tcPr>
          <w:p w14:paraId="23A6EEDA"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91.1</w:t>
            </w:r>
          </w:p>
        </w:tc>
      </w:tr>
      <w:tr w:rsidR="008A62E8" w:rsidRPr="003E0CF1" w14:paraId="46FA924A" w14:textId="77777777" w:rsidTr="00A16F45">
        <w:tc>
          <w:tcPr>
            <w:tcW w:w="1150" w:type="dxa"/>
          </w:tcPr>
          <w:p w14:paraId="072B3BD4"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AT6</w:t>
            </w:r>
          </w:p>
        </w:tc>
        <w:tc>
          <w:tcPr>
            <w:tcW w:w="1700" w:type="dxa"/>
          </w:tcPr>
          <w:p w14:paraId="20A2EC97"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97.6</w:t>
            </w:r>
          </w:p>
        </w:tc>
        <w:tc>
          <w:tcPr>
            <w:tcW w:w="1500" w:type="dxa"/>
          </w:tcPr>
          <w:p w14:paraId="255B15A7"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93.8</w:t>
            </w:r>
          </w:p>
        </w:tc>
        <w:tc>
          <w:tcPr>
            <w:tcW w:w="1500" w:type="dxa"/>
          </w:tcPr>
          <w:p w14:paraId="325A755F"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90.3</w:t>
            </w:r>
          </w:p>
        </w:tc>
        <w:tc>
          <w:tcPr>
            <w:tcW w:w="1300" w:type="dxa"/>
          </w:tcPr>
          <w:p w14:paraId="53557ED9"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81.5</w:t>
            </w:r>
          </w:p>
        </w:tc>
        <w:tc>
          <w:tcPr>
            <w:tcW w:w="1650" w:type="dxa"/>
          </w:tcPr>
          <w:p w14:paraId="11F033A9"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92.4</w:t>
            </w:r>
          </w:p>
        </w:tc>
      </w:tr>
    </w:tbl>
    <w:p w14:paraId="15CB0E0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0620404" wp14:editId="3B40E7D1">
            <wp:extent cx="4776501" cy="2788384"/>
            <wp:effectExtent l="0" t="0" r="5080" b="0"/>
            <wp:docPr id="7" name="Picture 7" descr="Residual compressive strength after durability exp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80901" cy="2467423"/>
                    </a:xfrm>
                    <a:prstGeom prst="rect">
                      <a:avLst/>
                    </a:prstGeom>
                  </pic:spPr>
                </pic:pic>
              </a:graphicData>
            </a:graphic>
          </wp:inline>
        </w:drawing>
      </w:r>
    </w:p>
    <w:p w14:paraId="1D4BB4EC" w14:textId="7B362839" w:rsidR="00AE63E2" w:rsidRDefault="00E71383" w:rsidP="00F9519E">
      <w:pPr>
        <w:jc w:val="both"/>
        <w:rPr>
          <w:rFonts w:ascii="Times New Roman" w:hAnsi="Times New Roman" w:cs="Times New Roman"/>
          <w:sz w:val="24"/>
          <w:szCs w:val="24"/>
        </w:rPr>
      </w:pPr>
      <w:r>
        <w:rPr>
          <w:rFonts w:ascii="Times New Roman" w:hAnsi="Times New Roman" w:cs="Times New Roman"/>
          <w:sz w:val="24"/>
          <w:szCs w:val="24"/>
        </w:rPr>
        <w:t>Figure 10. Residual compressive strength after durability exposure.</w:t>
      </w:r>
    </w:p>
    <w:p w14:paraId="331F6254" w14:textId="77777777" w:rsidR="00E402F6" w:rsidRPr="003E0CF1" w:rsidRDefault="00E402F6" w:rsidP="00F9519E">
      <w:pPr>
        <w:jc w:val="both"/>
        <w:rPr>
          <w:rFonts w:ascii="Times New Roman" w:hAnsi="Times New Roman" w:cs="Times New Roman"/>
          <w:sz w:val="24"/>
          <w:szCs w:val="24"/>
        </w:rPr>
      </w:pPr>
    </w:p>
    <w:p w14:paraId="7C687D86" w14:textId="77777777" w:rsidR="00A16F45" w:rsidRPr="003E0CF1" w:rsidRDefault="00A16F45" w:rsidP="00F9519E">
      <w:pPr>
        <w:jc w:val="both"/>
        <w:rPr>
          <w:rFonts w:ascii="Times New Roman" w:hAnsi="Times New Roman" w:cs="Times New Roman"/>
          <w:sz w:val="24"/>
          <w:szCs w:val="24"/>
        </w:rPr>
      </w:pPr>
      <w:r>
        <w:rPr>
          <w:rFonts w:ascii="Times New Roman" w:hAnsi="Times New Roman" w:cs="Times New Roman"/>
          <w:sz w:val="24"/>
          <w:szCs w:val="24"/>
        </w:rPr>
        <w:t>The reported mass-variation trend (Figure 11) indicates comparatively low variation for AT6 during wet–dry cycling. Publishing the cycle-by-cycle mass measurements and replicate variability in a supplementary dataset will make this trend easier to assess and compare.</w:t>
      </w:r>
    </w:p>
    <w:p w14:paraId="4FA47BEF" w14:textId="77777777" w:rsidR="00F741DE" w:rsidRPr="003E0CF1" w:rsidRDefault="00241F5A" w:rsidP="00F9519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9E3F23C" wp14:editId="48D0B858">
            <wp:extent cx="4422289" cy="2761568"/>
            <wp:effectExtent l="0" t="0" r="0" b="1270"/>
            <wp:docPr id="21" name="Picture 21" descr="Mass change of AT-MMC specimens during wet-dry cyc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422289" cy="2761568"/>
                    </a:xfrm>
                    <a:prstGeom prst="rect">
                      <a:avLst/>
                    </a:prstGeom>
                  </pic:spPr>
                </pic:pic>
              </a:graphicData>
            </a:graphic>
          </wp:inline>
        </w:drawing>
      </w:r>
    </w:p>
    <w:p w14:paraId="74335C35"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Figure 11. Mass change of AT-MMC specimens during wet-dry cycling</w:t>
      </w:r>
    </w:p>
    <w:p w14:paraId="71655C08" w14:textId="77777777" w:rsidR="00F741DE" w:rsidRPr="003E0CF1" w:rsidRDefault="00E71383" w:rsidP="00F9519E">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4.7 Thermal performance</w:t>
      </w:r>
    </w:p>
    <w:p w14:paraId="588885A2" w14:textId="77777777" w:rsidR="00A16F45" w:rsidRPr="003E0CF1" w:rsidRDefault="00A16F45" w:rsidP="00F9519E">
      <w:pPr>
        <w:jc w:val="both"/>
        <w:rPr>
          <w:rFonts w:ascii="Times New Roman" w:hAnsi="Times New Roman" w:cs="Times New Roman"/>
          <w:sz w:val="24"/>
          <w:szCs w:val="24"/>
        </w:rPr>
      </w:pPr>
      <w:r>
        <w:rPr>
          <w:rFonts w:ascii="Times New Roman" w:hAnsi="Times New Roman" w:cs="Times New Roman"/>
          <w:sz w:val="24"/>
          <w:szCs w:val="24"/>
          <w:highlight w:val="yellow"/>
        </w:rPr>
        <w:t>The reported thermal-property table (Table 6, Figure 12) lists thermal conductivity of 0.93 W·m⁻¹·K⁻¹ and a thermal-expansion coefficient of 7.0 × 10⁻⁶ °C⁻¹ for AT6, compared with 1.62 W·m⁻¹·K⁻¹ and 9.6 × 10⁻⁶ °C⁻¹ for C0. These are descriptive reported values. Since the derived diffusivity does not fully reconcile with the listed conductivity, density and specific heat, comparison with the original instrument outputs and calculation units is recommended before drawing mechanistic or application-level conclusions.</w:t>
      </w:r>
    </w:p>
    <w:p w14:paraId="087B72E5" w14:textId="77777777" w:rsidR="00FC26F6"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The reported conductivity decreases from C0 to AT6, while specific heat increases from 920 to 1,038 J·kg⁻¹·K⁻¹ and the listed thermal-expansion coefficient decreases. Applying α = k/(</w:t>
      </w:r>
      <w:proofErr w:type="spellStart"/>
      <w:r>
        <w:rPr>
          <w:rFonts w:ascii="Times New Roman" w:hAnsi="Times New Roman" w:cs="Times New Roman"/>
          <w:sz w:val="24"/>
          <w:szCs w:val="24"/>
          <w:highlight w:val="yellow"/>
        </w:rPr>
        <w:t>ρc</w:t>
      </w:r>
      <w:proofErr w:type="spellEnd"/>
      <w:r>
        <w:rPr>
          <w:rFonts w:ascii="Times New Roman" w:hAnsi="Times New Roman" w:cs="Times New Roman"/>
          <w:sz w:val="24"/>
          <w:szCs w:val="24"/>
          <w:highlight w:val="yellow"/>
        </w:rPr>
        <w:t xml:space="preserve">ₚ) to the reported density gives calculated diffusivities of approximately 0.753 mm²/s for C0 and </w:t>
      </w:r>
      <w:r>
        <w:rPr>
          <w:rFonts w:ascii="Times New Roman" w:hAnsi="Times New Roman" w:cs="Times New Roman"/>
          <w:sz w:val="24"/>
          <w:szCs w:val="24"/>
          <w:highlight w:val="yellow"/>
        </w:rPr>
        <w:lastRenderedPageBreak/>
        <w:t>0.394 mm²/s for AT6, compared with reported values of 0.78 and 0.43 mm²/s, respectively. This comparison identifies a difference for reconciliation; the original records should be checked to confirm density condition, units and calculations before either set of values is selected for interpretation.</w:t>
      </w:r>
    </w:p>
    <w:p w14:paraId="02F362E8"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 xml:space="preserve">Table 6. </w:t>
      </w:r>
      <w:r>
        <w:rPr>
          <w:rFonts w:ascii="Times New Roman" w:hAnsi="Times New Roman" w:cs="Times New Roman"/>
          <w:i/>
          <w:iCs/>
          <w:sz w:val="24"/>
          <w:szCs w:val="24"/>
        </w:rPr>
        <w:t>Thermal properties of AT-MMC at 28 days.</w:t>
      </w:r>
    </w:p>
    <w:tbl>
      <w:tblPr>
        <w:tblStyle w:val="TableGrid"/>
        <w:tblW w:w="8800" w:type="dxa"/>
        <w:tblLook w:val="04A0" w:firstRow="1" w:lastRow="0" w:firstColumn="1" w:lastColumn="0" w:noHBand="0" w:noVBand="1"/>
      </w:tblPr>
      <w:tblGrid>
        <w:gridCol w:w="1270"/>
        <w:gridCol w:w="2050"/>
        <w:gridCol w:w="1860"/>
        <w:gridCol w:w="1860"/>
        <w:gridCol w:w="1760"/>
      </w:tblGrid>
      <w:tr w:rsidR="008A62E8" w:rsidRPr="003E0CF1" w14:paraId="7B251CF1" w14:textId="77777777" w:rsidTr="00A16F45">
        <w:tc>
          <w:tcPr>
            <w:tcW w:w="1270" w:type="dxa"/>
          </w:tcPr>
          <w:p w14:paraId="4E261C19"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Mix ID</w:t>
            </w:r>
          </w:p>
        </w:tc>
        <w:tc>
          <w:tcPr>
            <w:tcW w:w="2050" w:type="dxa"/>
          </w:tcPr>
          <w:p w14:paraId="2710BF4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Thermal conductivity (W/</w:t>
            </w:r>
            <w:proofErr w:type="spellStart"/>
            <w:r>
              <w:rPr>
                <w:rFonts w:ascii="Times New Roman" w:hAnsi="Times New Roman" w:cs="Times New Roman"/>
                <w:b/>
                <w:bCs/>
                <w:sz w:val="24"/>
                <w:szCs w:val="24"/>
              </w:rPr>
              <w:t>m·K</w:t>
            </w:r>
            <w:proofErr w:type="spellEnd"/>
            <w:r>
              <w:rPr>
                <w:rFonts w:ascii="Times New Roman" w:hAnsi="Times New Roman" w:cs="Times New Roman"/>
                <w:b/>
                <w:bCs/>
                <w:sz w:val="24"/>
                <w:szCs w:val="24"/>
              </w:rPr>
              <w:t>)</w:t>
            </w:r>
          </w:p>
        </w:tc>
        <w:tc>
          <w:tcPr>
            <w:tcW w:w="1860" w:type="dxa"/>
          </w:tcPr>
          <w:p w14:paraId="4887E41C"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Thermal diffusivity (mm</w:t>
            </w:r>
            <w:r>
              <w:rPr>
                <w:rFonts w:ascii="Times New Roman" w:hAnsi="Times New Roman" w:cs="Times New Roman"/>
                <w:b/>
                <w:bCs/>
                <w:sz w:val="24"/>
                <w:szCs w:val="24"/>
                <w:vertAlign w:val="superscript"/>
              </w:rPr>
              <w:t>2</w:t>
            </w:r>
            <w:r>
              <w:rPr>
                <w:rFonts w:ascii="Times New Roman" w:hAnsi="Times New Roman" w:cs="Times New Roman"/>
                <w:b/>
                <w:bCs/>
                <w:sz w:val="24"/>
                <w:szCs w:val="24"/>
              </w:rPr>
              <w:t>/s)</w:t>
            </w:r>
          </w:p>
        </w:tc>
        <w:tc>
          <w:tcPr>
            <w:tcW w:w="1860" w:type="dxa"/>
          </w:tcPr>
          <w:p w14:paraId="2046D8AC"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Specific heat (J/</w:t>
            </w:r>
            <w:proofErr w:type="spellStart"/>
            <w:r>
              <w:rPr>
                <w:rFonts w:ascii="Times New Roman" w:hAnsi="Times New Roman" w:cs="Times New Roman"/>
                <w:b/>
                <w:bCs/>
                <w:sz w:val="24"/>
                <w:szCs w:val="24"/>
              </w:rPr>
              <w:t>kg·K</w:t>
            </w:r>
            <w:proofErr w:type="spellEnd"/>
            <w:r>
              <w:rPr>
                <w:rFonts w:ascii="Times New Roman" w:hAnsi="Times New Roman" w:cs="Times New Roman"/>
                <w:b/>
                <w:bCs/>
                <w:sz w:val="24"/>
                <w:szCs w:val="24"/>
              </w:rPr>
              <w:t>)</w:t>
            </w:r>
          </w:p>
        </w:tc>
        <w:tc>
          <w:tcPr>
            <w:tcW w:w="1760" w:type="dxa"/>
          </w:tcPr>
          <w:p w14:paraId="58F2F16F"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Coefficient of thermal expansion (×10</w:t>
            </w:r>
            <w:r>
              <w:rPr>
                <w:rFonts w:ascii="Times New Roman" w:hAnsi="Times New Roman" w:cs="Times New Roman"/>
                <w:b/>
                <w:bCs/>
                <w:sz w:val="24"/>
                <w:szCs w:val="24"/>
                <w:vertAlign w:val="superscript"/>
              </w:rPr>
              <w:t>−6</w:t>
            </w:r>
            <w:r>
              <w:rPr>
                <w:rFonts w:ascii="Times New Roman" w:hAnsi="Times New Roman" w:cs="Times New Roman"/>
                <w:b/>
                <w:bCs/>
                <w:sz w:val="24"/>
                <w:szCs w:val="24"/>
              </w:rPr>
              <w:t>/°C)</w:t>
            </w:r>
          </w:p>
        </w:tc>
      </w:tr>
      <w:tr w:rsidR="008A62E8" w:rsidRPr="003E0CF1" w14:paraId="7F5CE4DC" w14:textId="77777777" w:rsidTr="00A16F45">
        <w:tc>
          <w:tcPr>
            <w:tcW w:w="1270" w:type="dxa"/>
          </w:tcPr>
          <w:p w14:paraId="59D43FC9"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C0</w:t>
            </w:r>
          </w:p>
        </w:tc>
        <w:tc>
          <w:tcPr>
            <w:tcW w:w="2050" w:type="dxa"/>
          </w:tcPr>
          <w:p w14:paraId="3E9FF423"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1.62</w:t>
            </w:r>
          </w:p>
        </w:tc>
        <w:tc>
          <w:tcPr>
            <w:tcW w:w="1860" w:type="dxa"/>
          </w:tcPr>
          <w:p w14:paraId="1965AEB2"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0.78</w:t>
            </w:r>
          </w:p>
        </w:tc>
        <w:tc>
          <w:tcPr>
            <w:tcW w:w="1860" w:type="dxa"/>
          </w:tcPr>
          <w:p w14:paraId="6CEB9D2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920</w:t>
            </w:r>
          </w:p>
        </w:tc>
        <w:tc>
          <w:tcPr>
            <w:tcW w:w="1760" w:type="dxa"/>
          </w:tcPr>
          <w:p w14:paraId="25F9E898"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9.6</w:t>
            </w:r>
          </w:p>
        </w:tc>
      </w:tr>
      <w:tr w:rsidR="008A62E8" w:rsidRPr="003E0CF1" w14:paraId="1F545487" w14:textId="77777777" w:rsidTr="00A16F45">
        <w:tc>
          <w:tcPr>
            <w:tcW w:w="1270" w:type="dxa"/>
          </w:tcPr>
          <w:p w14:paraId="29C4BD5D"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AT1</w:t>
            </w:r>
          </w:p>
        </w:tc>
        <w:tc>
          <w:tcPr>
            <w:tcW w:w="2050" w:type="dxa"/>
          </w:tcPr>
          <w:p w14:paraId="7BA172EC"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1.32</w:t>
            </w:r>
          </w:p>
        </w:tc>
        <w:tc>
          <w:tcPr>
            <w:tcW w:w="1860" w:type="dxa"/>
          </w:tcPr>
          <w:p w14:paraId="7BC2B547"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0.64</w:t>
            </w:r>
          </w:p>
        </w:tc>
        <w:tc>
          <w:tcPr>
            <w:tcW w:w="1860" w:type="dxa"/>
          </w:tcPr>
          <w:p w14:paraId="77B15435"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980</w:t>
            </w:r>
          </w:p>
        </w:tc>
        <w:tc>
          <w:tcPr>
            <w:tcW w:w="1760" w:type="dxa"/>
          </w:tcPr>
          <w:p w14:paraId="68F8795A"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8.8</w:t>
            </w:r>
          </w:p>
        </w:tc>
      </w:tr>
      <w:tr w:rsidR="008A62E8" w:rsidRPr="003E0CF1" w14:paraId="3C6A146E" w14:textId="77777777" w:rsidTr="00A16F45">
        <w:tc>
          <w:tcPr>
            <w:tcW w:w="1270" w:type="dxa"/>
          </w:tcPr>
          <w:p w14:paraId="013B88ED"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AT2</w:t>
            </w:r>
          </w:p>
        </w:tc>
        <w:tc>
          <w:tcPr>
            <w:tcW w:w="2050" w:type="dxa"/>
          </w:tcPr>
          <w:p w14:paraId="6400A351"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1.18</w:t>
            </w:r>
          </w:p>
        </w:tc>
        <w:tc>
          <w:tcPr>
            <w:tcW w:w="1860" w:type="dxa"/>
          </w:tcPr>
          <w:p w14:paraId="0786559D"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0.56</w:t>
            </w:r>
          </w:p>
        </w:tc>
        <w:tc>
          <w:tcPr>
            <w:tcW w:w="1860" w:type="dxa"/>
          </w:tcPr>
          <w:p w14:paraId="478F184A"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1005</w:t>
            </w:r>
          </w:p>
        </w:tc>
        <w:tc>
          <w:tcPr>
            <w:tcW w:w="1760" w:type="dxa"/>
          </w:tcPr>
          <w:p w14:paraId="57A3A7D2"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8.1</w:t>
            </w:r>
          </w:p>
        </w:tc>
      </w:tr>
      <w:tr w:rsidR="008A62E8" w:rsidRPr="003E0CF1" w14:paraId="72788178" w14:textId="77777777" w:rsidTr="00A16F45">
        <w:tc>
          <w:tcPr>
            <w:tcW w:w="1270" w:type="dxa"/>
          </w:tcPr>
          <w:p w14:paraId="4C9EA470"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AT3</w:t>
            </w:r>
          </w:p>
        </w:tc>
        <w:tc>
          <w:tcPr>
            <w:tcW w:w="2050" w:type="dxa"/>
          </w:tcPr>
          <w:p w14:paraId="7D174CC7"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1.09</w:t>
            </w:r>
          </w:p>
        </w:tc>
        <w:tc>
          <w:tcPr>
            <w:tcW w:w="1860" w:type="dxa"/>
          </w:tcPr>
          <w:p w14:paraId="01E9644F"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0.52</w:t>
            </w:r>
          </w:p>
        </w:tc>
        <w:tc>
          <w:tcPr>
            <w:tcW w:w="1860" w:type="dxa"/>
          </w:tcPr>
          <w:p w14:paraId="71B9E178"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1018</w:t>
            </w:r>
          </w:p>
        </w:tc>
        <w:tc>
          <w:tcPr>
            <w:tcW w:w="1760" w:type="dxa"/>
          </w:tcPr>
          <w:p w14:paraId="030BB056"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7.6</w:t>
            </w:r>
          </w:p>
        </w:tc>
      </w:tr>
      <w:tr w:rsidR="008A62E8" w:rsidRPr="003E0CF1" w14:paraId="367C5A0F" w14:textId="77777777" w:rsidTr="00A16F45">
        <w:tc>
          <w:tcPr>
            <w:tcW w:w="1270" w:type="dxa"/>
          </w:tcPr>
          <w:p w14:paraId="140BDB93"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AT4</w:t>
            </w:r>
          </w:p>
        </w:tc>
        <w:tc>
          <w:tcPr>
            <w:tcW w:w="2050" w:type="dxa"/>
          </w:tcPr>
          <w:p w14:paraId="25F34E13"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1.05</w:t>
            </w:r>
          </w:p>
        </w:tc>
        <w:tc>
          <w:tcPr>
            <w:tcW w:w="1860" w:type="dxa"/>
          </w:tcPr>
          <w:p w14:paraId="0207072C"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0.49</w:t>
            </w:r>
          </w:p>
        </w:tc>
        <w:tc>
          <w:tcPr>
            <w:tcW w:w="1860" w:type="dxa"/>
          </w:tcPr>
          <w:p w14:paraId="62AAD569"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1025</w:t>
            </w:r>
          </w:p>
        </w:tc>
        <w:tc>
          <w:tcPr>
            <w:tcW w:w="1760" w:type="dxa"/>
          </w:tcPr>
          <w:p w14:paraId="4ECA005A"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7.4</w:t>
            </w:r>
          </w:p>
        </w:tc>
      </w:tr>
      <w:tr w:rsidR="008A62E8" w:rsidRPr="003E0CF1" w14:paraId="3E4312E2" w14:textId="77777777" w:rsidTr="00A16F45">
        <w:tc>
          <w:tcPr>
            <w:tcW w:w="1270" w:type="dxa"/>
          </w:tcPr>
          <w:p w14:paraId="5B97B15D"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AT5</w:t>
            </w:r>
          </w:p>
        </w:tc>
        <w:tc>
          <w:tcPr>
            <w:tcW w:w="2050" w:type="dxa"/>
          </w:tcPr>
          <w:p w14:paraId="657C144D"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0.98</w:t>
            </w:r>
          </w:p>
        </w:tc>
        <w:tc>
          <w:tcPr>
            <w:tcW w:w="1860" w:type="dxa"/>
          </w:tcPr>
          <w:p w14:paraId="6423ADC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0.46</w:t>
            </w:r>
          </w:p>
        </w:tc>
        <w:tc>
          <w:tcPr>
            <w:tcW w:w="1860" w:type="dxa"/>
          </w:tcPr>
          <w:p w14:paraId="47CF9DE3"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1032</w:t>
            </w:r>
          </w:p>
        </w:tc>
        <w:tc>
          <w:tcPr>
            <w:tcW w:w="1760" w:type="dxa"/>
          </w:tcPr>
          <w:p w14:paraId="02E8F672"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7.2</w:t>
            </w:r>
          </w:p>
        </w:tc>
      </w:tr>
      <w:tr w:rsidR="008A62E8" w:rsidRPr="003E0CF1" w14:paraId="48ACF1B4" w14:textId="77777777" w:rsidTr="00A16F45">
        <w:tc>
          <w:tcPr>
            <w:tcW w:w="1270" w:type="dxa"/>
          </w:tcPr>
          <w:p w14:paraId="2E384D09"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AT6</w:t>
            </w:r>
          </w:p>
        </w:tc>
        <w:tc>
          <w:tcPr>
            <w:tcW w:w="2050" w:type="dxa"/>
          </w:tcPr>
          <w:p w14:paraId="40F01016"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0.93</w:t>
            </w:r>
          </w:p>
        </w:tc>
        <w:tc>
          <w:tcPr>
            <w:tcW w:w="1860" w:type="dxa"/>
          </w:tcPr>
          <w:p w14:paraId="54A5F036"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0.43</w:t>
            </w:r>
          </w:p>
        </w:tc>
        <w:tc>
          <w:tcPr>
            <w:tcW w:w="1860" w:type="dxa"/>
          </w:tcPr>
          <w:p w14:paraId="7CFD27BF"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1038</w:t>
            </w:r>
          </w:p>
        </w:tc>
        <w:tc>
          <w:tcPr>
            <w:tcW w:w="1760" w:type="dxa"/>
          </w:tcPr>
          <w:p w14:paraId="16EACC51"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7.0</w:t>
            </w:r>
          </w:p>
        </w:tc>
      </w:tr>
    </w:tbl>
    <w:p w14:paraId="2DC15BA9"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B23D7F5" wp14:editId="4920A15A">
            <wp:extent cx="5305425" cy="4295891"/>
            <wp:effectExtent l="0" t="0" r="0" b="0"/>
            <wp:docPr id="9" name="Picture 9" descr="Thermal properties of AT-MMC at 28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05425" cy="4295891"/>
                    </a:xfrm>
                    <a:prstGeom prst="rect">
                      <a:avLst/>
                    </a:prstGeom>
                  </pic:spPr>
                </pic:pic>
              </a:graphicData>
            </a:graphic>
          </wp:inline>
        </w:drawing>
      </w:r>
    </w:p>
    <w:p w14:paraId="6DE630F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Figure 12. Thermal properties of AT-MMC at 28 days.</w:t>
      </w:r>
    </w:p>
    <w:p w14:paraId="32F26EDE" w14:textId="77777777" w:rsidR="00316B14" w:rsidRPr="003E0CF1" w:rsidRDefault="00316B14" w:rsidP="00F9519E">
      <w:pPr>
        <w:jc w:val="both"/>
        <w:rPr>
          <w:rFonts w:ascii="Times New Roman" w:hAnsi="Times New Roman" w:cs="Times New Roman"/>
          <w:sz w:val="24"/>
          <w:szCs w:val="24"/>
        </w:rPr>
      </w:pPr>
      <w:r>
        <w:rPr>
          <w:rFonts w:ascii="Times New Roman" w:hAnsi="Times New Roman" w:cs="Times New Roman"/>
          <w:sz w:val="24"/>
          <w:szCs w:val="24"/>
        </w:rPr>
        <w:t>The manuscript reports residual compressive-strength measurements for all mixtures after exposure to 200, 400, 600 and 800 °C (Figure 13). Adding temperature-specific numerical values and the full heating protocol—including heating rate, dwell time, cooling procedure, specimen condition and replicate count—will enable a complete comparison. Future post-heating TGA/DTG, XRD or SEM analysis can test hypotheses involving mineral transformations and basalt-</w:t>
      </w:r>
      <w:proofErr w:type="spellStart"/>
      <w:r>
        <w:rPr>
          <w:rFonts w:ascii="Times New Roman" w:hAnsi="Times New Roman" w:cs="Times New Roman"/>
          <w:sz w:val="24"/>
          <w:szCs w:val="24"/>
        </w:rPr>
        <w:t>fibre</w:t>
      </w:r>
      <w:proofErr w:type="spellEnd"/>
      <w:r>
        <w:rPr>
          <w:rFonts w:ascii="Times New Roman" w:hAnsi="Times New Roman" w:cs="Times New Roman"/>
          <w:sz w:val="24"/>
          <w:szCs w:val="24"/>
        </w:rPr>
        <w:t xml:space="preserve"> crack bridging.</w:t>
      </w:r>
    </w:p>
    <w:p w14:paraId="19941863" w14:textId="77777777" w:rsidR="00F741DE" w:rsidRPr="003E0CF1" w:rsidRDefault="009575AA" w:rsidP="00F9519E">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EDD4000" wp14:editId="78ED103F">
            <wp:extent cx="5732780" cy="3261437"/>
            <wp:effectExtent l="0" t="0" r="1270" b="0"/>
            <wp:docPr id="23" name="Picture 23" descr="Residual compressive strength after exposure to 200-800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32780" cy="3261437"/>
                    </a:xfrm>
                    <a:prstGeom prst="rect">
                      <a:avLst/>
                    </a:prstGeom>
                  </pic:spPr>
                </pic:pic>
              </a:graphicData>
            </a:graphic>
          </wp:inline>
        </w:drawing>
      </w:r>
    </w:p>
    <w:p w14:paraId="61784A5B"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Figure 13. Residual compressive strength after exposure to 200–800 °C.</w:t>
      </w:r>
    </w:p>
    <w:p w14:paraId="5EC96E55" w14:textId="77777777" w:rsidR="00F741DE" w:rsidRPr="003E0CF1" w:rsidRDefault="00E71383" w:rsidP="00F9519E">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4.8 Statistical analysis</w:t>
      </w:r>
    </w:p>
    <w:p w14:paraId="709A9495"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Legacy ANOVA summary. The ANOVA table previously available for this study could not be reproduced: its four source-term sums of squares total 698.94 against a reported model total of 756.32 (a difference of 57.38), the source-term degrees of freedom do not reconcile with the model degrees of freedom, and no column of the reported summaries (Tables 3–6) has a total sum of squares equal to either figure (for example 212.0 for compressive strength and 261.7 for acid residual strength across the seven mixtures). The legacy table has therefore been withdrawn and is superseded by the analyses below, which are recomputed from the reported values.</w:t>
      </w:r>
    </w:p>
    <w:p w14:paraId="754312EF"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Because no specimen-level observations exist, the only legitimate ANOVA designs are those whose error term can be formed from the means themselves. Table 7 lists the analyses implemented, the error term of each and its inferential status; the full results are given in Section 4.14 (Tables 18–23). In brief, the four AT1–AT4 means are almost collinear with basalt-</w:t>
      </w:r>
      <w:proofErr w:type="spellStart"/>
      <w:r>
        <w:rPr>
          <w:rFonts w:ascii="Times New Roman" w:hAnsi="Times New Roman" w:cs="Times New Roman"/>
          <w:sz w:val="24"/>
          <w:szCs w:val="24"/>
        </w:rPr>
        <w:t>fibre</w:t>
      </w:r>
      <w:proofErr w:type="spellEnd"/>
      <w:r>
        <w:rPr>
          <w:rFonts w:ascii="Times New Roman" w:hAnsi="Times New Roman" w:cs="Times New Roman"/>
          <w:sz w:val="24"/>
          <w:szCs w:val="24"/>
        </w:rPr>
        <w:t xml:space="preserve"> dosage for all nine properties (R² = 0.934–0.999; F(1,2) = 28.4–1610; nominal p = 0.0006–0.033), the mixtures differ consistently across the five durability exposures (mixture effect F(6,24) = 30.7, p &lt; 0.001, η² = 0.318; Kendall’s W = 0.989 [27]), and the exposure effect (η² = 0.640) dominates the total variation.</w:t>
      </w:r>
    </w:p>
    <w:p w14:paraId="293A4FF0" w14:textId="77777777" w:rsidR="003A137B" w:rsidRPr="003E0CF1" w:rsidRDefault="00000000" w:rsidP="00F9519E">
      <w:pPr>
        <w:keepNext/>
        <w:jc w:val="both"/>
        <w:rPr>
          <w:rFonts w:ascii="Times New Roman" w:hAnsi="Times New Roman" w:cs="Times New Roman"/>
          <w:sz w:val="24"/>
          <w:szCs w:val="24"/>
        </w:rPr>
      </w:pPr>
      <w:r>
        <w:rPr>
          <w:rFonts w:ascii="Times New Roman" w:hAnsi="Times New Roman" w:cs="Times New Roman"/>
          <w:b/>
          <w:bCs/>
          <w:sz w:val="24"/>
          <w:szCs w:val="24"/>
        </w:rPr>
        <w:t xml:space="preserve">Table 7. </w:t>
      </w:r>
      <w:r>
        <w:rPr>
          <w:rFonts w:ascii="Times New Roman" w:hAnsi="Times New Roman" w:cs="Times New Roman"/>
          <w:i/>
          <w:iCs/>
          <w:sz w:val="24"/>
          <w:szCs w:val="24"/>
        </w:rPr>
        <w:t>ANOVA analyses implemented on the reported data and their inferential status.</w:t>
      </w:r>
    </w:p>
    <w:tbl>
      <w:tblPr>
        <w:tblStyle w:val="TableGrid"/>
        <w:tblW w:w="9026" w:type="dxa"/>
        <w:tblLayout w:type="fixed"/>
        <w:tblLook w:val="04A0" w:firstRow="1" w:lastRow="0" w:firstColumn="1" w:lastColumn="0" w:noHBand="0" w:noVBand="1"/>
      </w:tblPr>
      <w:tblGrid>
        <w:gridCol w:w="2000"/>
        <w:gridCol w:w="1900"/>
        <w:gridCol w:w="3226"/>
        <w:gridCol w:w="1900"/>
      </w:tblGrid>
      <w:tr w:rsidR="003A137B" w:rsidRPr="003E0CF1" w14:paraId="347F87B4" w14:textId="77777777">
        <w:trPr>
          <w:cantSplit/>
          <w:tblHeader/>
        </w:trPr>
        <w:tc>
          <w:tcPr>
            <w:tcW w:w="2000" w:type="dxa"/>
            <w:vAlign w:val="center"/>
          </w:tcPr>
          <w:p w14:paraId="3D19806E"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Analysis</w:t>
            </w:r>
          </w:p>
        </w:tc>
        <w:tc>
          <w:tcPr>
            <w:tcW w:w="1900" w:type="dxa"/>
            <w:vAlign w:val="center"/>
          </w:tcPr>
          <w:p w14:paraId="1660D86D"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Available data</w:t>
            </w:r>
          </w:p>
        </w:tc>
        <w:tc>
          <w:tcPr>
            <w:tcW w:w="3226" w:type="dxa"/>
            <w:vAlign w:val="center"/>
          </w:tcPr>
          <w:p w14:paraId="1C5B869F"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Revised interpretation</w:t>
            </w:r>
          </w:p>
        </w:tc>
        <w:tc>
          <w:tcPr>
            <w:tcW w:w="1900" w:type="dxa"/>
            <w:vAlign w:val="center"/>
          </w:tcPr>
          <w:p w14:paraId="7E483E00"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Status</w:t>
            </w:r>
          </w:p>
        </w:tc>
      </w:tr>
      <w:tr w:rsidR="003A137B" w:rsidRPr="003E0CF1" w14:paraId="37F25484" w14:textId="77777777">
        <w:trPr>
          <w:cantSplit/>
        </w:trPr>
        <w:tc>
          <w:tcPr>
            <w:tcW w:w="2000" w:type="dxa"/>
            <w:vAlign w:val="center"/>
          </w:tcPr>
          <w:p w14:paraId="1B85C80E"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 xml:space="preserve">A. </w:t>
            </w:r>
            <w:proofErr w:type="spellStart"/>
            <w:r>
              <w:rPr>
                <w:rFonts w:ascii="Times New Roman" w:hAnsi="Times New Roman" w:cs="Times New Roman"/>
                <w:sz w:val="24"/>
                <w:szCs w:val="24"/>
                <w:highlight w:val="yellow"/>
              </w:rPr>
              <w:t>Fibre</w:t>
            </w:r>
            <w:proofErr w:type="spellEnd"/>
            <w:r>
              <w:rPr>
                <w:rFonts w:ascii="Times New Roman" w:hAnsi="Times New Roman" w:cs="Times New Roman"/>
                <w:sz w:val="24"/>
                <w:szCs w:val="24"/>
                <w:highlight w:val="yellow"/>
              </w:rPr>
              <w:t>-dose trend (AT1–AT4)</w:t>
            </w:r>
          </w:p>
        </w:tc>
        <w:tc>
          <w:tcPr>
            <w:tcW w:w="1900" w:type="dxa"/>
            <w:vAlign w:val="center"/>
          </w:tcPr>
          <w:p w14:paraId="76587562"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 xml:space="preserve">Four mixture-level summaries; sand changes with </w:t>
            </w:r>
            <w:proofErr w:type="spellStart"/>
            <w:r>
              <w:rPr>
                <w:rFonts w:ascii="Times New Roman" w:hAnsi="Times New Roman" w:cs="Times New Roman"/>
                <w:sz w:val="24"/>
                <w:szCs w:val="24"/>
                <w:highlight w:val="yellow"/>
              </w:rPr>
              <w:t>fibre</w:t>
            </w:r>
            <w:proofErr w:type="spellEnd"/>
            <w:r>
              <w:rPr>
                <w:rFonts w:ascii="Times New Roman" w:hAnsi="Times New Roman" w:cs="Times New Roman"/>
                <w:sz w:val="24"/>
                <w:szCs w:val="24"/>
                <w:highlight w:val="yellow"/>
              </w:rPr>
              <w:t xml:space="preserve"> dose</w:t>
            </w:r>
          </w:p>
        </w:tc>
        <w:tc>
          <w:tcPr>
            <w:tcW w:w="3226" w:type="dxa"/>
            <w:vAlign w:val="center"/>
          </w:tcPr>
          <w:p w14:paraId="3A9C2890"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Descriptive trend only; no specimen-level error estimate</w:t>
            </w:r>
          </w:p>
        </w:tc>
        <w:tc>
          <w:tcPr>
            <w:tcW w:w="1900" w:type="dxa"/>
            <w:vAlign w:val="center"/>
          </w:tcPr>
          <w:p w14:paraId="13CCEED0"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No inferential p-values</w:t>
            </w:r>
          </w:p>
        </w:tc>
      </w:tr>
      <w:tr w:rsidR="003A137B" w:rsidRPr="003E0CF1" w14:paraId="7B2832EA" w14:textId="77777777">
        <w:trPr>
          <w:cantSplit/>
        </w:trPr>
        <w:tc>
          <w:tcPr>
            <w:tcW w:w="2000" w:type="dxa"/>
            <w:vAlign w:val="center"/>
          </w:tcPr>
          <w:p w14:paraId="66A11335"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B. Mixture × exposure (Table 5)</w:t>
            </w:r>
          </w:p>
        </w:tc>
        <w:tc>
          <w:tcPr>
            <w:tcW w:w="1900" w:type="dxa"/>
            <w:vAlign w:val="center"/>
          </w:tcPr>
          <w:p w14:paraId="4C6ACE7E"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One value per mixture/exposure cell; 7 × 5</w:t>
            </w:r>
          </w:p>
        </w:tc>
        <w:tc>
          <w:tcPr>
            <w:tcW w:w="3226" w:type="dxa"/>
            <w:vAlign w:val="center"/>
          </w:tcPr>
          <w:p w14:paraId="38808360"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Reported rankings only; interaction is not independent replicate error</w:t>
            </w:r>
          </w:p>
        </w:tc>
        <w:tc>
          <w:tcPr>
            <w:tcW w:w="1900" w:type="dxa"/>
            <w:vAlign w:val="center"/>
          </w:tcPr>
          <w:p w14:paraId="353CDE48"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No inferential F-tests or post-hoc claims</w:t>
            </w:r>
          </w:p>
        </w:tc>
      </w:tr>
      <w:tr w:rsidR="003A137B" w:rsidRPr="003E0CF1" w14:paraId="6DE1DB4C" w14:textId="77777777">
        <w:trPr>
          <w:cantSplit/>
        </w:trPr>
        <w:tc>
          <w:tcPr>
            <w:tcW w:w="2000" w:type="dxa"/>
            <w:vAlign w:val="center"/>
          </w:tcPr>
          <w:p w14:paraId="50363524"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C. Porosity–property fits</w:t>
            </w:r>
          </w:p>
        </w:tc>
        <w:tc>
          <w:tcPr>
            <w:tcW w:w="1900" w:type="dxa"/>
            <w:vAlign w:val="center"/>
          </w:tcPr>
          <w:p w14:paraId="4AA182EA"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Six or seven mixture-level summaries</w:t>
            </w:r>
          </w:p>
        </w:tc>
        <w:tc>
          <w:tcPr>
            <w:tcW w:w="3226" w:type="dxa"/>
            <w:vAlign w:val="center"/>
          </w:tcPr>
          <w:p w14:paraId="312826DF"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R² describes fit to summaries, not external validation</w:t>
            </w:r>
          </w:p>
        </w:tc>
        <w:tc>
          <w:tcPr>
            <w:tcW w:w="1900" w:type="dxa"/>
            <w:vAlign w:val="center"/>
          </w:tcPr>
          <w:p w14:paraId="6C680702"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Descriptive association only</w:t>
            </w:r>
          </w:p>
        </w:tc>
      </w:tr>
      <w:tr w:rsidR="003A137B" w:rsidRPr="003E0CF1" w14:paraId="61137713" w14:textId="77777777">
        <w:trPr>
          <w:cantSplit/>
        </w:trPr>
        <w:tc>
          <w:tcPr>
            <w:tcW w:w="2000" w:type="dxa"/>
            <w:vAlign w:val="center"/>
          </w:tcPr>
          <w:p w14:paraId="0CA6F151"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lastRenderedPageBreak/>
              <w:t>D. AT3–AT6 contrasts</w:t>
            </w:r>
          </w:p>
        </w:tc>
        <w:tc>
          <w:tcPr>
            <w:tcW w:w="1900" w:type="dxa"/>
            <w:vAlign w:val="center"/>
          </w:tcPr>
          <w:p w14:paraId="7B8469E4"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One value per cell in an unreplicated 2 × 2 layout</w:t>
            </w:r>
          </w:p>
        </w:tc>
        <w:tc>
          <w:tcPr>
            <w:tcW w:w="3226" w:type="dxa"/>
            <w:vAlign w:val="center"/>
          </w:tcPr>
          <w:p w14:paraId="21DF5C3F"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Arithmetic contrasts only; factors are confounded</w:t>
            </w:r>
          </w:p>
        </w:tc>
        <w:tc>
          <w:tcPr>
            <w:tcW w:w="1900" w:type="dxa"/>
            <w:vAlign w:val="center"/>
          </w:tcPr>
          <w:p w14:paraId="10E29FA7"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 xml:space="preserve">No error </w:t>
            </w:r>
            <w:proofErr w:type="spellStart"/>
            <w:r>
              <w:rPr>
                <w:rFonts w:ascii="Times New Roman" w:hAnsi="Times New Roman" w:cs="Times New Roman"/>
                <w:sz w:val="24"/>
                <w:szCs w:val="24"/>
                <w:highlight w:val="yellow"/>
              </w:rPr>
              <w:t>df</w:t>
            </w:r>
            <w:proofErr w:type="spellEnd"/>
            <w:r>
              <w:rPr>
                <w:rFonts w:ascii="Times New Roman" w:hAnsi="Times New Roman" w:cs="Times New Roman"/>
                <w:sz w:val="24"/>
                <w:szCs w:val="24"/>
                <w:highlight w:val="yellow"/>
              </w:rPr>
              <w:t>; no significance tests</w:t>
            </w:r>
          </w:p>
        </w:tc>
      </w:tr>
      <w:tr w:rsidR="003A137B" w:rsidRPr="003E0CF1" w14:paraId="1818D0D7" w14:textId="77777777">
        <w:trPr>
          <w:cantSplit/>
        </w:trPr>
        <w:tc>
          <w:tcPr>
            <w:tcW w:w="2000" w:type="dxa"/>
            <w:vAlign w:val="center"/>
          </w:tcPr>
          <w:p w14:paraId="42CBF097"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E. Replicate-precision scenarios</w:t>
            </w:r>
          </w:p>
        </w:tc>
        <w:tc>
          <w:tcPr>
            <w:tcW w:w="1900" w:type="dxa"/>
            <w:vAlign w:val="center"/>
          </w:tcPr>
          <w:p w14:paraId="24D99EC8"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Assumed CV and specimen count</w:t>
            </w:r>
          </w:p>
        </w:tc>
        <w:tc>
          <w:tcPr>
            <w:tcW w:w="3226" w:type="dxa"/>
            <w:vAlign w:val="center"/>
          </w:tcPr>
          <w:p w14:paraId="4BAD34E6"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May inform future sample-size planning</w:t>
            </w:r>
          </w:p>
        </w:tc>
        <w:tc>
          <w:tcPr>
            <w:tcW w:w="1900" w:type="dxa"/>
            <w:vAlign w:val="center"/>
          </w:tcPr>
          <w:p w14:paraId="4ED33804"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Not evidence of current significance</w:t>
            </w:r>
          </w:p>
        </w:tc>
      </w:tr>
    </w:tbl>
    <w:p w14:paraId="0B10845A"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 xml:space="preserve"> </w:t>
      </w:r>
    </w:p>
    <w:p w14:paraId="13B225AC"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The correlations (Table 10) and fitted porosity relations (Table 15) are likewise based on seven mixture-level points rather than independent specimen replicates. They, and the ANOVA p-values reported here, therefore describe the supplied summaries and guide follow-up experiments; they are not evidence of specimen-level significance or validated prediction equations. Figure 14 plots the mixture-level summaries and the hypothetical replicate-precision scenarios; inferential annotations derived from the unreplicated calculations should not be interpreted as experimental significance.</w:t>
      </w:r>
    </w:p>
    <w:p w14:paraId="345BFB12"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0789B2" wp14:editId="143A53E6">
            <wp:extent cx="5669280" cy="4566285"/>
            <wp:effectExtent l="0" t="0" r="0" b="0"/>
            <wp:docPr id="11" name="Picture 11" descr="Descriptive plots of mixture-level summaries and replicate-precision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9280" cy="4566285"/>
                    </a:xfrm>
                    <a:prstGeom prst="rect">
                      <a:avLst/>
                    </a:prstGeom>
                  </pic:spPr>
                </pic:pic>
              </a:graphicData>
            </a:graphic>
          </wp:inline>
        </w:drawing>
      </w:r>
    </w:p>
    <w:p w14:paraId="47BBB53C"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Figure 14. Descriptive plots of mixture-level summaries and hypothetical replicate-precision scenarios.</w:t>
      </w:r>
    </w:p>
    <w:p w14:paraId="07249485" w14:textId="77777777" w:rsidR="00F741DE" w:rsidRPr="003E0CF1" w:rsidRDefault="00E71383" w:rsidP="00F9519E">
      <w:pPr>
        <w:pStyle w:val="Heading2"/>
        <w:jc w:val="both"/>
        <w:rPr>
          <w:rFonts w:ascii="Times New Roman" w:hAnsi="Times New Roman" w:cs="Times New Roman"/>
          <w:color w:val="auto"/>
          <w:sz w:val="24"/>
          <w:szCs w:val="24"/>
        </w:rPr>
      </w:pPr>
      <w:r>
        <w:rPr>
          <w:rFonts w:ascii="Times New Roman" w:hAnsi="Times New Roman" w:cs="Times New Roman"/>
          <w:sz w:val="24"/>
          <w:szCs w:val="24"/>
        </w:rPr>
        <w:t xml:space="preserve">4.9 Multi-objective </w:t>
      </w:r>
      <w:proofErr w:type="spellStart"/>
      <w:r>
        <w:rPr>
          <w:rFonts w:ascii="Times New Roman" w:hAnsi="Times New Roman" w:cs="Times New Roman"/>
          <w:sz w:val="24"/>
          <w:szCs w:val="24"/>
          <w:highlight w:val="yellow"/>
        </w:rPr>
        <w:t>optimisation</w:t>
      </w:r>
      <w:proofErr w:type="spellEnd"/>
    </w:p>
    <w:p w14:paraId="21625E00" w14:textId="77777777" w:rsidR="00A7324D" w:rsidRPr="003E0CF1" w:rsidRDefault="00A7324D" w:rsidP="00F9519E">
      <w:pPr>
        <w:jc w:val="both"/>
        <w:rPr>
          <w:rFonts w:ascii="Times New Roman" w:hAnsi="Times New Roman" w:cs="Times New Roman"/>
          <w:sz w:val="24"/>
          <w:szCs w:val="24"/>
        </w:rPr>
      </w:pPr>
      <w:r>
        <w:rPr>
          <w:rFonts w:ascii="Times New Roman" w:hAnsi="Times New Roman" w:cs="Times New Roman"/>
          <w:sz w:val="24"/>
          <w:szCs w:val="24"/>
          <w:highlight w:val="yellow"/>
        </w:rPr>
        <w:t xml:space="preserve">A desirability index of 0.86 was reported for AT6 using five criteria (Table 8): compressive strength, fracture toughness, water absorption, thermal conductivity and CO₂ emission. Independent reproduction of this value requires the desirability limits, targets, shape exponents, response equations and model output. Figure 15 therefore presents the reported strength values for comparison; </w:t>
      </w:r>
      <w:r>
        <w:rPr>
          <w:rFonts w:ascii="Times New Roman" w:hAnsi="Times New Roman" w:cs="Times New Roman"/>
          <w:sz w:val="24"/>
          <w:szCs w:val="24"/>
          <w:highlight w:val="cyan"/>
        </w:rPr>
        <w:t xml:space="preserve">it is not a response surface or </w:t>
      </w:r>
      <w:proofErr w:type="spellStart"/>
      <w:r>
        <w:rPr>
          <w:rFonts w:ascii="Times New Roman" w:hAnsi="Times New Roman" w:cs="Times New Roman"/>
          <w:sz w:val="24"/>
          <w:szCs w:val="24"/>
          <w:highlight w:val="cyan"/>
        </w:rPr>
        <w:t>optimisation</w:t>
      </w:r>
      <w:proofErr w:type="spellEnd"/>
      <w:r>
        <w:rPr>
          <w:rFonts w:ascii="Times New Roman" w:hAnsi="Times New Roman" w:cs="Times New Roman"/>
          <w:sz w:val="24"/>
          <w:szCs w:val="24"/>
          <w:highlight w:val="cyan"/>
        </w:rPr>
        <w:t xml:space="preserve"> model. Its points and labels </w:t>
      </w:r>
      <w:r>
        <w:rPr>
          <w:rFonts w:ascii="Times New Roman" w:hAnsi="Times New Roman" w:cs="Times New Roman"/>
          <w:sz w:val="24"/>
          <w:szCs w:val="24"/>
          <w:highlight w:val="cyan"/>
        </w:rPr>
        <w:lastRenderedPageBreak/>
        <w:t>reproduce the summary values in Table 4, and the connecting line is a visual guide only, not a fitted model.</w:t>
      </w:r>
      <w:r>
        <w:rPr>
          <w:rFonts w:ascii="Times New Roman" w:hAnsi="Times New Roman" w:cs="Times New Roman"/>
          <w:sz w:val="24"/>
          <w:szCs w:val="24"/>
          <w:highlight w:val="yellow"/>
        </w:rPr>
        <w:t xml:space="preserve"> Within the reported summary measures, AT6 ranks highest for several properties.</w:t>
      </w:r>
    </w:p>
    <w:p w14:paraId="55BCFBDE" w14:textId="77777777" w:rsidR="00FC26F6"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The reported desirability score of 0.86 is treated as an unverified, provisional value. The supplied manuscript does not provide a reproducible set of response equations, coefficients, response limits, fitted model diagnostics and independent validation results. A model with many fitted parameters relative to seven mixture observations can overfit and cannot establish a global optimum. AT6 is therefore described only as the best-ranked mixture among the seven reported summaries for several selected responses. The desirability score should be removed from the final quantitative claims unless the original model and calculations can be independently reproduced.</w:t>
      </w:r>
    </w:p>
    <w:p w14:paraId="4E1753A2"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 xml:space="preserve">Table 8. Desirability </w:t>
      </w:r>
      <w:proofErr w:type="spellStart"/>
      <w:r>
        <w:rPr>
          <w:rFonts w:ascii="Times New Roman" w:hAnsi="Times New Roman" w:cs="Times New Roman"/>
          <w:sz w:val="24"/>
          <w:szCs w:val="24"/>
          <w:highlight w:val="yellow"/>
        </w:rPr>
        <w:t>optimisation</w:t>
      </w:r>
      <w:proofErr w:type="spellEnd"/>
      <w:r>
        <w:rPr>
          <w:rFonts w:ascii="Times New Roman" w:hAnsi="Times New Roman" w:cs="Times New Roman"/>
          <w:sz w:val="24"/>
          <w:szCs w:val="24"/>
        </w:rPr>
        <w:t xml:space="preserve"> criteria.</w:t>
      </w:r>
    </w:p>
    <w:tbl>
      <w:tblPr>
        <w:tblStyle w:val="TableGrid"/>
        <w:tblW w:w="8600" w:type="dxa"/>
        <w:tblLook w:val="04A0" w:firstRow="1" w:lastRow="0" w:firstColumn="1" w:lastColumn="0" w:noHBand="0" w:noVBand="1"/>
      </w:tblPr>
      <w:tblGrid>
        <w:gridCol w:w="2600"/>
        <w:gridCol w:w="2000"/>
        <w:gridCol w:w="1600"/>
        <w:gridCol w:w="2400"/>
      </w:tblGrid>
      <w:tr w:rsidR="008A62E8" w:rsidRPr="003E0CF1" w14:paraId="4CD735D1" w14:textId="77777777" w:rsidTr="00A7324D">
        <w:tc>
          <w:tcPr>
            <w:tcW w:w="2600" w:type="dxa"/>
          </w:tcPr>
          <w:p w14:paraId="6FF03B7A"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Criteria</w:t>
            </w:r>
          </w:p>
        </w:tc>
        <w:tc>
          <w:tcPr>
            <w:tcW w:w="2000" w:type="dxa"/>
          </w:tcPr>
          <w:p w14:paraId="6E26980D"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Goal</w:t>
            </w:r>
          </w:p>
        </w:tc>
        <w:tc>
          <w:tcPr>
            <w:tcW w:w="1600" w:type="dxa"/>
          </w:tcPr>
          <w:p w14:paraId="59A417B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Weight</w:t>
            </w:r>
          </w:p>
        </w:tc>
        <w:tc>
          <w:tcPr>
            <w:tcW w:w="2400" w:type="dxa"/>
          </w:tcPr>
          <w:p w14:paraId="072FB8F5"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Importance</w:t>
            </w:r>
          </w:p>
        </w:tc>
      </w:tr>
      <w:tr w:rsidR="008A62E8" w:rsidRPr="003E0CF1" w14:paraId="348EA9B0" w14:textId="77777777" w:rsidTr="00A7324D">
        <w:tc>
          <w:tcPr>
            <w:tcW w:w="2600" w:type="dxa"/>
          </w:tcPr>
          <w:p w14:paraId="77387035"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Compressive strength</w:t>
            </w:r>
          </w:p>
        </w:tc>
        <w:tc>
          <w:tcPr>
            <w:tcW w:w="2000" w:type="dxa"/>
          </w:tcPr>
          <w:p w14:paraId="4B35A6ED"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Maximize</w:t>
            </w:r>
          </w:p>
        </w:tc>
        <w:tc>
          <w:tcPr>
            <w:tcW w:w="1600" w:type="dxa"/>
          </w:tcPr>
          <w:p w14:paraId="6451ADBC"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5</w:t>
            </w:r>
          </w:p>
        </w:tc>
        <w:tc>
          <w:tcPr>
            <w:tcW w:w="2400" w:type="dxa"/>
          </w:tcPr>
          <w:p w14:paraId="2C82E4C2"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Very high</w:t>
            </w:r>
          </w:p>
        </w:tc>
      </w:tr>
      <w:tr w:rsidR="008A62E8" w:rsidRPr="003E0CF1" w14:paraId="3A304DFD" w14:textId="77777777" w:rsidTr="00A7324D">
        <w:tc>
          <w:tcPr>
            <w:tcW w:w="2600" w:type="dxa"/>
          </w:tcPr>
          <w:p w14:paraId="60109C27"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Fracture toughness</w:t>
            </w:r>
          </w:p>
        </w:tc>
        <w:tc>
          <w:tcPr>
            <w:tcW w:w="2000" w:type="dxa"/>
          </w:tcPr>
          <w:p w14:paraId="78436E7D"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Maximize</w:t>
            </w:r>
          </w:p>
        </w:tc>
        <w:tc>
          <w:tcPr>
            <w:tcW w:w="1600" w:type="dxa"/>
          </w:tcPr>
          <w:p w14:paraId="4DF2A7F2"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4</w:t>
            </w:r>
          </w:p>
        </w:tc>
        <w:tc>
          <w:tcPr>
            <w:tcW w:w="2400" w:type="dxa"/>
          </w:tcPr>
          <w:p w14:paraId="7121D68A"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High</w:t>
            </w:r>
          </w:p>
        </w:tc>
      </w:tr>
      <w:tr w:rsidR="008A62E8" w:rsidRPr="003E0CF1" w14:paraId="47AD3E40" w14:textId="77777777" w:rsidTr="00A7324D">
        <w:tc>
          <w:tcPr>
            <w:tcW w:w="2600" w:type="dxa"/>
          </w:tcPr>
          <w:p w14:paraId="6A2CC570"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Water absorption</w:t>
            </w:r>
          </w:p>
        </w:tc>
        <w:tc>
          <w:tcPr>
            <w:tcW w:w="2000" w:type="dxa"/>
          </w:tcPr>
          <w:p w14:paraId="529F546B"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Minimize</w:t>
            </w:r>
          </w:p>
        </w:tc>
        <w:tc>
          <w:tcPr>
            <w:tcW w:w="1600" w:type="dxa"/>
          </w:tcPr>
          <w:p w14:paraId="45767AF1"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4</w:t>
            </w:r>
          </w:p>
        </w:tc>
        <w:tc>
          <w:tcPr>
            <w:tcW w:w="2400" w:type="dxa"/>
          </w:tcPr>
          <w:p w14:paraId="6D5742D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High</w:t>
            </w:r>
          </w:p>
        </w:tc>
      </w:tr>
      <w:tr w:rsidR="008A62E8" w:rsidRPr="003E0CF1" w14:paraId="4881FCF1" w14:textId="77777777" w:rsidTr="00A7324D">
        <w:tc>
          <w:tcPr>
            <w:tcW w:w="2600" w:type="dxa"/>
          </w:tcPr>
          <w:p w14:paraId="5C3A03FA"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Thermal conductivity</w:t>
            </w:r>
          </w:p>
        </w:tc>
        <w:tc>
          <w:tcPr>
            <w:tcW w:w="2000" w:type="dxa"/>
          </w:tcPr>
          <w:p w14:paraId="38B768C9"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Minimize</w:t>
            </w:r>
          </w:p>
        </w:tc>
        <w:tc>
          <w:tcPr>
            <w:tcW w:w="1600" w:type="dxa"/>
          </w:tcPr>
          <w:p w14:paraId="6F3BAE20"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3</w:t>
            </w:r>
          </w:p>
        </w:tc>
        <w:tc>
          <w:tcPr>
            <w:tcW w:w="2400" w:type="dxa"/>
          </w:tcPr>
          <w:p w14:paraId="5F93E9EC"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Medium</w:t>
            </w:r>
          </w:p>
        </w:tc>
      </w:tr>
      <w:tr w:rsidR="008A62E8" w:rsidRPr="003E0CF1" w14:paraId="470C04C0" w14:textId="77777777" w:rsidTr="00A7324D">
        <w:tc>
          <w:tcPr>
            <w:tcW w:w="2600" w:type="dxa"/>
          </w:tcPr>
          <w:p w14:paraId="3DD18D35"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CO</w:t>
            </w:r>
            <w:r>
              <w:rPr>
                <w:rFonts w:ascii="Times New Roman" w:hAnsi="Times New Roman" w:cs="Times New Roman"/>
                <w:sz w:val="24"/>
                <w:szCs w:val="24"/>
                <w:vertAlign w:val="subscript"/>
              </w:rPr>
              <w:t>2</w:t>
            </w:r>
            <w:r>
              <w:rPr>
                <w:rFonts w:ascii="Times New Roman" w:hAnsi="Times New Roman" w:cs="Times New Roman"/>
                <w:sz w:val="24"/>
                <w:szCs w:val="24"/>
              </w:rPr>
              <w:t xml:space="preserve"> emission</w:t>
            </w:r>
          </w:p>
        </w:tc>
        <w:tc>
          <w:tcPr>
            <w:tcW w:w="2000" w:type="dxa"/>
          </w:tcPr>
          <w:p w14:paraId="2B22F40F"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Minimize</w:t>
            </w:r>
          </w:p>
        </w:tc>
        <w:tc>
          <w:tcPr>
            <w:tcW w:w="1600" w:type="dxa"/>
          </w:tcPr>
          <w:p w14:paraId="76F9BA10"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4</w:t>
            </w:r>
          </w:p>
        </w:tc>
        <w:tc>
          <w:tcPr>
            <w:tcW w:w="2400" w:type="dxa"/>
          </w:tcPr>
          <w:p w14:paraId="6563F71D"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High</w:t>
            </w:r>
          </w:p>
        </w:tc>
      </w:tr>
    </w:tbl>
    <w:p w14:paraId="331F2533" w14:textId="77777777" w:rsidR="00F741DE" w:rsidRPr="003E0CF1" w:rsidRDefault="00A44C10" w:rsidP="00F9519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2B6266D" wp14:editId="20ECE862">
            <wp:extent cx="5394960" cy="3165043"/>
            <wp:effectExtent l="0" t="0" r="0" b="0"/>
            <wp:docPr id="1145184428" name="Picture 1145184428" descr="Compressive strength of the seven mix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_Exploratory_Compressive_Strength.png"/>
                    <pic:cNvPicPr/>
                  </pic:nvPicPr>
                  <pic:blipFill>
                    <a:blip r:embed="rId21"/>
                    <a:stretch>
                      <a:fillRect/>
                    </a:stretch>
                  </pic:blipFill>
                  <pic:spPr>
                    <a:xfrm>
                      <a:off x="0" y="0"/>
                      <a:ext cx="5394960" cy="3165043"/>
                    </a:xfrm>
                    <a:prstGeom prst="rect">
                      <a:avLst/>
                    </a:prstGeom>
                  </pic:spPr>
                </pic:pic>
              </a:graphicData>
            </a:graphic>
          </wp:inline>
        </w:drawing>
      </w:r>
    </w:p>
    <w:p w14:paraId="4CE2DB23"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highlight w:val="cyan"/>
        </w:rPr>
        <w:t>Figure 15. Reported 28-day compressive strength of the seven mixtures (values from Table 4).</w:t>
      </w:r>
    </w:p>
    <w:p w14:paraId="35FD9DBD" w14:textId="77777777" w:rsidR="00BE01B7" w:rsidRPr="003E0CF1" w:rsidRDefault="00000000" w:rsidP="00F9519E">
      <w:pPr>
        <w:pStyle w:val="Heading2"/>
        <w:jc w:val="both"/>
        <w:rPr>
          <w:rFonts w:ascii="Times New Roman" w:hAnsi="Times New Roman" w:cs="Times New Roman"/>
          <w:sz w:val="24"/>
          <w:szCs w:val="24"/>
        </w:rPr>
      </w:pPr>
      <w:r>
        <w:rPr>
          <w:rFonts w:ascii="Times New Roman" w:hAnsi="Times New Roman" w:cs="Times New Roman"/>
          <w:sz w:val="24"/>
          <w:szCs w:val="24"/>
          <w:highlight w:val="yellow"/>
        </w:rPr>
        <w:t>4.10 Comparative life-cycle assessment</w:t>
      </w:r>
    </w:p>
    <w:p w14:paraId="5D993533"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highlight w:val="yellow"/>
        </w:rPr>
        <w:t>The reported life-cycle table (Table 9, Figure 16) gives a GWP of 0.249 kg CO₂-eq/kg for AT6 and 0.462 kg CO₂-eq/kg for C0, a 46.1% difference calculated from the tabulated values. This is an arithmetic comparison of the reported estimates. The environmental interpretation will be strengthened by documenting and checking the inventory, system boundary, functional unit, allocation method and sensitivity analysis.</w:t>
      </w:r>
    </w:p>
    <w:p w14:paraId="599AC1B0" w14:textId="77777777" w:rsidR="00FC26F6"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The same table lists embodied energy of 1.72 MJ/kg for AT6 versus 3.21 MJ/kg for C0, and primary energy of 2.21 versus 4.09 MJ/kg. These correspond to reductions of approximately 46.4% and 46.0%, respectively, based on the reported values. The supplied workbook's LCA inventory sheet is a blank recording template, so the totals cannot currently be recalculated from that file. A populated, auditable inventory and a functional-unit-based comparison would support a more robust assessment of environmental performance and equivalent service.</w:t>
      </w:r>
    </w:p>
    <w:p w14:paraId="210566D0" w14:textId="77777777" w:rsidR="00F741DE" w:rsidRPr="003E0CF1" w:rsidRDefault="00F741DE" w:rsidP="00F9519E">
      <w:pPr>
        <w:jc w:val="both"/>
        <w:rPr>
          <w:rFonts w:ascii="Times New Roman" w:hAnsi="Times New Roman" w:cs="Times New Roman"/>
          <w:sz w:val="24"/>
          <w:szCs w:val="24"/>
        </w:rPr>
      </w:pPr>
    </w:p>
    <w:p w14:paraId="67460649"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 xml:space="preserve">Table 9. </w:t>
      </w:r>
      <w:r>
        <w:rPr>
          <w:rFonts w:ascii="Times New Roman" w:hAnsi="Times New Roman" w:cs="Times New Roman"/>
          <w:i/>
          <w:iCs/>
          <w:sz w:val="24"/>
          <w:szCs w:val="24"/>
        </w:rPr>
        <w:t>Life-cycle impact comparison (per kg of material).</w:t>
      </w:r>
    </w:p>
    <w:tbl>
      <w:tblPr>
        <w:tblStyle w:val="TableGrid"/>
        <w:tblW w:w="8800" w:type="dxa"/>
        <w:tblLook w:val="04A0" w:firstRow="1" w:lastRow="0" w:firstColumn="1" w:lastColumn="0" w:noHBand="0" w:noVBand="1"/>
      </w:tblPr>
      <w:tblGrid>
        <w:gridCol w:w="2070"/>
        <w:gridCol w:w="2250"/>
        <w:gridCol w:w="1550"/>
        <w:gridCol w:w="1550"/>
        <w:gridCol w:w="1380"/>
      </w:tblGrid>
      <w:tr w:rsidR="008A62E8" w:rsidRPr="003E0CF1" w14:paraId="36C24246" w14:textId="77777777" w:rsidTr="00A7324D">
        <w:tc>
          <w:tcPr>
            <w:tcW w:w="2070" w:type="dxa"/>
          </w:tcPr>
          <w:p w14:paraId="046C1EBA"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lastRenderedPageBreak/>
              <w:t>Material</w:t>
            </w:r>
          </w:p>
        </w:tc>
        <w:tc>
          <w:tcPr>
            <w:tcW w:w="2250" w:type="dxa"/>
          </w:tcPr>
          <w:p w14:paraId="42E370E1"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Global warming potential (kg CO</w:t>
            </w:r>
            <w:r>
              <w:rPr>
                <w:rFonts w:ascii="Times New Roman" w:hAnsi="Times New Roman" w:cs="Times New Roman"/>
                <w:b/>
                <w:bCs/>
                <w:sz w:val="24"/>
                <w:szCs w:val="24"/>
                <w:vertAlign w:val="subscript"/>
              </w:rPr>
              <w:t>2</w:t>
            </w:r>
            <w:r>
              <w:rPr>
                <w:rFonts w:ascii="Times New Roman" w:hAnsi="Times New Roman" w:cs="Times New Roman"/>
                <w:b/>
                <w:bCs/>
                <w:sz w:val="24"/>
                <w:szCs w:val="24"/>
              </w:rPr>
              <w:t>-eq)</w:t>
            </w:r>
          </w:p>
        </w:tc>
        <w:tc>
          <w:tcPr>
            <w:tcW w:w="1550" w:type="dxa"/>
          </w:tcPr>
          <w:p w14:paraId="2A6E4121"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Embodied energy (MJ)</w:t>
            </w:r>
          </w:p>
        </w:tc>
        <w:tc>
          <w:tcPr>
            <w:tcW w:w="1550" w:type="dxa"/>
          </w:tcPr>
          <w:p w14:paraId="62C55D36"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Primary energy (MJ)</w:t>
            </w:r>
          </w:p>
        </w:tc>
        <w:tc>
          <w:tcPr>
            <w:tcW w:w="1380" w:type="dxa"/>
          </w:tcPr>
          <w:p w14:paraId="4895D2BC"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Waste utilization (%)</w:t>
            </w:r>
          </w:p>
        </w:tc>
      </w:tr>
      <w:tr w:rsidR="008A62E8" w:rsidRPr="003E0CF1" w14:paraId="7A196F16" w14:textId="77777777" w:rsidTr="00A7324D">
        <w:tc>
          <w:tcPr>
            <w:tcW w:w="2070" w:type="dxa"/>
          </w:tcPr>
          <w:p w14:paraId="55755850" w14:textId="77777777" w:rsidR="00CF1CF5"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OPC mortar (C0)</w:t>
            </w:r>
          </w:p>
        </w:tc>
        <w:tc>
          <w:tcPr>
            <w:tcW w:w="2250" w:type="dxa"/>
          </w:tcPr>
          <w:p w14:paraId="11C9C996"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0.462</w:t>
            </w:r>
          </w:p>
        </w:tc>
        <w:tc>
          <w:tcPr>
            <w:tcW w:w="1550" w:type="dxa"/>
          </w:tcPr>
          <w:p w14:paraId="05472EC7"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3.21</w:t>
            </w:r>
          </w:p>
        </w:tc>
        <w:tc>
          <w:tcPr>
            <w:tcW w:w="1550" w:type="dxa"/>
          </w:tcPr>
          <w:p w14:paraId="16DA2D03"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4.09</w:t>
            </w:r>
          </w:p>
        </w:tc>
        <w:tc>
          <w:tcPr>
            <w:tcW w:w="1380" w:type="dxa"/>
          </w:tcPr>
          <w:p w14:paraId="4AFD7FB7"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12</w:t>
            </w:r>
          </w:p>
        </w:tc>
      </w:tr>
      <w:tr w:rsidR="008A62E8" w:rsidRPr="003E0CF1" w14:paraId="59599484" w14:textId="77777777" w:rsidTr="00A7324D">
        <w:tc>
          <w:tcPr>
            <w:tcW w:w="2070" w:type="dxa"/>
          </w:tcPr>
          <w:p w14:paraId="3CC79681"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Lime-MK matrix (AT3)</w:t>
            </w:r>
          </w:p>
        </w:tc>
        <w:tc>
          <w:tcPr>
            <w:tcW w:w="2250" w:type="dxa"/>
          </w:tcPr>
          <w:p w14:paraId="4FE5A1E9"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0.298</w:t>
            </w:r>
          </w:p>
        </w:tc>
        <w:tc>
          <w:tcPr>
            <w:tcW w:w="1550" w:type="dxa"/>
          </w:tcPr>
          <w:p w14:paraId="378159B0"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2.18</w:t>
            </w:r>
          </w:p>
        </w:tc>
        <w:tc>
          <w:tcPr>
            <w:tcW w:w="1550" w:type="dxa"/>
          </w:tcPr>
          <w:p w14:paraId="785A79F1"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2.76</w:t>
            </w:r>
          </w:p>
        </w:tc>
        <w:tc>
          <w:tcPr>
            <w:tcW w:w="1380" w:type="dxa"/>
          </w:tcPr>
          <w:p w14:paraId="42051DEB"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48</w:t>
            </w:r>
          </w:p>
        </w:tc>
      </w:tr>
      <w:tr w:rsidR="008A62E8" w:rsidRPr="003E0CF1" w14:paraId="4EC3EBC8" w14:textId="77777777" w:rsidTr="00A7324D">
        <w:tc>
          <w:tcPr>
            <w:tcW w:w="2070" w:type="dxa"/>
          </w:tcPr>
          <w:p w14:paraId="5CA3651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AT-MMC (AT6)</w:t>
            </w:r>
          </w:p>
        </w:tc>
        <w:tc>
          <w:tcPr>
            <w:tcW w:w="2250" w:type="dxa"/>
          </w:tcPr>
          <w:p w14:paraId="036B0F96"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0.249</w:t>
            </w:r>
          </w:p>
        </w:tc>
        <w:tc>
          <w:tcPr>
            <w:tcW w:w="1550" w:type="dxa"/>
          </w:tcPr>
          <w:p w14:paraId="3D419F3F"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1.72</w:t>
            </w:r>
          </w:p>
        </w:tc>
        <w:tc>
          <w:tcPr>
            <w:tcW w:w="1550" w:type="dxa"/>
          </w:tcPr>
          <w:p w14:paraId="1986FEBE"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2.21</w:t>
            </w:r>
          </w:p>
        </w:tc>
        <w:tc>
          <w:tcPr>
            <w:tcW w:w="1380" w:type="dxa"/>
          </w:tcPr>
          <w:p w14:paraId="6AE7841B"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62</w:t>
            </w:r>
          </w:p>
        </w:tc>
      </w:tr>
    </w:tbl>
    <w:p w14:paraId="4D3927C1" w14:textId="77777777" w:rsidR="00F741DE" w:rsidRPr="003E0CF1" w:rsidRDefault="003362AB" w:rsidP="00F9519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2AA2E68" wp14:editId="35C32FF6">
            <wp:extent cx="5732780" cy="1829221"/>
            <wp:effectExtent l="0" t="0" r="1270" b="8255"/>
            <wp:docPr id="27" name="Picture 27" descr="Life-cycle impacts of OPC mortar (C0), AT3 and A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32780" cy="1829221"/>
                    </a:xfrm>
                    <a:prstGeom prst="rect">
                      <a:avLst/>
                    </a:prstGeom>
                  </pic:spPr>
                </pic:pic>
              </a:graphicData>
            </a:graphic>
          </wp:inline>
        </w:drawing>
      </w:r>
    </w:p>
    <w:p w14:paraId="24B6F79F"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Figure 16. Life-cycle impacts of OPC mortar (C0), AT3 and AT6.</w:t>
      </w:r>
    </w:p>
    <w:p w14:paraId="1A4666CE" w14:textId="77777777" w:rsidR="00F741DE" w:rsidRPr="003E0CF1" w:rsidRDefault="00E71383" w:rsidP="00F9519E">
      <w:pPr>
        <w:pStyle w:val="Heading2"/>
        <w:jc w:val="both"/>
        <w:rPr>
          <w:rFonts w:ascii="Times New Roman" w:hAnsi="Times New Roman" w:cs="Times New Roman"/>
          <w:color w:val="auto"/>
          <w:sz w:val="24"/>
          <w:szCs w:val="24"/>
        </w:rPr>
      </w:pPr>
      <w:r>
        <w:rPr>
          <w:rFonts w:ascii="Times New Roman" w:hAnsi="Times New Roman" w:cs="Times New Roman"/>
          <w:sz w:val="24"/>
          <w:szCs w:val="24"/>
          <w:highlight w:val="yellow"/>
        </w:rPr>
        <w:t>4.11 Supplementary derived visualizations</w:t>
      </w:r>
    </w:p>
    <w:p w14:paraId="19E2B0B9" w14:textId="77777777" w:rsidR="00A7324D" w:rsidRPr="003E0CF1" w:rsidRDefault="00A7324D" w:rsidP="00F9519E">
      <w:pPr>
        <w:jc w:val="both"/>
        <w:rPr>
          <w:rFonts w:ascii="Times New Roman" w:hAnsi="Times New Roman" w:cs="Times New Roman"/>
          <w:sz w:val="24"/>
          <w:szCs w:val="24"/>
        </w:rPr>
      </w:pPr>
      <w:r>
        <w:rPr>
          <w:rFonts w:ascii="Times New Roman" w:hAnsi="Times New Roman" w:cs="Times New Roman"/>
          <w:sz w:val="24"/>
          <w:szCs w:val="24"/>
          <w:highlight w:val="cyan"/>
        </w:rPr>
        <w:t>Figures 17 and 18</w:t>
      </w:r>
      <w:r>
        <w:rPr>
          <w:rFonts w:ascii="Times New Roman" w:hAnsi="Times New Roman" w:cs="Times New Roman"/>
          <w:sz w:val="24"/>
          <w:szCs w:val="24"/>
          <w:highlight w:val="yellow"/>
        </w:rPr>
        <w:t xml:space="preserve"> present secondary analyses derived from the summary values already reported in the manuscript. The porosity–acid-residual-strength relationship is based on seven mixture-level points from a non-orthogonal design, so it is best interpreted as an exploratory association. Replicated measurements and a controlled design would help establish whether the pattern persists and whether it has predictive value.</w:t>
      </w:r>
    </w:p>
    <w:p w14:paraId="28A2726A" w14:textId="77777777" w:rsidR="00F741DE" w:rsidRPr="003E0CF1" w:rsidRDefault="003362AB" w:rsidP="00F9519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7D5F18" wp14:editId="61B5CDD8">
            <wp:extent cx="4038600" cy="2310412"/>
            <wp:effectExtent l="0" t="0" r="0" b="7620"/>
            <wp:docPr id="24" name="Picture 24" descr="Percentage improvement of AT6 over OPC mor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038761" cy="2697686"/>
                    </a:xfrm>
                    <a:prstGeom prst="rect">
                      <a:avLst/>
                    </a:prstGeom>
                  </pic:spPr>
                </pic:pic>
              </a:graphicData>
            </a:graphic>
          </wp:inline>
        </w:drawing>
      </w:r>
    </w:p>
    <w:p w14:paraId="7B0C11BD"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Figure 17. Percentage improvement of AT6 over OPC mortar (C0).</w:t>
      </w:r>
    </w:p>
    <w:p w14:paraId="19117992" w14:textId="77777777" w:rsidR="00F741DE" w:rsidRPr="003E0CF1" w:rsidRDefault="003362AB" w:rsidP="00F9519E">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4716159" wp14:editId="4CB071E4">
            <wp:extent cx="2845053" cy="2262668"/>
            <wp:effectExtent l="0" t="0" r="0" b="4445"/>
            <wp:docPr id="25" name="Picture 25" descr="Apparent porosity versus residual compressive strength after acid exp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854419" cy="2270117"/>
                    </a:xfrm>
                    <a:prstGeom prst="rect">
                      <a:avLst/>
                    </a:prstGeom>
                  </pic:spPr>
                </pic:pic>
              </a:graphicData>
            </a:graphic>
          </wp:inline>
        </w:drawing>
      </w:r>
    </w:p>
    <w:p w14:paraId="4E719DE5"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Figure 18. Apparent porosity versus residual compressive strength after acid exposure.</w:t>
      </w:r>
    </w:p>
    <w:p w14:paraId="77C33B72" w14:textId="77777777" w:rsidR="00A85665" w:rsidRPr="003E0CF1" w:rsidRDefault="00A85665" w:rsidP="00F9519E">
      <w:pPr>
        <w:pStyle w:val="Heading2"/>
        <w:jc w:val="both"/>
        <w:rPr>
          <w:rFonts w:ascii="Times New Roman" w:hAnsi="Times New Roman" w:cs="Times New Roman"/>
          <w:color w:val="auto"/>
          <w:sz w:val="24"/>
          <w:szCs w:val="24"/>
        </w:rPr>
      </w:pPr>
      <w:r>
        <w:rPr>
          <w:rFonts w:ascii="Times New Roman" w:hAnsi="Times New Roman" w:cs="Times New Roman"/>
          <w:sz w:val="24"/>
          <w:szCs w:val="24"/>
          <w:highlight w:val="yellow"/>
        </w:rPr>
        <w:t xml:space="preserve">The reported R² = 0.979 relationship between apparent porosity and </w:t>
      </w:r>
      <w:r>
        <w:rPr>
          <w:rFonts w:ascii="Times New Roman" w:hAnsi="Times New Roman" w:cs="Times New Roman"/>
          <w:sz w:val="24"/>
          <w:szCs w:val="24"/>
          <w:highlight w:val="cyan"/>
        </w:rPr>
        <w:t>residual strength after acid exposure (Figure 18) is</w:t>
      </w:r>
      <w:r>
        <w:rPr>
          <w:rFonts w:ascii="Times New Roman" w:hAnsi="Times New Roman" w:cs="Times New Roman"/>
          <w:sz w:val="24"/>
          <w:szCs w:val="24"/>
          <w:highlight w:val="yellow"/>
        </w:rPr>
        <w:t xml:space="preserve"> calculated from seven mixture-level summary points. Because the mixtures are compositionally confounded and uncertainty estimates are unavailable, this statistic is descriptive rather than predictive. It does not establish that porosity controls acid resistance. Replicated measurements and a pre-specified analysis would help determine whether the relationship is robust.</w:t>
      </w:r>
    </w:p>
    <w:p w14:paraId="17CC7BC7" w14:textId="77777777" w:rsidR="00F741DE" w:rsidRPr="003E0CF1" w:rsidRDefault="00E71383" w:rsidP="00F9519E">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4.12 Cross-property correlation analysis</w:t>
      </w:r>
    </w:p>
    <w:p w14:paraId="1AB54269" w14:textId="77777777" w:rsidR="00F741DE" w:rsidRPr="003E0CF1" w:rsidRDefault="00A85665" w:rsidP="00F9519E">
      <w:pPr>
        <w:jc w:val="both"/>
        <w:rPr>
          <w:rFonts w:ascii="Times New Roman" w:hAnsi="Times New Roman" w:cs="Times New Roman"/>
          <w:sz w:val="24"/>
          <w:szCs w:val="24"/>
        </w:rPr>
      </w:pPr>
      <w:r>
        <w:rPr>
          <w:rFonts w:ascii="Times New Roman" w:hAnsi="Times New Roman" w:cs="Times New Roman"/>
          <w:sz w:val="24"/>
          <w:szCs w:val="24"/>
        </w:rPr>
        <w:t>The seven formulations provide descriptive associations among mixture-level summaries (Table 10, Figure 19; Pearson coefficients from Eq. (15)). Because several composition variables change together, correlations are best used to guide hypotheses for controlled experiments. A larger, orthogonally or appropriately mixture-designed study with replicate data will help evaluate individual property relationships. The current correlations are interpreted within the seven-mixture dataset (n = 7).</w:t>
      </w:r>
    </w:p>
    <w:p w14:paraId="36C163B4"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highlight w:val="magenta"/>
        </w:rPr>
        <w:t>Table 10. Descriptive Pearson correlations among reported 28-day properties (n = 7; not causal).</w:t>
      </w:r>
    </w:p>
    <w:tbl>
      <w:tblPr>
        <w:tblStyle w:val="TableGrid"/>
        <w:tblW w:w="8800" w:type="dxa"/>
        <w:tblLook w:val="04A0" w:firstRow="1" w:lastRow="0" w:firstColumn="1" w:lastColumn="0" w:noHBand="0" w:noVBand="1"/>
      </w:tblPr>
      <w:tblGrid>
        <w:gridCol w:w="3600"/>
        <w:gridCol w:w="1400"/>
        <w:gridCol w:w="3800"/>
      </w:tblGrid>
      <w:tr w:rsidR="008A62E8" w:rsidRPr="003E0CF1" w14:paraId="05780C6F" w14:textId="77777777" w:rsidTr="00A85665">
        <w:tc>
          <w:tcPr>
            <w:tcW w:w="3600" w:type="dxa"/>
          </w:tcPr>
          <w:p w14:paraId="341AB4A7"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Property pair</w:t>
            </w:r>
          </w:p>
        </w:tc>
        <w:tc>
          <w:tcPr>
            <w:tcW w:w="1400" w:type="dxa"/>
          </w:tcPr>
          <w:p w14:paraId="7F913059"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r</w:t>
            </w:r>
          </w:p>
        </w:tc>
        <w:tc>
          <w:tcPr>
            <w:tcW w:w="3800" w:type="dxa"/>
          </w:tcPr>
          <w:p w14:paraId="7FF8C3AF"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b/>
                <w:bCs/>
                <w:sz w:val="24"/>
                <w:szCs w:val="24"/>
              </w:rPr>
              <w:t>Interpretation</w:t>
            </w:r>
          </w:p>
        </w:tc>
      </w:tr>
      <w:tr w:rsidR="008A62E8" w:rsidRPr="003E0CF1" w14:paraId="0D5596F8" w14:textId="77777777" w:rsidTr="00A85665">
        <w:tc>
          <w:tcPr>
            <w:tcW w:w="3600" w:type="dxa"/>
          </w:tcPr>
          <w:p w14:paraId="6981BB8A"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Compressive strength vs. splitting tensile strength</w:t>
            </w:r>
          </w:p>
        </w:tc>
        <w:tc>
          <w:tcPr>
            <w:tcW w:w="1400" w:type="dxa"/>
          </w:tcPr>
          <w:p w14:paraId="31048655"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0.998</w:t>
            </w:r>
          </w:p>
        </w:tc>
        <w:tc>
          <w:tcPr>
            <w:tcW w:w="3800" w:type="dxa"/>
          </w:tcPr>
          <w:p w14:paraId="15A2459F" w14:textId="77777777" w:rsidR="00D64C0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Strong positive association in these seven mixture-level summaries; does not establish causation.</w:t>
            </w:r>
          </w:p>
        </w:tc>
      </w:tr>
      <w:tr w:rsidR="008A62E8" w:rsidRPr="003E0CF1" w14:paraId="60E7D64D" w14:textId="77777777" w:rsidTr="00A85665">
        <w:tc>
          <w:tcPr>
            <w:tcW w:w="3600" w:type="dxa"/>
          </w:tcPr>
          <w:p w14:paraId="278D5008"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Water absorption vs. apparent porosity</w:t>
            </w:r>
          </w:p>
        </w:tc>
        <w:tc>
          <w:tcPr>
            <w:tcW w:w="1400" w:type="dxa"/>
          </w:tcPr>
          <w:p w14:paraId="734415A0"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1.000</w:t>
            </w:r>
          </w:p>
        </w:tc>
        <w:tc>
          <w:tcPr>
            <w:tcW w:w="3800" w:type="dxa"/>
          </w:tcPr>
          <w:p w14:paraId="15FE8959" w14:textId="77777777" w:rsidR="00D64C0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 xml:space="preserve">Near-identical </w:t>
            </w:r>
            <w:r>
              <w:rPr>
                <w:rFonts w:ascii="Times New Roman" w:hAnsi="Times New Roman" w:cs="Times New Roman"/>
                <w:sz w:val="24"/>
                <w:szCs w:val="24"/>
                <w:highlight w:val="yellow"/>
              </w:rPr>
              <w:t>reported</w:t>
            </w:r>
            <w:r>
              <w:rPr>
                <w:rFonts w:ascii="Times New Roman" w:hAnsi="Times New Roman" w:cs="Times New Roman"/>
                <w:sz w:val="24"/>
                <w:szCs w:val="24"/>
              </w:rPr>
              <w:t xml:space="preserve"> indicators</w:t>
            </w:r>
            <w:r>
              <w:rPr>
                <w:rFonts w:ascii="Times New Roman" w:hAnsi="Times New Roman" w:cs="Times New Roman"/>
                <w:sz w:val="24"/>
                <w:szCs w:val="24"/>
                <w:highlight w:val="yellow"/>
              </w:rPr>
              <w:t>; association is descriptive and may reflect shared calculations.</w:t>
            </w:r>
          </w:p>
        </w:tc>
      </w:tr>
      <w:tr w:rsidR="008A62E8" w:rsidRPr="003E0CF1" w14:paraId="41FD8F98" w14:textId="77777777" w:rsidTr="00A85665">
        <w:tc>
          <w:tcPr>
            <w:tcW w:w="3600" w:type="dxa"/>
          </w:tcPr>
          <w:p w14:paraId="39151FF0"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Apparent porosity vs. thermal conductivity</w:t>
            </w:r>
          </w:p>
        </w:tc>
        <w:tc>
          <w:tcPr>
            <w:tcW w:w="1400" w:type="dxa"/>
          </w:tcPr>
          <w:p w14:paraId="7A771D77"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0.998</w:t>
            </w:r>
          </w:p>
        </w:tc>
        <w:tc>
          <w:tcPr>
            <w:tcW w:w="3800" w:type="dxa"/>
          </w:tcPr>
          <w:p w14:paraId="46B251EB" w14:textId="77777777" w:rsidR="00CF1CF5"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Positive association across seven mixtures (r = 0.998), opposite to the usual pore-volume effect at comparable solid composition and moisture; descriptive only and not causal.</w:t>
            </w:r>
          </w:p>
        </w:tc>
      </w:tr>
      <w:tr w:rsidR="008A62E8" w:rsidRPr="003E0CF1" w14:paraId="71934063" w14:textId="77777777" w:rsidTr="00A85665">
        <w:tc>
          <w:tcPr>
            <w:tcW w:w="3600" w:type="dxa"/>
          </w:tcPr>
          <w:p w14:paraId="377A9149"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 xml:space="preserve">Fracture toughness vs. </w:t>
            </w:r>
            <w:proofErr w:type="spellStart"/>
            <w:r>
              <w:rPr>
                <w:rFonts w:ascii="Times New Roman" w:hAnsi="Times New Roman" w:cs="Times New Roman"/>
                <w:sz w:val="24"/>
                <w:szCs w:val="24"/>
              </w:rPr>
              <w:t>sorptivity</w:t>
            </w:r>
            <w:proofErr w:type="spellEnd"/>
          </w:p>
        </w:tc>
        <w:tc>
          <w:tcPr>
            <w:tcW w:w="1400" w:type="dxa"/>
          </w:tcPr>
          <w:p w14:paraId="742479E7"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-0.975</w:t>
            </w:r>
          </w:p>
        </w:tc>
        <w:tc>
          <w:tcPr>
            <w:tcW w:w="3800" w:type="dxa"/>
          </w:tcPr>
          <w:p w14:paraId="366591B3" w14:textId="77777777" w:rsidR="00D64C0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 xml:space="preserve">Negative association across seven mixes; does not demonstrate </w:t>
            </w:r>
            <w:proofErr w:type="spellStart"/>
            <w:r>
              <w:rPr>
                <w:rFonts w:ascii="Times New Roman" w:hAnsi="Times New Roman" w:cs="Times New Roman"/>
                <w:sz w:val="24"/>
                <w:szCs w:val="24"/>
                <w:highlight w:val="yellow"/>
              </w:rPr>
              <w:t>fibre</w:t>
            </w:r>
            <w:proofErr w:type="spellEnd"/>
            <w:r>
              <w:rPr>
                <w:rFonts w:ascii="Times New Roman" w:hAnsi="Times New Roman" w:cs="Times New Roman"/>
                <w:sz w:val="24"/>
                <w:szCs w:val="24"/>
                <w:highlight w:val="yellow"/>
              </w:rPr>
              <w:t xml:space="preserve"> bridging or pore refinement.</w:t>
            </w:r>
          </w:p>
        </w:tc>
      </w:tr>
      <w:tr w:rsidR="008A62E8" w:rsidRPr="003E0CF1" w14:paraId="2C77C944" w14:textId="77777777" w:rsidTr="00A85665">
        <w:tc>
          <w:tcPr>
            <w:tcW w:w="3600" w:type="dxa"/>
          </w:tcPr>
          <w:p w14:paraId="391A174B"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Density vs. compressive strength</w:t>
            </w:r>
          </w:p>
        </w:tc>
        <w:tc>
          <w:tcPr>
            <w:tcW w:w="1400" w:type="dxa"/>
          </w:tcPr>
          <w:p w14:paraId="38FC5F81"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-0.255</w:t>
            </w:r>
          </w:p>
        </w:tc>
        <w:tc>
          <w:tcPr>
            <w:tcW w:w="3800" w:type="dxa"/>
          </w:tcPr>
          <w:p w14:paraId="44E8A7BD" w14:textId="77777777" w:rsidR="00D64C0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Weak association in the reported summaries; no mechanistic conclusion is warranted.</w:t>
            </w:r>
          </w:p>
        </w:tc>
      </w:tr>
    </w:tbl>
    <w:p w14:paraId="0A70F3BF" w14:textId="77777777" w:rsidR="00F741DE" w:rsidRPr="003E0CF1" w:rsidRDefault="003362AB" w:rsidP="00F9519E">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7732BD1" wp14:editId="6864AB84">
            <wp:extent cx="4429125" cy="3929429"/>
            <wp:effectExtent l="0" t="0" r="0" b="0"/>
            <wp:docPr id="26" name="Picture 26" descr="Pearson correlation matrix of 28-day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429125" cy="3929429"/>
                    </a:xfrm>
                    <a:prstGeom prst="rect">
                      <a:avLst/>
                    </a:prstGeom>
                  </pic:spPr>
                </pic:pic>
              </a:graphicData>
            </a:graphic>
          </wp:inline>
        </w:drawing>
      </w:r>
    </w:p>
    <w:p w14:paraId="2A43A926"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rPr>
        <w:t>Figure 19. Pearson correlation matrix of 28-day properties.</w:t>
      </w:r>
    </w:p>
    <w:p w14:paraId="00BCEA94" w14:textId="77777777" w:rsidR="00B85D48" w:rsidRPr="003E0CF1" w:rsidRDefault="00B85D48" w:rsidP="00F9519E">
      <w:pPr>
        <w:pStyle w:val="Heading1"/>
        <w:jc w:val="both"/>
        <w:rPr>
          <w:rFonts w:ascii="Times New Roman" w:hAnsi="Times New Roman" w:cs="Times New Roman"/>
          <w:iCs/>
          <w:color w:val="auto"/>
          <w:sz w:val="24"/>
          <w:szCs w:val="24"/>
        </w:rPr>
      </w:pPr>
      <w:r>
        <w:rPr>
          <w:rFonts w:ascii="Times New Roman" w:hAnsi="Times New Roman" w:cs="Times New Roman"/>
          <w:sz w:val="24"/>
          <w:szCs w:val="24"/>
          <w:highlight w:val="yellow"/>
        </w:rPr>
        <w:t>The correlation coefficients in Table 10 summarize associations among seven mixture-level property values. These patterns help prioritize follow-up experiments; a structured design and replicated measurements will be needed to evaluate causal relationships and mechanisms. The high coefficients may reflect common ordering across mixtures, so the next study will test whether the relationships persist in an expanded dataset.</w:t>
      </w:r>
    </w:p>
    <w:p w14:paraId="6A7FE616" w14:textId="77777777" w:rsidR="00FC26F6" w:rsidRPr="003E0CF1" w:rsidRDefault="00000000" w:rsidP="00F9519E">
      <w:pPr>
        <w:pStyle w:val="Heading1"/>
        <w:jc w:val="both"/>
        <w:rPr>
          <w:rFonts w:ascii="Times New Roman" w:hAnsi="Times New Roman" w:cs="Times New Roman"/>
          <w:sz w:val="24"/>
          <w:szCs w:val="24"/>
        </w:rPr>
      </w:pPr>
      <w:r>
        <w:rPr>
          <w:rFonts w:ascii="Times New Roman" w:hAnsi="Times New Roman" w:cs="Times New Roman"/>
          <w:sz w:val="24"/>
          <w:szCs w:val="24"/>
        </w:rPr>
        <w:t>The strongest listed association is between water absorption and apparent porosity (r = 1.000), which may partly arise because these indicators are physically or computationally related. Compressive strength and splitting tensile strength are also strongly positively associated (r = 0.998) across the seven summaries. In contrast, the positive association between apparent porosity and thermal conductivity (r = 0.998) is not straightforward to interpret from pore volume alone and warrants checking the moisture state, measurement units and source values. None of these coefficients demonstrates a causal mechanism.</w:t>
      </w:r>
    </w:p>
    <w:p w14:paraId="47AACE48" w14:textId="77777777" w:rsidR="00B06580" w:rsidRPr="003E0CF1" w:rsidRDefault="00000000" w:rsidP="00F9519E">
      <w:pPr>
        <w:pStyle w:val="Heading2"/>
        <w:keepNext/>
        <w:jc w:val="both"/>
        <w:rPr>
          <w:rFonts w:ascii="Times New Roman" w:hAnsi="Times New Roman" w:cs="Times New Roman"/>
          <w:color w:val="auto"/>
          <w:sz w:val="24"/>
          <w:szCs w:val="24"/>
        </w:rPr>
      </w:pPr>
      <w:r>
        <w:rPr>
          <w:rFonts w:ascii="Times New Roman" w:hAnsi="Times New Roman" w:cs="Times New Roman"/>
          <w:color w:val="auto"/>
          <w:sz w:val="24"/>
          <w:szCs w:val="24"/>
          <w:highlight w:val="green"/>
        </w:rPr>
        <w:t>4.13 Supplementary derived analyses</w:t>
      </w:r>
    </w:p>
    <w:p w14:paraId="7EB881DC"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The calculations in this section use only the summary values already reported in Tables 1–6 and 9; no new measurements are introduced. They are provided to (</w:t>
      </w:r>
      <w:proofErr w:type="spellStart"/>
      <w:r>
        <w:rPr>
          <w:rFonts w:ascii="Times New Roman" w:hAnsi="Times New Roman" w:cs="Times New Roman"/>
          <w:sz w:val="24"/>
          <w:szCs w:val="24"/>
          <w:highlight w:val="green"/>
        </w:rPr>
        <w:t>i</w:t>
      </w:r>
      <w:proofErr w:type="spellEnd"/>
      <w:r>
        <w:rPr>
          <w:rFonts w:ascii="Times New Roman" w:hAnsi="Times New Roman" w:cs="Times New Roman"/>
          <w:sz w:val="24"/>
          <w:szCs w:val="24"/>
          <w:highlight w:val="green"/>
        </w:rPr>
        <w:t xml:space="preserve">) check the internal consistency of the reported data, (ii) show the change of every AT-MMC mixture relative to C0 rather than of AT6 alone, and (iii) examine the </w:t>
      </w:r>
      <w:proofErr w:type="spellStart"/>
      <w:r>
        <w:rPr>
          <w:rFonts w:ascii="Times New Roman" w:hAnsi="Times New Roman" w:cs="Times New Roman"/>
          <w:sz w:val="24"/>
          <w:szCs w:val="24"/>
          <w:highlight w:val="green"/>
        </w:rPr>
        <w:t>fibre</w:t>
      </w:r>
      <w:proofErr w:type="spellEnd"/>
      <w:r>
        <w:rPr>
          <w:rFonts w:ascii="Times New Roman" w:hAnsi="Times New Roman" w:cs="Times New Roman"/>
          <w:sz w:val="24"/>
          <w:szCs w:val="24"/>
          <w:highlight w:val="green"/>
        </w:rPr>
        <w:t>-dosage and porosity relations in the dataset. Because the set contains only seven mixture-level values and several constituents vary together, every fitted parameter below is descriptive.</w:t>
      </w:r>
    </w:p>
    <w:p w14:paraId="075ACFBC" w14:textId="77777777" w:rsidR="00B06580" w:rsidRPr="003E0CF1" w:rsidRDefault="00000000" w:rsidP="00F9519E">
      <w:pPr>
        <w:keepNext/>
        <w:jc w:val="both"/>
        <w:rPr>
          <w:rFonts w:ascii="Times New Roman" w:hAnsi="Times New Roman" w:cs="Times New Roman"/>
          <w:sz w:val="24"/>
          <w:szCs w:val="24"/>
        </w:rPr>
      </w:pPr>
      <w:r>
        <w:rPr>
          <w:rFonts w:ascii="Times New Roman" w:hAnsi="Times New Roman" w:cs="Times New Roman"/>
          <w:b/>
          <w:bCs/>
          <w:i/>
          <w:iCs/>
          <w:sz w:val="24"/>
          <w:szCs w:val="24"/>
          <w:highlight w:val="green"/>
        </w:rPr>
        <w:t>4.13.1 Consistency of the compositional records</w:t>
      </w:r>
    </w:p>
    <w:p w14:paraId="41E007AF"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 xml:space="preserve">Table 11 </w:t>
      </w:r>
      <w:proofErr w:type="spellStart"/>
      <w:r>
        <w:rPr>
          <w:rFonts w:ascii="Times New Roman" w:hAnsi="Times New Roman" w:cs="Times New Roman"/>
          <w:sz w:val="24"/>
          <w:szCs w:val="24"/>
          <w:highlight w:val="yellow"/>
        </w:rPr>
        <w:t>summarises</w:t>
      </w:r>
      <w:proofErr w:type="spellEnd"/>
      <w:r>
        <w:rPr>
          <w:rFonts w:ascii="Times New Roman" w:hAnsi="Times New Roman" w:cs="Times New Roman"/>
          <w:sz w:val="24"/>
          <w:szCs w:val="24"/>
          <w:highlight w:val="yellow"/>
        </w:rPr>
        <w:t xml:space="preserve"> oxide data from Table 2. The totals for the ancient mortar (97.6% oxides, 100.0% including LOI), granite waste powder (99.4% and 100.0%) and metakaolin (98.8% and 100.0%) close arithmetically to 100% using the listed values. The metakaolin SiO₂/</w:t>
      </w:r>
      <w:proofErr w:type="spellStart"/>
      <w:r>
        <w:rPr>
          <w:rFonts w:ascii="Times New Roman" w:hAnsi="Times New Roman" w:cs="Times New Roman"/>
          <w:sz w:val="24"/>
          <w:szCs w:val="24"/>
          <w:highlight w:val="yellow"/>
        </w:rPr>
        <w:t>Al₂O</w:t>
      </w:r>
      <w:proofErr w:type="spellEnd"/>
      <w:r>
        <w:rPr>
          <w:rFonts w:ascii="Times New Roman" w:hAnsi="Times New Roman" w:cs="Times New Roman"/>
          <w:sz w:val="24"/>
          <w:szCs w:val="24"/>
          <w:highlight w:val="yellow"/>
        </w:rPr>
        <w:t xml:space="preserve">₃ molar ratio of 2.01 is a compositional ratio consistent with the nominal formula used in the theoretical discussion, but it does not demonstrate phase purity. The SiO₂ + </w:t>
      </w:r>
      <w:proofErr w:type="spellStart"/>
      <w:r>
        <w:rPr>
          <w:rFonts w:ascii="Times New Roman" w:hAnsi="Times New Roman" w:cs="Times New Roman"/>
          <w:sz w:val="24"/>
          <w:szCs w:val="24"/>
          <w:highlight w:val="yellow"/>
        </w:rPr>
        <w:t>Al₂O</w:t>
      </w:r>
      <w:proofErr w:type="spellEnd"/>
      <w:r>
        <w:rPr>
          <w:rFonts w:ascii="Times New Roman" w:hAnsi="Times New Roman" w:cs="Times New Roman"/>
          <w:sz w:val="24"/>
          <w:szCs w:val="24"/>
          <w:highlight w:val="yellow"/>
        </w:rPr>
        <w:t xml:space="preserve">₃ + </w:t>
      </w:r>
      <w:proofErr w:type="spellStart"/>
      <w:r>
        <w:rPr>
          <w:rFonts w:ascii="Times New Roman" w:hAnsi="Times New Roman" w:cs="Times New Roman"/>
          <w:sz w:val="24"/>
          <w:szCs w:val="24"/>
          <w:highlight w:val="yellow"/>
        </w:rPr>
        <w:t>Fe₂O</w:t>
      </w:r>
      <w:proofErr w:type="spellEnd"/>
      <w:r>
        <w:rPr>
          <w:rFonts w:ascii="Times New Roman" w:hAnsi="Times New Roman" w:cs="Times New Roman"/>
          <w:sz w:val="24"/>
          <w:szCs w:val="24"/>
          <w:highlight w:val="yellow"/>
        </w:rPr>
        <w:t>₃ sum for granite waste (88.6%) is only a bulk-composition index; its reactivity requires separate evidence.</w:t>
      </w:r>
    </w:p>
    <w:p w14:paraId="4A939ABE" w14:textId="77777777" w:rsidR="00B06580" w:rsidRPr="003E0CF1" w:rsidRDefault="00000000" w:rsidP="00F9519E">
      <w:pPr>
        <w:keepNext/>
        <w:jc w:val="both"/>
        <w:rPr>
          <w:rFonts w:ascii="Times New Roman" w:hAnsi="Times New Roman" w:cs="Times New Roman"/>
          <w:sz w:val="24"/>
          <w:szCs w:val="24"/>
        </w:rPr>
      </w:pPr>
      <w:r>
        <w:rPr>
          <w:rFonts w:ascii="Times New Roman" w:hAnsi="Times New Roman" w:cs="Times New Roman"/>
          <w:b/>
          <w:bCs/>
          <w:sz w:val="24"/>
          <w:szCs w:val="24"/>
          <w:highlight w:val="green"/>
        </w:rPr>
        <w:lastRenderedPageBreak/>
        <w:t xml:space="preserve">Table 11. </w:t>
      </w:r>
      <w:r>
        <w:rPr>
          <w:rFonts w:ascii="Times New Roman" w:hAnsi="Times New Roman" w:cs="Times New Roman"/>
          <w:i/>
          <w:iCs/>
          <w:sz w:val="24"/>
          <w:szCs w:val="24"/>
          <w:highlight w:val="green"/>
        </w:rPr>
        <w:t>Internal-consistency indices derived from Table 2 (oxide mass %).</w:t>
      </w:r>
    </w:p>
    <w:tbl>
      <w:tblPr>
        <w:tblStyle w:val="TableGrid"/>
        <w:tblW w:w="9026" w:type="dxa"/>
        <w:tblLayout w:type="fixed"/>
        <w:tblLook w:val="04A0" w:firstRow="1" w:lastRow="0" w:firstColumn="1" w:lastColumn="0" w:noHBand="0" w:noVBand="1"/>
      </w:tblPr>
      <w:tblGrid>
        <w:gridCol w:w="2200"/>
        <w:gridCol w:w="1250"/>
        <w:gridCol w:w="1250"/>
        <w:gridCol w:w="1450"/>
        <w:gridCol w:w="1450"/>
        <w:gridCol w:w="1426"/>
      </w:tblGrid>
      <w:tr w:rsidR="00B06580" w:rsidRPr="003E0CF1" w14:paraId="56EEC8DE" w14:textId="77777777">
        <w:trPr>
          <w:cantSplit/>
          <w:tblHeader/>
        </w:trPr>
        <w:tc>
          <w:tcPr>
            <w:tcW w:w="2200" w:type="dxa"/>
            <w:vAlign w:val="center"/>
          </w:tcPr>
          <w:p w14:paraId="1BA44085"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Material</w:t>
            </w:r>
          </w:p>
        </w:tc>
        <w:tc>
          <w:tcPr>
            <w:tcW w:w="1250" w:type="dxa"/>
            <w:vAlign w:val="center"/>
          </w:tcPr>
          <w:p w14:paraId="074BEB76"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Σ oxides (excl. LOI)</w:t>
            </w:r>
          </w:p>
        </w:tc>
        <w:tc>
          <w:tcPr>
            <w:tcW w:w="1250" w:type="dxa"/>
            <w:vAlign w:val="center"/>
          </w:tcPr>
          <w:p w14:paraId="0694C9BD"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Σ oxides + LOI</w:t>
            </w:r>
          </w:p>
        </w:tc>
        <w:tc>
          <w:tcPr>
            <w:tcW w:w="1450" w:type="dxa"/>
            <w:vAlign w:val="center"/>
          </w:tcPr>
          <w:p w14:paraId="150C1029"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SiO</w:t>
            </w:r>
            <w:r>
              <w:rPr>
                <w:rFonts w:ascii="Times New Roman" w:hAnsi="Times New Roman" w:cs="Times New Roman"/>
                <w:b/>
                <w:bCs/>
                <w:sz w:val="24"/>
                <w:szCs w:val="24"/>
                <w:highlight w:val="green"/>
                <w:vertAlign w:val="subscript"/>
              </w:rPr>
              <w:t>2</w:t>
            </w:r>
            <w:r>
              <w:rPr>
                <w:rFonts w:ascii="Times New Roman" w:hAnsi="Times New Roman" w:cs="Times New Roman"/>
                <w:b/>
                <w:bCs/>
                <w:sz w:val="24"/>
                <w:szCs w:val="24"/>
                <w:highlight w:val="green"/>
              </w:rPr>
              <w:t>+Al</w:t>
            </w:r>
            <w:r>
              <w:rPr>
                <w:rFonts w:ascii="Times New Roman" w:hAnsi="Times New Roman" w:cs="Times New Roman"/>
                <w:b/>
                <w:bCs/>
                <w:sz w:val="24"/>
                <w:szCs w:val="24"/>
                <w:highlight w:val="green"/>
                <w:vertAlign w:val="subscript"/>
              </w:rPr>
              <w:t>2</w:t>
            </w:r>
            <w:r>
              <w:rPr>
                <w:rFonts w:ascii="Times New Roman" w:hAnsi="Times New Roman" w:cs="Times New Roman"/>
                <w:b/>
                <w:bCs/>
                <w:sz w:val="24"/>
                <w:szCs w:val="24"/>
                <w:highlight w:val="green"/>
              </w:rPr>
              <w:t>O</w:t>
            </w:r>
            <w:r>
              <w:rPr>
                <w:rFonts w:ascii="Times New Roman" w:hAnsi="Times New Roman" w:cs="Times New Roman"/>
                <w:b/>
                <w:bCs/>
                <w:sz w:val="24"/>
                <w:szCs w:val="24"/>
                <w:highlight w:val="green"/>
                <w:vertAlign w:val="subscript"/>
              </w:rPr>
              <w:t>3</w:t>
            </w:r>
            <w:r>
              <w:rPr>
                <w:rFonts w:ascii="Times New Roman" w:hAnsi="Times New Roman" w:cs="Times New Roman"/>
                <w:b/>
                <w:bCs/>
                <w:sz w:val="24"/>
                <w:szCs w:val="24"/>
                <w:highlight w:val="green"/>
              </w:rPr>
              <w:t>+Fe</w:t>
            </w:r>
            <w:r>
              <w:rPr>
                <w:rFonts w:ascii="Times New Roman" w:hAnsi="Times New Roman" w:cs="Times New Roman"/>
                <w:b/>
                <w:bCs/>
                <w:sz w:val="24"/>
                <w:szCs w:val="24"/>
                <w:highlight w:val="green"/>
                <w:vertAlign w:val="subscript"/>
              </w:rPr>
              <w:t>2</w:t>
            </w:r>
            <w:r>
              <w:rPr>
                <w:rFonts w:ascii="Times New Roman" w:hAnsi="Times New Roman" w:cs="Times New Roman"/>
                <w:b/>
                <w:bCs/>
                <w:sz w:val="24"/>
                <w:szCs w:val="24"/>
                <w:highlight w:val="green"/>
              </w:rPr>
              <w:t>O</w:t>
            </w:r>
            <w:r>
              <w:rPr>
                <w:rFonts w:ascii="Times New Roman" w:hAnsi="Times New Roman" w:cs="Times New Roman"/>
                <w:b/>
                <w:bCs/>
                <w:sz w:val="24"/>
                <w:szCs w:val="24"/>
                <w:highlight w:val="green"/>
                <w:vertAlign w:val="subscript"/>
              </w:rPr>
              <w:t>3</w:t>
            </w:r>
          </w:p>
        </w:tc>
        <w:tc>
          <w:tcPr>
            <w:tcW w:w="1450" w:type="dxa"/>
            <w:vAlign w:val="center"/>
          </w:tcPr>
          <w:p w14:paraId="0AD4A6BA"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SiO</w:t>
            </w:r>
            <w:r>
              <w:rPr>
                <w:rFonts w:ascii="Times New Roman" w:hAnsi="Times New Roman" w:cs="Times New Roman"/>
                <w:b/>
                <w:bCs/>
                <w:sz w:val="24"/>
                <w:szCs w:val="24"/>
                <w:highlight w:val="green"/>
                <w:vertAlign w:val="subscript"/>
              </w:rPr>
              <w:t>2</w:t>
            </w:r>
            <w:r>
              <w:rPr>
                <w:rFonts w:ascii="Times New Roman" w:hAnsi="Times New Roman" w:cs="Times New Roman"/>
                <w:b/>
                <w:bCs/>
                <w:sz w:val="24"/>
                <w:szCs w:val="24"/>
                <w:highlight w:val="green"/>
              </w:rPr>
              <w:t>/Al</w:t>
            </w:r>
            <w:r>
              <w:rPr>
                <w:rFonts w:ascii="Times New Roman" w:hAnsi="Times New Roman" w:cs="Times New Roman"/>
                <w:b/>
                <w:bCs/>
                <w:sz w:val="24"/>
                <w:szCs w:val="24"/>
                <w:highlight w:val="green"/>
                <w:vertAlign w:val="subscript"/>
              </w:rPr>
              <w:t>2</w:t>
            </w:r>
            <w:r>
              <w:rPr>
                <w:rFonts w:ascii="Times New Roman" w:hAnsi="Times New Roman" w:cs="Times New Roman"/>
                <w:b/>
                <w:bCs/>
                <w:sz w:val="24"/>
                <w:szCs w:val="24"/>
                <w:highlight w:val="green"/>
              </w:rPr>
              <w:t>O</w:t>
            </w:r>
            <w:r>
              <w:rPr>
                <w:rFonts w:ascii="Times New Roman" w:hAnsi="Times New Roman" w:cs="Times New Roman"/>
                <w:b/>
                <w:bCs/>
                <w:sz w:val="24"/>
                <w:szCs w:val="24"/>
                <w:highlight w:val="green"/>
                <w:vertAlign w:val="subscript"/>
              </w:rPr>
              <w:t>3</w:t>
            </w:r>
            <w:r>
              <w:rPr>
                <w:rFonts w:ascii="Times New Roman" w:hAnsi="Times New Roman" w:cs="Times New Roman"/>
                <w:b/>
                <w:bCs/>
                <w:sz w:val="24"/>
                <w:szCs w:val="24"/>
                <w:highlight w:val="green"/>
              </w:rPr>
              <w:t xml:space="preserve"> (molar)</w:t>
            </w:r>
          </w:p>
        </w:tc>
        <w:tc>
          <w:tcPr>
            <w:tcW w:w="1426" w:type="dxa"/>
            <w:vAlign w:val="center"/>
          </w:tcPr>
          <w:p w14:paraId="1B0CD908"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CaO/SiO</w:t>
            </w:r>
            <w:r>
              <w:rPr>
                <w:rFonts w:ascii="Times New Roman" w:hAnsi="Times New Roman" w:cs="Times New Roman"/>
                <w:b/>
                <w:bCs/>
                <w:sz w:val="24"/>
                <w:szCs w:val="24"/>
                <w:highlight w:val="green"/>
                <w:vertAlign w:val="subscript"/>
              </w:rPr>
              <w:t>2</w:t>
            </w:r>
            <w:r>
              <w:rPr>
                <w:rFonts w:ascii="Times New Roman" w:hAnsi="Times New Roman" w:cs="Times New Roman"/>
                <w:b/>
                <w:bCs/>
                <w:sz w:val="24"/>
                <w:szCs w:val="24"/>
                <w:highlight w:val="green"/>
              </w:rPr>
              <w:t xml:space="preserve"> (mass)</w:t>
            </w:r>
          </w:p>
        </w:tc>
      </w:tr>
      <w:tr w:rsidR="00B06580" w:rsidRPr="003E0CF1" w14:paraId="515E609A" w14:textId="77777777">
        <w:trPr>
          <w:cantSplit/>
        </w:trPr>
        <w:tc>
          <w:tcPr>
            <w:tcW w:w="2200" w:type="dxa"/>
            <w:vAlign w:val="center"/>
          </w:tcPr>
          <w:p w14:paraId="219CD8FF"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Ancient temple mortar (ATM)</w:t>
            </w:r>
          </w:p>
        </w:tc>
        <w:tc>
          <w:tcPr>
            <w:tcW w:w="1250" w:type="dxa"/>
            <w:vAlign w:val="center"/>
          </w:tcPr>
          <w:p w14:paraId="193D7B24"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97.59</w:t>
            </w:r>
          </w:p>
        </w:tc>
        <w:tc>
          <w:tcPr>
            <w:tcW w:w="1250" w:type="dxa"/>
            <w:vAlign w:val="center"/>
          </w:tcPr>
          <w:p w14:paraId="66A9D903"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100.00</w:t>
            </w:r>
          </w:p>
        </w:tc>
        <w:tc>
          <w:tcPr>
            <w:tcW w:w="1450" w:type="dxa"/>
            <w:vAlign w:val="center"/>
          </w:tcPr>
          <w:p w14:paraId="1CF72621"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71.60</w:t>
            </w:r>
          </w:p>
        </w:tc>
        <w:tc>
          <w:tcPr>
            <w:tcW w:w="1450" w:type="dxa"/>
            <w:vAlign w:val="center"/>
          </w:tcPr>
          <w:p w14:paraId="507E71E4"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7.69</w:t>
            </w:r>
          </w:p>
        </w:tc>
        <w:tc>
          <w:tcPr>
            <w:tcW w:w="1426" w:type="dxa"/>
            <w:vAlign w:val="center"/>
          </w:tcPr>
          <w:p w14:paraId="1DE4109F"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0.339</w:t>
            </w:r>
          </w:p>
        </w:tc>
      </w:tr>
      <w:tr w:rsidR="00B06580" w:rsidRPr="003E0CF1" w14:paraId="32C79416" w14:textId="77777777">
        <w:trPr>
          <w:cantSplit/>
        </w:trPr>
        <w:tc>
          <w:tcPr>
            <w:tcW w:w="2200" w:type="dxa"/>
            <w:vAlign w:val="center"/>
          </w:tcPr>
          <w:p w14:paraId="2CACE0AB"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Granite waste powder (GWP)</w:t>
            </w:r>
          </w:p>
        </w:tc>
        <w:tc>
          <w:tcPr>
            <w:tcW w:w="1250" w:type="dxa"/>
            <w:vAlign w:val="center"/>
          </w:tcPr>
          <w:p w14:paraId="7F33C919"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99.37</w:t>
            </w:r>
          </w:p>
        </w:tc>
        <w:tc>
          <w:tcPr>
            <w:tcW w:w="1250" w:type="dxa"/>
            <w:vAlign w:val="center"/>
          </w:tcPr>
          <w:p w14:paraId="00B6C124"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100.00</w:t>
            </w:r>
          </w:p>
        </w:tc>
        <w:tc>
          <w:tcPr>
            <w:tcW w:w="1450" w:type="dxa"/>
            <w:vAlign w:val="center"/>
          </w:tcPr>
          <w:p w14:paraId="7E1C3BB2"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88.55</w:t>
            </w:r>
          </w:p>
        </w:tc>
        <w:tc>
          <w:tcPr>
            <w:tcW w:w="1450" w:type="dxa"/>
            <w:vAlign w:val="center"/>
          </w:tcPr>
          <w:p w14:paraId="1C2B0FA8"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8.66</w:t>
            </w:r>
          </w:p>
        </w:tc>
        <w:tc>
          <w:tcPr>
            <w:tcW w:w="1426" w:type="dxa"/>
            <w:vAlign w:val="center"/>
          </w:tcPr>
          <w:p w14:paraId="3B0465F1"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0.032</w:t>
            </w:r>
          </w:p>
        </w:tc>
      </w:tr>
      <w:tr w:rsidR="00B06580" w:rsidRPr="003E0CF1" w14:paraId="64FC1BA6" w14:textId="77777777">
        <w:trPr>
          <w:cantSplit/>
        </w:trPr>
        <w:tc>
          <w:tcPr>
            <w:tcW w:w="2200" w:type="dxa"/>
            <w:vAlign w:val="center"/>
          </w:tcPr>
          <w:p w14:paraId="2D88D90C"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Metakaolin (MK)</w:t>
            </w:r>
          </w:p>
        </w:tc>
        <w:tc>
          <w:tcPr>
            <w:tcW w:w="1250" w:type="dxa"/>
            <w:vAlign w:val="center"/>
          </w:tcPr>
          <w:p w14:paraId="75FB7F04"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cyan"/>
              </w:rPr>
              <w:t>98.81</w:t>
            </w:r>
          </w:p>
        </w:tc>
        <w:tc>
          <w:tcPr>
            <w:tcW w:w="1250" w:type="dxa"/>
            <w:vAlign w:val="center"/>
          </w:tcPr>
          <w:p w14:paraId="4C44BE9A"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cyan"/>
              </w:rPr>
              <w:t>100.00</w:t>
            </w:r>
          </w:p>
        </w:tc>
        <w:tc>
          <w:tcPr>
            <w:tcW w:w="1450" w:type="dxa"/>
            <w:vAlign w:val="center"/>
          </w:tcPr>
          <w:p w14:paraId="0451076B"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cyan"/>
              </w:rPr>
              <w:t>95.80</w:t>
            </w:r>
          </w:p>
        </w:tc>
        <w:tc>
          <w:tcPr>
            <w:tcW w:w="1450" w:type="dxa"/>
            <w:vAlign w:val="center"/>
          </w:tcPr>
          <w:p w14:paraId="339655CF"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cyan"/>
              </w:rPr>
              <w:t>2.01</w:t>
            </w:r>
          </w:p>
        </w:tc>
        <w:tc>
          <w:tcPr>
            <w:tcW w:w="1426" w:type="dxa"/>
            <w:vAlign w:val="center"/>
          </w:tcPr>
          <w:p w14:paraId="2966BA0C"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cyan"/>
              </w:rPr>
              <w:t>0.009</w:t>
            </w:r>
          </w:p>
        </w:tc>
      </w:tr>
    </w:tbl>
    <w:p w14:paraId="36BD9F79"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 xml:space="preserve"> </w:t>
      </w:r>
    </w:p>
    <w:p w14:paraId="239BBB94"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 xml:space="preserve">Table 12 lists binder-fraction indices </w:t>
      </w:r>
      <w:r>
        <w:rPr>
          <w:rFonts w:ascii="Times New Roman" w:hAnsi="Times New Roman" w:cs="Times New Roman"/>
          <w:sz w:val="24"/>
          <w:szCs w:val="24"/>
          <w:highlight w:val="cyan"/>
        </w:rPr>
        <w:t>per 100 g of solids, derived from Table 1 with lime taken as pure calcium hydroxide.</w:t>
      </w:r>
      <w:r>
        <w:rPr>
          <w:rFonts w:ascii="Times New Roman" w:hAnsi="Times New Roman" w:cs="Times New Roman"/>
          <w:sz w:val="24"/>
          <w:szCs w:val="24"/>
          <w:highlight w:val="green"/>
        </w:rPr>
        <w:t xml:space="preserve"> The listed solids of every mixture total 100.0%, consistent with the mass-balance statement for AT5 and AT6 in Section 3.2. The </w:t>
      </w:r>
      <w:proofErr w:type="spellStart"/>
      <w:r>
        <w:rPr>
          <w:rFonts w:ascii="Times New Roman" w:hAnsi="Times New Roman" w:cs="Times New Roman"/>
          <w:sz w:val="24"/>
          <w:szCs w:val="24"/>
          <w:highlight w:val="green"/>
        </w:rPr>
        <w:t>lime:metakaolin</w:t>
      </w:r>
      <w:proofErr w:type="spellEnd"/>
      <w:r>
        <w:rPr>
          <w:rFonts w:ascii="Times New Roman" w:hAnsi="Times New Roman" w:cs="Times New Roman"/>
          <w:sz w:val="24"/>
          <w:szCs w:val="24"/>
          <w:highlight w:val="green"/>
        </w:rPr>
        <w:t xml:space="preserve"> ratio is 2.0 for AT1–AT4 and 1.67 for AT5–AT6, and the estimated Ca/(</w:t>
      </w:r>
      <w:proofErr w:type="spellStart"/>
      <w:r>
        <w:rPr>
          <w:rFonts w:ascii="Times New Roman" w:hAnsi="Times New Roman" w:cs="Times New Roman"/>
          <w:sz w:val="24"/>
          <w:szCs w:val="24"/>
          <w:highlight w:val="green"/>
        </w:rPr>
        <w:t>Si+Al</w:t>
      </w:r>
      <w:proofErr w:type="spellEnd"/>
      <w:r>
        <w:rPr>
          <w:rFonts w:ascii="Times New Roman" w:hAnsi="Times New Roman" w:cs="Times New Roman"/>
          <w:sz w:val="24"/>
          <w:szCs w:val="24"/>
          <w:highlight w:val="green"/>
        </w:rPr>
        <w:t xml:space="preserve">) index of Eq. (3) falls from </w:t>
      </w:r>
      <w:r>
        <w:rPr>
          <w:rFonts w:ascii="Times New Roman" w:hAnsi="Times New Roman" w:cs="Times New Roman"/>
          <w:sz w:val="24"/>
          <w:szCs w:val="24"/>
          <w:highlight w:val="cyan"/>
        </w:rPr>
        <w:t>1.58 to 1.31</w:t>
      </w:r>
      <w:r>
        <w:rPr>
          <w:rFonts w:ascii="Times New Roman" w:hAnsi="Times New Roman" w:cs="Times New Roman"/>
          <w:sz w:val="24"/>
          <w:szCs w:val="24"/>
          <w:highlight w:val="green"/>
        </w:rPr>
        <w:t xml:space="preserve">. Because AT5–AT6 differ from AT1–AT4 simultaneously in binder content (30% to 40%), granite-waste share, </w:t>
      </w:r>
      <w:proofErr w:type="spellStart"/>
      <w:r>
        <w:rPr>
          <w:rFonts w:ascii="Times New Roman" w:hAnsi="Times New Roman" w:cs="Times New Roman"/>
          <w:sz w:val="24"/>
          <w:szCs w:val="24"/>
          <w:highlight w:val="green"/>
        </w:rPr>
        <w:t>lime:metakaolin</w:t>
      </w:r>
      <w:proofErr w:type="spellEnd"/>
      <w:r>
        <w:rPr>
          <w:rFonts w:ascii="Times New Roman" w:hAnsi="Times New Roman" w:cs="Times New Roman"/>
          <w:sz w:val="24"/>
          <w:szCs w:val="24"/>
          <w:highlight w:val="green"/>
        </w:rPr>
        <w:t xml:space="preserve"> ratio and w/b, their difference cannot be assigned to any one of these variables.</w:t>
      </w:r>
    </w:p>
    <w:p w14:paraId="2877CF58" w14:textId="77777777" w:rsidR="00B06580" w:rsidRPr="003E0CF1" w:rsidRDefault="00000000" w:rsidP="00F9519E">
      <w:pPr>
        <w:keepNext/>
        <w:jc w:val="both"/>
        <w:rPr>
          <w:rFonts w:ascii="Times New Roman" w:hAnsi="Times New Roman" w:cs="Times New Roman"/>
          <w:sz w:val="24"/>
          <w:szCs w:val="24"/>
        </w:rPr>
      </w:pPr>
      <w:r>
        <w:rPr>
          <w:rFonts w:ascii="Times New Roman" w:hAnsi="Times New Roman" w:cs="Times New Roman"/>
          <w:b/>
          <w:bCs/>
          <w:sz w:val="24"/>
          <w:szCs w:val="24"/>
          <w:highlight w:val="cyan"/>
        </w:rPr>
        <w:t xml:space="preserve">Table 12. </w:t>
      </w:r>
      <w:r>
        <w:rPr>
          <w:rFonts w:ascii="Times New Roman" w:hAnsi="Times New Roman" w:cs="Times New Roman"/>
          <w:i/>
          <w:iCs/>
          <w:sz w:val="24"/>
          <w:szCs w:val="24"/>
          <w:highlight w:val="cyan"/>
        </w:rPr>
        <w:t>Binder-fraction indices derived from Table 1.</w:t>
      </w:r>
    </w:p>
    <w:tbl>
      <w:tblPr>
        <w:tblStyle w:val="TableGrid"/>
        <w:tblW w:w="9026" w:type="dxa"/>
        <w:tblLayout w:type="fixed"/>
        <w:tblLook w:val="04A0" w:firstRow="1" w:lastRow="0" w:firstColumn="1" w:lastColumn="0" w:noHBand="0" w:noVBand="1"/>
      </w:tblPr>
      <w:tblGrid>
        <w:gridCol w:w="1500"/>
        <w:gridCol w:w="1400"/>
        <w:gridCol w:w="1300"/>
        <w:gridCol w:w="1800"/>
        <w:gridCol w:w="1700"/>
        <w:gridCol w:w="1326"/>
      </w:tblGrid>
      <w:tr w:rsidR="00B06580" w:rsidRPr="003E0CF1" w14:paraId="2D4B496A" w14:textId="77777777">
        <w:trPr>
          <w:cantSplit/>
          <w:tblHeader/>
        </w:trPr>
        <w:tc>
          <w:tcPr>
            <w:tcW w:w="1500" w:type="dxa"/>
            <w:vAlign w:val="center"/>
          </w:tcPr>
          <w:p w14:paraId="175A2DC0"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Mix</w:t>
            </w:r>
          </w:p>
        </w:tc>
        <w:tc>
          <w:tcPr>
            <w:tcW w:w="1400" w:type="dxa"/>
            <w:vAlign w:val="center"/>
          </w:tcPr>
          <w:p w14:paraId="7999DCDD"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Lime + MK (%)</w:t>
            </w:r>
          </w:p>
        </w:tc>
        <w:tc>
          <w:tcPr>
            <w:tcW w:w="1300" w:type="dxa"/>
            <w:vAlign w:val="center"/>
          </w:tcPr>
          <w:p w14:paraId="1EBAFA61"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Lime : MK</w:t>
            </w:r>
          </w:p>
        </w:tc>
        <w:tc>
          <w:tcPr>
            <w:tcW w:w="1800" w:type="dxa"/>
            <w:vAlign w:val="center"/>
          </w:tcPr>
          <w:p w14:paraId="06242AE4"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Granite waste : (Lime + MK)</w:t>
            </w:r>
          </w:p>
        </w:tc>
        <w:tc>
          <w:tcPr>
            <w:tcW w:w="1700" w:type="dxa"/>
            <w:vAlign w:val="center"/>
          </w:tcPr>
          <w:p w14:paraId="348E2387"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Ca/(</w:t>
            </w:r>
            <w:proofErr w:type="spellStart"/>
            <w:r>
              <w:rPr>
                <w:rFonts w:ascii="Times New Roman" w:hAnsi="Times New Roman" w:cs="Times New Roman"/>
                <w:b/>
                <w:bCs/>
                <w:sz w:val="24"/>
                <w:szCs w:val="24"/>
                <w:highlight w:val="green"/>
              </w:rPr>
              <w:t>Si+Al</w:t>
            </w:r>
            <w:proofErr w:type="spellEnd"/>
            <w:r>
              <w:rPr>
                <w:rFonts w:ascii="Times New Roman" w:hAnsi="Times New Roman" w:cs="Times New Roman"/>
                <w:b/>
                <w:bCs/>
                <w:sz w:val="24"/>
                <w:szCs w:val="24"/>
                <w:highlight w:val="green"/>
              </w:rPr>
              <w:t>) molar, Eq. (3)</w:t>
            </w:r>
          </w:p>
        </w:tc>
        <w:tc>
          <w:tcPr>
            <w:tcW w:w="1326" w:type="dxa"/>
            <w:vAlign w:val="center"/>
          </w:tcPr>
          <w:p w14:paraId="4BF5BC72"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Σ listed solids (%)</w:t>
            </w:r>
          </w:p>
        </w:tc>
      </w:tr>
      <w:tr w:rsidR="00B06580" w:rsidRPr="003E0CF1" w14:paraId="3C77C334" w14:textId="77777777">
        <w:trPr>
          <w:cantSplit/>
        </w:trPr>
        <w:tc>
          <w:tcPr>
            <w:tcW w:w="1500" w:type="dxa"/>
            <w:vAlign w:val="center"/>
          </w:tcPr>
          <w:p w14:paraId="3C4C45D8"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C0 (OPC)</w:t>
            </w:r>
          </w:p>
        </w:tc>
        <w:tc>
          <w:tcPr>
            <w:tcW w:w="1400" w:type="dxa"/>
            <w:vAlign w:val="center"/>
          </w:tcPr>
          <w:p w14:paraId="55203D3E"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w:t>
            </w:r>
          </w:p>
        </w:tc>
        <w:tc>
          <w:tcPr>
            <w:tcW w:w="1300" w:type="dxa"/>
            <w:vAlign w:val="center"/>
          </w:tcPr>
          <w:p w14:paraId="50DA6231"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w:t>
            </w:r>
          </w:p>
        </w:tc>
        <w:tc>
          <w:tcPr>
            <w:tcW w:w="1800" w:type="dxa"/>
            <w:vAlign w:val="center"/>
          </w:tcPr>
          <w:p w14:paraId="64F5D681"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w:t>
            </w:r>
          </w:p>
        </w:tc>
        <w:tc>
          <w:tcPr>
            <w:tcW w:w="1700" w:type="dxa"/>
            <w:vAlign w:val="center"/>
          </w:tcPr>
          <w:p w14:paraId="4632F17F"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w:t>
            </w:r>
          </w:p>
        </w:tc>
        <w:tc>
          <w:tcPr>
            <w:tcW w:w="1326" w:type="dxa"/>
            <w:vAlign w:val="center"/>
          </w:tcPr>
          <w:p w14:paraId="2B677ECA"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100.0</w:t>
            </w:r>
          </w:p>
        </w:tc>
      </w:tr>
      <w:tr w:rsidR="00B06580" w:rsidRPr="003E0CF1" w14:paraId="5D7C50E2" w14:textId="77777777">
        <w:trPr>
          <w:cantSplit/>
        </w:trPr>
        <w:tc>
          <w:tcPr>
            <w:tcW w:w="1500" w:type="dxa"/>
            <w:vAlign w:val="center"/>
          </w:tcPr>
          <w:p w14:paraId="59888817"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AT1</w:t>
            </w:r>
          </w:p>
        </w:tc>
        <w:tc>
          <w:tcPr>
            <w:tcW w:w="1400" w:type="dxa"/>
            <w:vAlign w:val="center"/>
          </w:tcPr>
          <w:p w14:paraId="65D9D144"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30</w:t>
            </w:r>
          </w:p>
        </w:tc>
        <w:tc>
          <w:tcPr>
            <w:tcW w:w="1300" w:type="dxa"/>
            <w:vAlign w:val="center"/>
          </w:tcPr>
          <w:p w14:paraId="703E01A8"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2.00</w:t>
            </w:r>
          </w:p>
        </w:tc>
        <w:tc>
          <w:tcPr>
            <w:tcW w:w="1800" w:type="dxa"/>
            <w:vAlign w:val="center"/>
          </w:tcPr>
          <w:p w14:paraId="15D26FB6"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0.67</w:t>
            </w:r>
          </w:p>
        </w:tc>
        <w:tc>
          <w:tcPr>
            <w:tcW w:w="1700" w:type="dxa"/>
            <w:vAlign w:val="center"/>
          </w:tcPr>
          <w:p w14:paraId="45145F53"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cyan"/>
              </w:rPr>
              <w:t>1.58</w:t>
            </w:r>
          </w:p>
        </w:tc>
        <w:tc>
          <w:tcPr>
            <w:tcW w:w="1326" w:type="dxa"/>
            <w:vAlign w:val="center"/>
          </w:tcPr>
          <w:p w14:paraId="3999D48F"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100.0</w:t>
            </w:r>
          </w:p>
        </w:tc>
      </w:tr>
      <w:tr w:rsidR="00B06580" w:rsidRPr="003E0CF1" w14:paraId="0FAFA9C0" w14:textId="77777777">
        <w:trPr>
          <w:cantSplit/>
        </w:trPr>
        <w:tc>
          <w:tcPr>
            <w:tcW w:w="1500" w:type="dxa"/>
            <w:vAlign w:val="center"/>
          </w:tcPr>
          <w:p w14:paraId="0537CD44"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AT2</w:t>
            </w:r>
          </w:p>
        </w:tc>
        <w:tc>
          <w:tcPr>
            <w:tcW w:w="1400" w:type="dxa"/>
            <w:vAlign w:val="center"/>
          </w:tcPr>
          <w:p w14:paraId="48CA510A"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30</w:t>
            </w:r>
          </w:p>
        </w:tc>
        <w:tc>
          <w:tcPr>
            <w:tcW w:w="1300" w:type="dxa"/>
            <w:vAlign w:val="center"/>
          </w:tcPr>
          <w:p w14:paraId="1493D456"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2.00</w:t>
            </w:r>
          </w:p>
        </w:tc>
        <w:tc>
          <w:tcPr>
            <w:tcW w:w="1800" w:type="dxa"/>
            <w:vAlign w:val="center"/>
          </w:tcPr>
          <w:p w14:paraId="0645A9B5"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0.67</w:t>
            </w:r>
          </w:p>
        </w:tc>
        <w:tc>
          <w:tcPr>
            <w:tcW w:w="1700" w:type="dxa"/>
            <w:vAlign w:val="center"/>
          </w:tcPr>
          <w:p w14:paraId="398C3CA7"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cyan"/>
              </w:rPr>
              <w:t>1.58</w:t>
            </w:r>
          </w:p>
        </w:tc>
        <w:tc>
          <w:tcPr>
            <w:tcW w:w="1326" w:type="dxa"/>
            <w:vAlign w:val="center"/>
          </w:tcPr>
          <w:p w14:paraId="53FF9979"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100.0</w:t>
            </w:r>
          </w:p>
        </w:tc>
      </w:tr>
      <w:tr w:rsidR="00B06580" w:rsidRPr="003E0CF1" w14:paraId="0891D8B5" w14:textId="77777777">
        <w:trPr>
          <w:cantSplit/>
        </w:trPr>
        <w:tc>
          <w:tcPr>
            <w:tcW w:w="1500" w:type="dxa"/>
            <w:vAlign w:val="center"/>
          </w:tcPr>
          <w:p w14:paraId="610FE8B7"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AT3</w:t>
            </w:r>
          </w:p>
        </w:tc>
        <w:tc>
          <w:tcPr>
            <w:tcW w:w="1400" w:type="dxa"/>
            <w:vAlign w:val="center"/>
          </w:tcPr>
          <w:p w14:paraId="3A5F96A3"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30</w:t>
            </w:r>
          </w:p>
        </w:tc>
        <w:tc>
          <w:tcPr>
            <w:tcW w:w="1300" w:type="dxa"/>
            <w:vAlign w:val="center"/>
          </w:tcPr>
          <w:p w14:paraId="0022C31C"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2.00</w:t>
            </w:r>
          </w:p>
        </w:tc>
        <w:tc>
          <w:tcPr>
            <w:tcW w:w="1800" w:type="dxa"/>
            <w:vAlign w:val="center"/>
          </w:tcPr>
          <w:p w14:paraId="50A3BF1F"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0.67</w:t>
            </w:r>
          </w:p>
        </w:tc>
        <w:tc>
          <w:tcPr>
            <w:tcW w:w="1700" w:type="dxa"/>
            <w:vAlign w:val="center"/>
          </w:tcPr>
          <w:p w14:paraId="34E7D9B6"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cyan"/>
              </w:rPr>
              <w:t>1.58</w:t>
            </w:r>
          </w:p>
        </w:tc>
        <w:tc>
          <w:tcPr>
            <w:tcW w:w="1326" w:type="dxa"/>
            <w:vAlign w:val="center"/>
          </w:tcPr>
          <w:p w14:paraId="3D97EDFD"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100.0</w:t>
            </w:r>
          </w:p>
        </w:tc>
      </w:tr>
      <w:tr w:rsidR="00B06580" w:rsidRPr="003E0CF1" w14:paraId="6250AFC9" w14:textId="77777777">
        <w:trPr>
          <w:cantSplit/>
        </w:trPr>
        <w:tc>
          <w:tcPr>
            <w:tcW w:w="1500" w:type="dxa"/>
            <w:vAlign w:val="center"/>
          </w:tcPr>
          <w:p w14:paraId="5E334A67"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AT4</w:t>
            </w:r>
          </w:p>
        </w:tc>
        <w:tc>
          <w:tcPr>
            <w:tcW w:w="1400" w:type="dxa"/>
            <w:vAlign w:val="center"/>
          </w:tcPr>
          <w:p w14:paraId="70BA4986"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30</w:t>
            </w:r>
          </w:p>
        </w:tc>
        <w:tc>
          <w:tcPr>
            <w:tcW w:w="1300" w:type="dxa"/>
            <w:vAlign w:val="center"/>
          </w:tcPr>
          <w:p w14:paraId="35A3A067"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2.00</w:t>
            </w:r>
          </w:p>
        </w:tc>
        <w:tc>
          <w:tcPr>
            <w:tcW w:w="1800" w:type="dxa"/>
            <w:vAlign w:val="center"/>
          </w:tcPr>
          <w:p w14:paraId="614D59AC"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0.67</w:t>
            </w:r>
          </w:p>
        </w:tc>
        <w:tc>
          <w:tcPr>
            <w:tcW w:w="1700" w:type="dxa"/>
            <w:vAlign w:val="center"/>
          </w:tcPr>
          <w:p w14:paraId="6F75F58C"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cyan"/>
              </w:rPr>
              <w:t>1.58</w:t>
            </w:r>
          </w:p>
        </w:tc>
        <w:tc>
          <w:tcPr>
            <w:tcW w:w="1326" w:type="dxa"/>
            <w:vAlign w:val="center"/>
          </w:tcPr>
          <w:p w14:paraId="1B59E270"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100.0</w:t>
            </w:r>
          </w:p>
        </w:tc>
      </w:tr>
      <w:tr w:rsidR="00B06580" w:rsidRPr="003E0CF1" w14:paraId="5ED4788D" w14:textId="77777777">
        <w:trPr>
          <w:cantSplit/>
        </w:trPr>
        <w:tc>
          <w:tcPr>
            <w:tcW w:w="1500" w:type="dxa"/>
            <w:vAlign w:val="center"/>
          </w:tcPr>
          <w:p w14:paraId="4C74AEB3"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AT5</w:t>
            </w:r>
          </w:p>
        </w:tc>
        <w:tc>
          <w:tcPr>
            <w:tcW w:w="1400" w:type="dxa"/>
            <w:vAlign w:val="center"/>
          </w:tcPr>
          <w:p w14:paraId="335EEC75"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40</w:t>
            </w:r>
          </w:p>
        </w:tc>
        <w:tc>
          <w:tcPr>
            <w:tcW w:w="1300" w:type="dxa"/>
            <w:vAlign w:val="center"/>
          </w:tcPr>
          <w:p w14:paraId="5BA21FC4"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1.67</w:t>
            </w:r>
          </w:p>
        </w:tc>
        <w:tc>
          <w:tcPr>
            <w:tcW w:w="1800" w:type="dxa"/>
            <w:vAlign w:val="center"/>
          </w:tcPr>
          <w:p w14:paraId="75A9852E"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0.63</w:t>
            </w:r>
          </w:p>
        </w:tc>
        <w:tc>
          <w:tcPr>
            <w:tcW w:w="1700" w:type="dxa"/>
            <w:vAlign w:val="center"/>
          </w:tcPr>
          <w:p w14:paraId="036733E5"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cyan"/>
              </w:rPr>
              <w:t>1.31</w:t>
            </w:r>
          </w:p>
        </w:tc>
        <w:tc>
          <w:tcPr>
            <w:tcW w:w="1326" w:type="dxa"/>
            <w:vAlign w:val="center"/>
          </w:tcPr>
          <w:p w14:paraId="293E872C"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100.0</w:t>
            </w:r>
          </w:p>
        </w:tc>
      </w:tr>
      <w:tr w:rsidR="00B06580" w:rsidRPr="003E0CF1" w14:paraId="31E60719" w14:textId="77777777">
        <w:trPr>
          <w:cantSplit/>
        </w:trPr>
        <w:tc>
          <w:tcPr>
            <w:tcW w:w="1500" w:type="dxa"/>
            <w:vAlign w:val="center"/>
          </w:tcPr>
          <w:p w14:paraId="1821A3B3"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AT6</w:t>
            </w:r>
          </w:p>
        </w:tc>
        <w:tc>
          <w:tcPr>
            <w:tcW w:w="1400" w:type="dxa"/>
            <w:vAlign w:val="center"/>
          </w:tcPr>
          <w:p w14:paraId="5D91C1C6"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40</w:t>
            </w:r>
          </w:p>
        </w:tc>
        <w:tc>
          <w:tcPr>
            <w:tcW w:w="1300" w:type="dxa"/>
            <w:vAlign w:val="center"/>
          </w:tcPr>
          <w:p w14:paraId="3BC3A82A"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1.67</w:t>
            </w:r>
          </w:p>
        </w:tc>
        <w:tc>
          <w:tcPr>
            <w:tcW w:w="1800" w:type="dxa"/>
            <w:vAlign w:val="center"/>
          </w:tcPr>
          <w:p w14:paraId="5C1727ED"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0.63</w:t>
            </w:r>
          </w:p>
        </w:tc>
        <w:tc>
          <w:tcPr>
            <w:tcW w:w="1700" w:type="dxa"/>
            <w:vAlign w:val="center"/>
          </w:tcPr>
          <w:p w14:paraId="7F6392AC"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cyan"/>
              </w:rPr>
              <w:t>1.31</w:t>
            </w:r>
          </w:p>
        </w:tc>
        <w:tc>
          <w:tcPr>
            <w:tcW w:w="1326" w:type="dxa"/>
            <w:vAlign w:val="center"/>
          </w:tcPr>
          <w:p w14:paraId="29FEE00C"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100.0</w:t>
            </w:r>
          </w:p>
        </w:tc>
      </w:tr>
    </w:tbl>
    <w:p w14:paraId="60AB22A5"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 xml:space="preserve"> </w:t>
      </w:r>
    </w:p>
    <w:p w14:paraId="205D089B" w14:textId="77777777" w:rsidR="00B06580" w:rsidRPr="003E0CF1" w:rsidRDefault="00000000" w:rsidP="00F9519E">
      <w:pPr>
        <w:keepNext/>
        <w:jc w:val="both"/>
        <w:rPr>
          <w:rFonts w:ascii="Times New Roman" w:hAnsi="Times New Roman" w:cs="Times New Roman"/>
          <w:sz w:val="24"/>
          <w:szCs w:val="24"/>
        </w:rPr>
      </w:pPr>
      <w:r>
        <w:rPr>
          <w:rFonts w:ascii="Times New Roman" w:hAnsi="Times New Roman" w:cs="Times New Roman"/>
          <w:b/>
          <w:bCs/>
          <w:i/>
          <w:iCs/>
          <w:sz w:val="24"/>
          <w:szCs w:val="24"/>
          <w:highlight w:val="green"/>
        </w:rPr>
        <w:t>4.13.2 Change of all mixtures relative to the control</w:t>
      </w:r>
    </w:p>
    <w:p w14:paraId="2C1FF508"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 xml:space="preserve">Table 13 and Figure 20 extend the AT6-only comparison of Figure 17 </w:t>
      </w:r>
      <w:r>
        <w:rPr>
          <w:rFonts w:ascii="Times New Roman" w:hAnsi="Times New Roman" w:cs="Times New Roman"/>
          <w:sz w:val="24"/>
          <w:szCs w:val="24"/>
          <w:highlight w:val="cyan"/>
        </w:rPr>
        <w:t>to all six AT-MMC mixtures; the percentage changes follow Eq. (14) and are calculated from the reported 28-day values of Tables 3–6.</w:t>
      </w:r>
      <w:r>
        <w:rPr>
          <w:rFonts w:ascii="Times New Roman" w:hAnsi="Times New Roman" w:cs="Times New Roman"/>
          <w:sz w:val="24"/>
          <w:szCs w:val="24"/>
          <w:highlight w:val="yellow"/>
        </w:rPr>
        <w:t xml:space="preserve"> The reported summary values show monotonic ranking across many properties from AT1 to AT6: strength-type indicators and residual-strength ratios rise, while water absorption, apparent porosity, </w:t>
      </w:r>
      <w:proofErr w:type="spellStart"/>
      <w:r>
        <w:rPr>
          <w:rFonts w:ascii="Times New Roman" w:hAnsi="Times New Roman" w:cs="Times New Roman"/>
          <w:sz w:val="24"/>
          <w:szCs w:val="24"/>
          <w:highlight w:val="yellow"/>
        </w:rPr>
        <w:t>sorptivity</w:t>
      </w:r>
      <w:proofErr w:type="spellEnd"/>
      <w:r>
        <w:rPr>
          <w:rFonts w:ascii="Times New Roman" w:hAnsi="Times New Roman" w:cs="Times New Roman"/>
          <w:sz w:val="24"/>
          <w:szCs w:val="24"/>
          <w:highlight w:val="yellow"/>
        </w:rPr>
        <w:t>, thermal conductivity and thermal expansion fall. This common ranking can produce high correlations among the seven mixture-level values, but it does not show that one property causes another. Because mixture composition changes across the series, the pattern is descriptive and requires confirmation with replicated, controlled experiments.</w:t>
      </w:r>
      <w:r>
        <w:rPr>
          <w:rFonts w:ascii="Times New Roman" w:hAnsi="Times New Roman" w:cs="Times New Roman"/>
          <w:sz w:val="24"/>
          <w:szCs w:val="24"/>
          <w:highlight w:val="cyan"/>
        </w:rPr>
        <w:t xml:space="preserve"> Figure 20 shows the eleven reported 28-day properties of Table 13 (derived from Tables 3–6); the residual-strength row refers to the 5% sulfuric-acid exposure of Table 5.</w:t>
      </w:r>
    </w:p>
    <w:p w14:paraId="6107FBC3" w14:textId="77777777" w:rsidR="00B06580" w:rsidRPr="003E0CF1" w:rsidRDefault="00000000" w:rsidP="00F9519E">
      <w:pPr>
        <w:keepNext/>
        <w:jc w:val="both"/>
        <w:rPr>
          <w:rFonts w:ascii="Times New Roman" w:hAnsi="Times New Roman" w:cs="Times New Roman"/>
          <w:sz w:val="24"/>
          <w:szCs w:val="24"/>
        </w:rPr>
      </w:pPr>
      <w:r>
        <w:rPr>
          <w:rFonts w:ascii="Times New Roman" w:hAnsi="Times New Roman" w:cs="Times New Roman"/>
          <w:b/>
          <w:bCs/>
          <w:sz w:val="24"/>
          <w:szCs w:val="24"/>
          <w:highlight w:val="cyan"/>
        </w:rPr>
        <w:t xml:space="preserve">Table 13. </w:t>
      </w:r>
      <w:r>
        <w:rPr>
          <w:rFonts w:ascii="Times New Roman" w:hAnsi="Times New Roman" w:cs="Times New Roman"/>
          <w:i/>
          <w:iCs/>
          <w:sz w:val="24"/>
          <w:szCs w:val="24"/>
          <w:highlight w:val="cyan"/>
        </w:rPr>
        <w:t>Percentage change of AT-MMC mixtures relative to C0, Eq. (14).</w:t>
      </w:r>
    </w:p>
    <w:tbl>
      <w:tblPr>
        <w:tblStyle w:val="TableGrid"/>
        <w:tblW w:w="9026" w:type="dxa"/>
        <w:tblLayout w:type="fixed"/>
        <w:tblLook w:val="04A0" w:firstRow="1" w:lastRow="0" w:firstColumn="1" w:lastColumn="0" w:noHBand="0" w:noVBand="1"/>
      </w:tblPr>
      <w:tblGrid>
        <w:gridCol w:w="2298"/>
        <w:gridCol w:w="800"/>
        <w:gridCol w:w="988"/>
        <w:gridCol w:w="988"/>
        <w:gridCol w:w="988"/>
        <w:gridCol w:w="988"/>
        <w:gridCol w:w="988"/>
        <w:gridCol w:w="988"/>
      </w:tblGrid>
      <w:tr w:rsidR="00B06580" w:rsidRPr="003E0CF1" w14:paraId="269BC0D7" w14:textId="77777777">
        <w:trPr>
          <w:cantSplit/>
          <w:tblHeader/>
        </w:trPr>
        <w:tc>
          <w:tcPr>
            <w:tcW w:w="2298" w:type="dxa"/>
            <w:vAlign w:val="center"/>
          </w:tcPr>
          <w:p w14:paraId="0A52491A"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Property</w:t>
            </w:r>
          </w:p>
        </w:tc>
        <w:tc>
          <w:tcPr>
            <w:tcW w:w="800" w:type="dxa"/>
            <w:vAlign w:val="center"/>
          </w:tcPr>
          <w:p w14:paraId="11CB1515"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C0</w:t>
            </w:r>
          </w:p>
        </w:tc>
        <w:tc>
          <w:tcPr>
            <w:tcW w:w="988" w:type="dxa"/>
            <w:vAlign w:val="center"/>
          </w:tcPr>
          <w:p w14:paraId="36F487AB"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AT1</w:t>
            </w:r>
          </w:p>
        </w:tc>
        <w:tc>
          <w:tcPr>
            <w:tcW w:w="988" w:type="dxa"/>
            <w:vAlign w:val="center"/>
          </w:tcPr>
          <w:p w14:paraId="5E057812"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AT2</w:t>
            </w:r>
          </w:p>
        </w:tc>
        <w:tc>
          <w:tcPr>
            <w:tcW w:w="988" w:type="dxa"/>
            <w:vAlign w:val="center"/>
          </w:tcPr>
          <w:p w14:paraId="12DC3949"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AT3</w:t>
            </w:r>
          </w:p>
        </w:tc>
        <w:tc>
          <w:tcPr>
            <w:tcW w:w="988" w:type="dxa"/>
            <w:vAlign w:val="center"/>
          </w:tcPr>
          <w:p w14:paraId="258E6AD5"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AT4</w:t>
            </w:r>
          </w:p>
        </w:tc>
        <w:tc>
          <w:tcPr>
            <w:tcW w:w="988" w:type="dxa"/>
            <w:vAlign w:val="center"/>
          </w:tcPr>
          <w:p w14:paraId="63A52187"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AT5</w:t>
            </w:r>
          </w:p>
        </w:tc>
        <w:tc>
          <w:tcPr>
            <w:tcW w:w="988" w:type="dxa"/>
            <w:vAlign w:val="center"/>
          </w:tcPr>
          <w:p w14:paraId="51042211"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AT6</w:t>
            </w:r>
          </w:p>
        </w:tc>
      </w:tr>
      <w:tr w:rsidR="00B06580" w:rsidRPr="003E0CF1" w14:paraId="37179023" w14:textId="77777777">
        <w:trPr>
          <w:cantSplit/>
        </w:trPr>
        <w:tc>
          <w:tcPr>
            <w:tcW w:w="2298" w:type="dxa"/>
            <w:vAlign w:val="center"/>
          </w:tcPr>
          <w:p w14:paraId="4041C9B4"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Density (kg/m</w:t>
            </w:r>
            <w:r>
              <w:rPr>
                <w:rFonts w:ascii="Times New Roman" w:hAnsi="Times New Roman" w:cs="Times New Roman"/>
                <w:sz w:val="24"/>
                <w:szCs w:val="24"/>
                <w:highlight w:val="green"/>
                <w:vertAlign w:val="superscript"/>
              </w:rPr>
              <w:t>3</w:t>
            </w:r>
            <w:r>
              <w:rPr>
                <w:rFonts w:ascii="Times New Roman" w:hAnsi="Times New Roman" w:cs="Times New Roman"/>
                <w:sz w:val="24"/>
                <w:szCs w:val="24"/>
                <w:highlight w:val="green"/>
              </w:rPr>
              <w:t>)</w:t>
            </w:r>
          </w:p>
        </w:tc>
        <w:tc>
          <w:tcPr>
            <w:tcW w:w="800" w:type="dxa"/>
            <w:vAlign w:val="center"/>
          </w:tcPr>
          <w:p w14:paraId="36E3D0D0"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2340</w:t>
            </w:r>
          </w:p>
        </w:tc>
        <w:tc>
          <w:tcPr>
            <w:tcW w:w="988" w:type="dxa"/>
            <w:vAlign w:val="center"/>
          </w:tcPr>
          <w:p w14:paraId="5CCE8DE8"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−5.3</w:t>
            </w:r>
          </w:p>
        </w:tc>
        <w:tc>
          <w:tcPr>
            <w:tcW w:w="988" w:type="dxa"/>
            <w:vAlign w:val="center"/>
          </w:tcPr>
          <w:p w14:paraId="7B26EF05"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−4.8</w:t>
            </w:r>
          </w:p>
        </w:tc>
        <w:tc>
          <w:tcPr>
            <w:tcW w:w="988" w:type="dxa"/>
            <w:vAlign w:val="center"/>
          </w:tcPr>
          <w:p w14:paraId="1FAC88AE"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−4.7</w:t>
            </w:r>
          </w:p>
        </w:tc>
        <w:tc>
          <w:tcPr>
            <w:tcW w:w="988" w:type="dxa"/>
            <w:vAlign w:val="center"/>
          </w:tcPr>
          <w:p w14:paraId="39044A69"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−4.1</w:t>
            </w:r>
          </w:p>
        </w:tc>
        <w:tc>
          <w:tcPr>
            <w:tcW w:w="988" w:type="dxa"/>
            <w:vAlign w:val="center"/>
          </w:tcPr>
          <w:p w14:paraId="74A777C2"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−3.4</w:t>
            </w:r>
          </w:p>
        </w:tc>
        <w:tc>
          <w:tcPr>
            <w:tcW w:w="988" w:type="dxa"/>
            <w:vAlign w:val="center"/>
          </w:tcPr>
          <w:p w14:paraId="57AA309B"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−2.9</w:t>
            </w:r>
          </w:p>
        </w:tc>
      </w:tr>
      <w:tr w:rsidR="00B06580" w:rsidRPr="003E0CF1" w14:paraId="3492374C" w14:textId="77777777">
        <w:trPr>
          <w:cantSplit/>
        </w:trPr>
        <w:tc>
          <w:tcPr>
            <w:tcW w:w="2298" w:type="dxa"/>
            <w:vAlign w:val="center"/>
          </w:tcPr>
          <w:p w14:paraId="1E0162C9"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Water absorption (%)</w:t>
            </w:r>
          </w:p>
        </w:tc>
        <w:tc>
          <w:tcPr>
            <w:tcW w:w="800" w:type="dxa"/>
            <w:vAlign w:val="center"/>
          </w:tcPr>
          <w:p w14:paraId="36378B37"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6.42</w:t>
            </w:r>
          </w:p>
        </w:tc>
        <w:tc>
          <w:tcPr>
            <w:tcW w:w="988" w:type="dxa"/>
            <w:vAlign w:val="center"/>
          </w:tcPr>
          <w:p w14:paraId="0BE4A0CA"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−20.2</w:t>
            </w:r>
          </w:p>
        </w:tc>
        <w:tc>
          <w:tcPr>
            <w:tcW w:w="988" w:type="dxa"/>
            <w:vAlign w:val="center"/>
          </w:tcPr>
          <w:p w14:paraId="5CF916C2"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−25.5</w:t>
            </w:r>
          </w:p>
        </w:tc>
        <w:tc>
          <w:tcPr>
            <w:tcW w:w="988" w:type="dxa"/>
            <w:vAlign w:val="center"/>
          </w:tcPr>
          <w:p w14:paraId="5AEB0537"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−32.9</w:t>
            </w:r>
          </w:p>
        </w:tc>
        <w:tc>
          <w:tcPr>
            <w:tcW w:w="988" w:type="dxa"/>
            <w:vAlign w:val="center"/>
          </w:tcPr>
          <w:p w14:paraId="0533E8AC"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−35.8</w:t>
            </w:r>
          </w:p>
        </w:tc>
        <w:tc>
          <w:tcPr>
            <w:tcW w:w="988" w:type="dxa"/>
            <w:vAlign w:val="center"/>
          </w:tcPr>
          <w:p w14:paraId="3371D238"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−38.5</w:t>
            </w:r>
          </w:p>
        </w:tc>
        <w:tc>
          <w:tcPr>
            <w:tcW w:w="988" w:type="dxa"/>
            <w:vAlign w:val="center"/>
          </w:tcPr>
          <w:p w14:paraId="309A8FFA"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−43.8</w:t>
            </w:r>
          </w:p>
        </w:tc>
      </w:tr>
      <w:tr w:rsidR="00B06580" w:rsidRPr="003E0CF1" w14:paraId="5D0DEBC0" w14:textId="77777777">
        <w:trPr>
          <w:cantSplit/>
        </w:trPr>
        <w:tc>
          <w:tcPr>
            <w:tcW w:w="2298" w:type="dxa"/>
            <w:vAlign w:val="center"/>
          </w:tcPr>
          <w:p w14:paraId="68603167"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Apparent porosity (%)</w:t>
            </w:r>
          </w:p>
        </w:tc>
        <w:tc>
          <w:tcPr>
            <w:tcW w:w="800" w:type="dxa"/>
            <w:vAlign w:val="center"/>
          </w:tcPr>
          <w:p w14:paraId="4D54319B"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14.31</w:t>
            </w:r>
          </w:p>
        </w:tc>
        <w:tc>
          <w:tcPr>
            <w:tcW w:w="988" w:type="dxa"/>
            <w:vAlign w:val="center"/>
          </w:tcPr>
          <w:p w14:paraId="31FFE472"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−21.3</w:t>
            </w:r>
          </w:p>
        </w:tc>
        <w:tc>
          <w:tcPr>
            <w:tcW w:w="988" w:type="dxa"/>
            <w:vAlign w:val="center"/>
          </w:tcPr>
          <w:p w14:paraId="40EBBAC9"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−27.3</w:t>
            </w:r>
          </w:p>
        </w:tc>
        <w:tc>
          <w:tcPr>
            <w:tcW w:w="988" w:type="dxa"/>
            <w:vAlign w:val="center"/>
          </w:tcPr>
          <w:p w14:paraId="2E6994E6"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−34.6</w:t>
            </w:r>
          </w:p>
        </w:tc>
        <w:tc>
          <w:tcPr>
            <w:tcW w:w="988" w:type="dxa"/>
            <w:vAlign w:val="center"/>
          </w:tcPr>
          <w:p w14:paraId="23821A44"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−37.3</w:t>
            </w:r>
          </w:p>
        </w:tc>
        <w:tc>
          <w:tcPr>
            <w:tcW w:w="988" w:type="dxa"/>
            <w:vAlign w:val="center"/>
          </w:tcPr>
          <w:p w14:paraId="51366CF5"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−41.0</w:t>
            </w:r>
          </w:p>
        </w:tc>
        <w:tc>
          <w:tcPr>
            <w:tcW w:w="988" w:type="dxa"/>
            <w:vAlign w:val="center"/>
          </w:tcPr>
          <w:p w14:paraId="2FFECD12"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−45.4</w:t>
            </w:r>
          </w:p>
        </w:tc>
      </w:tr>
      <w:tr w:rsidR="00B06580" w:rsidRPr="003E0CF1" w14:paraId="6185229A" w14:textId="77777777">
        <w:trPr>
          <w:cantSplit/>
        </w:trPr>
        <w:tc>
          <w:tcPr>
            <w:tcW w:w="2298" w:type="dxa"/>
            <w:vAlign w:val="center"/>
          </w:tcPr>
          <w:p w14:paraId="7A1A1823" w14:textId="77777777" w:rsidR="00B06580" w:rsidRPr="003E0CF1" w:rsidRDefault="00000000" w:rsidP="00F9519E">
            <w:pPr>
              <w:jc w:val="both"/>
              <w:rPr>
                <w:rFonts w:ascii="Times New Roman" w:hAnsi="Times New Roman" w:cs="Times New Roman"/>
                <w:sz w:val="24"/>
                <w:szCs w:val="24"/>
              </w:rPr>
            </w:pPr>
            <w:proofErr w:type="spellStart"/>
            <w:r>
              <w:rPr>
                <w:rFonts w:ascii="Times New Roman" w:hAnsi="Times New Roman" w:cs="Times New Roman"/>
                <w:sz w:val="24"/>
                <w:szCs w:val="24"/>
                <w:highlight w:val="green"/>
              </w:rPr>
              <w:t>Sorptivity</w:t>
            </w:r>
            <w:proofErr w:type="spellEnd"/>
            <w:r>
              <w:rPr>
                <w:rFonts w:ascii="Times New Roman" w:hAnsi="Times New Roman" w:cs="Times New Roman"/>
                <w:sz w:val="24"/>
                <w:szCs w:val="24"/>
                <w:highlight w:val="green"/>
              </w:rPr>
              <w:t xml:space="preserve"> (mm/min</w:t>
            </w:r>
            <w:r>
              <w:rPr>
                <w:rFonts w:ascii="Times New Roman" w:hAnsi="Times New Roman" w:cs="Times New Roman"/>
                <w:sz w:val="24"/>
                <w:szCs w:val="24"/>
                <w:highlight w:val="green"/>
                <w:vertAlign w:val="superscript"/>
              </w:rPr>
              <w:t>0.5</w:t>
            </w:r>
            <w:r>
              <w:rPr>
                <w:rFonts w:ascii="Times New Roman" w:hAnsi="Times New Roman" w:cs="Times New Roman"/>
                <w:sz w:val="24"/>
                <w:szCs w:val="24"/>
                <w:highlight w:val="green"/>
              </w:rPr>
              <w:t>)</w:t>
            </w:r>
          </w:p>
        </w:tc>
        <w:tc>
          <w:tcPr>
            <w:tcW w:w="800" w:type="dxa"/>
            <w:vAlign w:val="center"/>
          </w:tcPr>
          <w:p w14:paraId="561CEC6D"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0.092</w:t>
            </w:r>
          </w:p>
        </w:tc>
        <w:tc>
          <w:tcPr>
            <w:tcW w:w="988" w:type="dxa"/>
            <w:vAlign w:val="center"/>
          </w:tcPr>
          <w:p w14:paraId="2EA6F93A"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−31.5</w:t>
            </w:r>
          </w:p>
        </w:tc>
        <w:tc>
          <w:tcPr>
            <w:tcW w:w="988" w:type="dxa"/>
            <w:vAlign w:val="center"/>
          </w:tcPr>
          <w:p w14:paraId="56B3E190"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−43.5</w:t>
            </w:r>
          </w:p>
        </w:tc>
        <w:tc>
          <w:tcPr>
            <w:tcW w:w="988" w:type="dxa"/>
            <w:vAlign w:val="center"/>
          </w:tcPr>
          <w:p w14:paraId="4DE133B1"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−51.1</w:t>
            </w:r>
          </w:p>
        </w:tc>
        <w:tc>
          <w:tcPr>
            <w:tcW w:w="988" w:type="dxa"/>
            <w:vAlign w:val="center"/>
          </w:tcPr>
          <w:p w14:paraId="5388FA19"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−55.4</w:t>
            </w:r>
          </w:p>
        </w:tc>
        <w:tc>
          <w:tcPr>
            <w:tcW w:w="988" w:type="dxa"/>
            <w:vAlign w:val="center"/>
          </w:tcPr>
          <w:p w14:paraId="48EF6108"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−59.8</w:t>
            </w:r>
          </w:p>
        </w:tc>
        <w:tc>
          <w:tcPr>
            <w:tcW w:w="988" w:type="dxa"/>
            <w:vAlign w:val="center"/>
          </w:tcPr>
          <w:p w14:paraId="226A427B"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−66.3</w:t>
            </w:r>
          </w:p>
        </w:tc>
      </w:tr>
      <w:tr w:rsidR="00B06580" w:rsidRPr="003E0CF1" w14:paraId="601C4527" w14:textId="77777777">
        <w:trPr>
          <w:cantSplit/>
        </w:trPr>
        <w:tc>
          <w:tcPr>
            <w:tcW w:w="2298" w:type="dxa"/>
            <w:vAlign w:val="center"/>
          </w:tcPr>
          <w:p w14:paraId="4B8D5772"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lastRenderedPageBreak/>
              <w:t>Compressive strength (MPa)</w:t>
            </w:r>
          </w:p>
        </w:tc>
        <w:tc>
          <w:tcPr>
            <w:tcW w:w="800" w:type="dxa"/>
            <w:vAlign w:val="center"/>
          </w:tcPr>
          <w:p w14:paraId="086080AA"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38.6</w:t>
            </w:r>
          </w:p>
        </w:tc>
        <w:tc>
          <w:tcPr>
            <w:tcW w:w="988" w:type="dxa"/>
            <w:vAlign w:val="center"/>
          </w:tcPr>
          <w:p w14:paraId="7934C1D6"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+8.3</w:t>
            </w:r>
          </w:p>
        </w:tc>
        <w:tc>
          <w:tcPr>
            <w:tcW w:w="988" w:type="dxa"/>
            <w:vAlign w:val="center"/>
          </w:tcPr>
          <w:p w14:paraId="77FD24E7"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+18.4</w:t>
            </w:r>
          </w:p>
        </w:tc>
        <w:tc>
          <w:tcPr>
            <w:tcW w:w="988" w:type="dxa"/>
            <w:vAlign w:val="center"/>
          </w:tcPr>
          <w:p w14:paraId="457D9CFE"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+26.7</w:t>
            </w:r>
          </w:p>
        </w:tc>
        <w:tc>
          <w:tcPr>
            <w:tcW w:w="988" w:type="dxa"/>
            <w:vAlign w:val="center"/>
          </w:tcPr>
          <w:p w14:paraId="7EFC857A"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+29.8</w:t>
            </w:r>
          </w:p>
        </w:tc>
        <w:tc>
          <w:tcPr>
            <w:tcW w:w="988" w:type="dxa"/>
            <w:vAlign w:val="center"/>
          </w:tcPr>
          <w:p w14:paraId="389984EB"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+36.3</w:t>
            </w:r>
          </w:p>
        </w:tc>
        <w:tc>
          <w:tcPr>
            <w:tcW w:w="988" w:type="dxa"/>
            <w:vAlign w:val="center"/>
          </w:tcPr>
          <w:p w14:paraId="748CFEEA"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+43.5</w:t>
            </w:r>
          </w:p>
        </w:tc>
      </w:tr>
      <w:tr w:rsidR="00B06580" w:rsidRPr="003E0CF1" w14:paraId="0C5D4711" w14:textId="77777777">
        <w:trPr>
          <w:cantSplit/>
        </w:trPr>
        <w:tc>
          <w:tcPr>
            <w:tcW w:w="2298" w:type="dxa"/>
            <w:vAlign w:val="center"/>
          </w:tcPr>
          <w:p w14:paraId="3795C39B"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Flexural strength (MPa)</w:t>
            </w:r>
          </w:p>
        </w:tc>
        <w:tc>
          <w:tcPr>
            <w:tcW w:w="800" w:type="dxa"/>
            <w:vAlign w:val="center"/>
          </w:tcPr>
          <w:p w14:paraId="077DF45E"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6.12</w:t>
            </w:r>
          </w:p>
        </w:tc>
        <w:tc>
          <w:tcPr>
            <w:tcW w:w="988" w:type="dxa"/>
            <w:vAlign w:val="center"/>
          </w:tcPr>
          <w:p w14:paraId="06147293"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+11.9</w:t>
            </w:r>
          </w:p>
        </w:tc>
        <w:tc>
          <w:tcPr>
            <w:tcW w:w="988" w:type="dxa"/>
            <w:vAlign w:val="center"/>
          </w:tcPr>
          <w:p w14:paraId="597C1C43"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+19.6</w:t>
            </w:r>
          </w:p>
        </w:tc>
        <w:tc>
          <w:tcPr>
            <w:tcW w:w="988" w:type="dxa"/>
            <w:vAlign w:val="center"/>
          </w:tcPr>
          <w:p w14:paraId="09550C49"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+30.1</w:t>
            </w:r>
          </w:p>
        </w:tc>
        <w:tc>
          <w:tcPr>
            <w:tcW w:w="988" w:type="dxa"/>
            <w:vAlign w:val="center"/>
          </w:tcPr>
          <w:p w14:paraId="1EC50D1C"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+34.2</w:t>
            </w:r>
          </w:p>
        </w:tc>
        <w:tc>
          <w:tcPr>
            <w:tcW w:w="988" w:type="dxa"/>
            <w:vAlign w:val="center"/>
          </w:tcPr>
          <w:p w14:paraId="0894B4AE"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+43.1</w:t>
            </w:r>
          </w:p>
        </w:tc>
        <w:tc>
          <w:tcPr>
            <w:tcW w:w="988" w:type="dxa"/>
            <w:vAlign w:val="center"/>
          </w:tcPr>
          <w:p w14:paraId="4BE431F4"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+51.6</w:t>
            </w:r>
          </w:p>
        </w:tc>
      </w:tr>
      <w:tr w:rsidR="00B06580" w:rsidRPr="003E0CF1" w14:paraId="6C570A6D" w14:textId="77777777">
        <w:trPr>
          <w:cantSplit/>
        </w:trPr>
        <w:tc>
          <w:tcPr>
            <w:tcW w:w="2298" w:type="dxa"/>
            <w:vAlign w:val="center"/>
          </w:tcPr>
          <w:p w14:paraId="717C2074"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Splitting tensile strength (MPa)</w:t>
            </w:r>
          </w:p>
        </w:tc>
        <w:tc>
          <w:tcPr>
            <w:tcW w:w="800" w:type="dxa"/>
            <w:vAlign w:val="center"/>
          </w:tcPr>
          <w:p w14:paraId="41F5F4B5"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3.21</w:t>
            </w:r>
          </w:p>
        </w:tc>
        <w:tc>
          <w:tcPr>
            <w:tcW w:w="988" w:type="dxa"/>
            <w:vAlign w:val="center"/>
          </w:tcPr>
          <w:p w14:paraId="13B99341"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+12.8</w:t>
            </w:r>
          </w:p>
        </w:tc>
        <w:tc>
          <w:tcPr>
            <w:tcW w:w="988" w:type="dxa"/>
            <w:vAlign w:val="center"/>
          </w:tcPr>
          <w:p w14:paraId="5152F3BD"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+21.8</w:t>
            </w:r>
          </w:p>
        </w:tc>
        <w:tc>
          <w:tcPr>
            <w:tcW w:w="988" w:type="dxa"/>
            <w:vAlign w:val="center"/>
          </w:tcPr>
          <w:p w14:paraId="765D6C4E"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+33.3</w:t>
            </w:r>
          </w:p>
        </w:tc>
        <w:tc>
          <w:tcPr>
            <w:tcW w:w="988" w:type="dxa"/>
            <w:vAlign w:val="center"/>
          </w:tcPr>
          <w:p w14:paraId="7910D395"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+37.7</w:t>
            </w:r>
          </w:p>
        </w:tc>
        <w:tc>
          <w:tcPr>
            <w:tcW w:w="988" w:type="dxa"/>
            <w:vAlign w:val="center"/>
          </w:tcPr>
          <w:p w14:paraId="15920706"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+46.7</w:t>
            </w:r>
          </w:p>
        </w:tc>
        <w:tc>
          <w:tcPr>
            <w:tcW w:w="988" w:type="dxa"/>
            <w:vAlign w:val="center"/>
          </w:tcPr>
          <w:p w14:paraId="1E242974"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+54.2</w:t>
            </w:r>
          </w:p>
        </w:tc>
      </w:tr>
      <w:tr w:rsidR="00B06580" w:rsidRPr="003E0CF1" w14:paraId="7BE7C485" w14:textId="77777777">
        <w:trPr>
          <w:cantSplit/>
        </w:trPr>
        <w:tc>
          <w:tcPr>
            <w:tcW w:w="2298" w:type="dxa"/>
            <w:vAlign w:val="center"/>
          </w:tcPr>
          <w:p w14:paraId="6237D5C8"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Fracture toughness (MPa·m</w:t>
            </w:r>
            <w:r>
              <w:rPr>
                <w:rFonts w:ascii="Times New Roman" w:hAnsi="Times New Roman" w:cs="Times New Roman"/>
                <w:sz w:val="24"/>
                <w:szCs w:val="24"/>
                <w:highlight w:val="green"/>
                <w:vertAlign w:val="superscript"/>
              </w:rPr>
              <w:t>0.5</w:t>
            </w:r>
            <w:r>
              <w:rPr>
                <w:rFonts w:ascii="Times New Roman" w:hAnsi="Times New Roman" w:cs="Times New Roman"/>
                <w:sz w:val="24"/>
                <w:szCs w:val="24"/>
                <w:highlight w:val="green"/>
              </w:rPr>
              <w:t>)</w:t>
            </w:r>
          </w:p>
        </w:tc>
        <w:tc>
          <w:tcPr>
            <w:tcW w:w="800" w:type="dxa"/>
            <w:vAlign w:val="center"/>
          </w:tcPr>
          <w:p w14:paraId="13113FF0"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1.12</w:t>
            </w:r>
          </w:p>
        </w:tc>
        <w:tc>
          <w:tcPr>
            <w:tcW w:w="988" w:type="dxa"/>
            <w:vAlign w:val="center"/>
          </w:tcPr>
          <w:p w14:paraId="17CE8B58"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+29.5</w:t>
            </w:r>
          </w:p>
        </w:tc>
        <w:tc>
          <w:tcPr>
            <w:tcW w:w="988" w:type="dxa"/>
            <w:vAlign w:val="center"/>
          </w:tcPr>
          <w:p w14:paraId="69C46870"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+66.1</w:t>
            </w:r>
          </w:p>
        </w:tc>
        <w:tc>
          <w:tcPr>
            <w:tcW w:w="988" w:type="dxa"/>
            <w:vAlign w:val="center"/>
          </w:tcPr>
          <w:p w14:paraId="2EE776BE"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+85.7</w:t>
            </w:r>
          </w:p>
        </w:tc>
        <w:tc>
          <w:tcPr>
            <w:tcW w:w="988" w:type="dxa"/>
            <w:vAlign w:val="center"/>
          </w:tcPr>
          <w:p w14:paraId="00C319A4"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+97.3</w:t>
            </w:r>
          </w:p>
        </w:tc>
        <w:tc>
          <w:tcPr>
            <w:tcW w:w="988" w:type="dxa"/>
            <w:vAlign w:val="center"/>
          </w:tcPr>
          <w:p w14:paraId="57BB480C"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+104.5</w:t>
            </w:r>
          </w:p>
        </w:tc>
        <w:tc>
          <w:tcPr>
            <w:tcW w:w="988" w:type="dxa"/>
            <w:vAlign w:val="center"/>
          </w:tcPr>
          <w:p w14:paraId="46C7D94A"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+109.8</w:t>
            </w:r>
          </w:p>
        </w:tc>
      </w:tr>
      <w:tr w:rsidR="00B06580" w:rsidRPr="003E0CF1" w14:paraId="2F91D023" w14:textId="77777777">
        <w:trPr>
          <w:cantSplit/>
        </w:trPr>
        <w:tc>
          <w:tcPr>
            <w:tcW w:w="2298" w:type="dxa"/>
            <w:vAlign w:val="center"/>
          </w:tcPr>
          <w:p w14:paraId="056B1DF4"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Residual strength, 5% H</w:t>
            </w:r>
            <w:r>
              <w:rPr>
                <w:rFonts w:ascii="Times New Roman" w:hAnsi="Times New Roman" w:cs="Times New Roman"/>
                <w:sz w:val="24"/>
                <w:szCs w:val="24"/>
                <w:highlight w:val="green"/>
                <w:vertAlign w:val="subscript"/>
              </w:rPr>
              <w:t>2</w:t>
            </w:r>
            <w:r>
              <w:rPr>
                <w:rFonts w:ascii="Times New Roman" w:hAnsi="Times New Roman" w:cs="Times New Roman"/>
                <w:sz w:val="24"/>
                <w:szCs w:val="24"/>
                <w:highlight w:val="green"/>
              </w:rPr>
              <w:t>SO</w:t>
            </w:r>
            <w:r>
              <w:rPr>
                <w:rFonts w:ascii="Times New Roman" w:hAnsi="Times New Roman" w:cs="Times New Roman"/>
                <w:sz w:val="24"/>
                <w:szCs w:val="24"/>
                <w:highlight w:val="green"/>
                <w:vertAlign w:val="subscript"/>
              </w:rPr>
              <w:t>4</w:t>
            </w:r>
            <w:r>
              <w:rPr>
                <w:rFonts w:ascii="Times New Roman" w:hAnsi="Times New Roman" w:cs="Times New Roman"/>
                <w:sz w:val="24"/>
                <w:szCs w:val="24"/>
                <w:highlight w:val="green"/>
              </w:rPr>
              <w:t xml:space="preserve"> (%)</w:t>
            </w:r>
          </w:p>
        </w:tc>
        <w:tc>
          <w:tcPr>
            <w:tcW w:w="800" w:type="dxa"/>
            <w:vAlign w:val="center"/>
          </w:tcPr>
          <w:p w14:paraId="7968C206"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62.4</w:t>
            </w:r>
          </w:p>
        </w:tc>
        <w:tc>
          <w:tcPr>
            <w:tcW w:w="988" w:type="dxa"/>
            <w:vAlign w:val="center"/>
          </w:tcPr>
          <w:p w14:paraId="42E85CB6"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+11.1</w:t>
            </w:r>
          </w:p>
        </w:tc>
        <w:tc>
          <w:tcPr>
            <w:tcW w:w="988" w:type="dxa"/>
            <w:vAlign w:val="center"/>
          </w:tcPr>
          <w:p w14:paraId="673987C2"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+15.7</w:t>
            </w:r>
          </w:p>
        </w:tc>
        <w:tc>
          <w:tcPr>
            <w:tcW w:w="988" w:type="dxa"/>
            <w:vAlign w:val="center"/>
          </w:tcPr>
          <w:p w14:paraId="251A0EEC"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+20.4</w:t>
            </w:r>
          </w:p>
        </w:tc>
        <w:tc>
          <w:tcPr>
            <w:tcW w:w="988" w:type="dxa"/>
            <w:vAlign w:val="center"/>
          </w:tcPr>
          <w:p w14:paraId="73BB275B"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+24.4</w:t>
            </w:r>
          </w:p>
        </w:tc>
        <w:tc>
          <w:tcPr>
            <w:tcW w:w="988" w:type="dxa"/>
            <w:vAlign w:val="center"/>
          </w:tcPr>
          <w:p w14:paraId="6DE1D407"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+27.6</w:t>
            </w:r>
          </w:p>
        </w:tc>
        <w:tc>
          <w:tcPr>
            <w:tcW w:w="988" w:type="dxa"/>
            <w:vAlign w:val="center"/>
          </w:tcPr>
          <w:p w14:paraId="0B90080F"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+30.6</w:t>
            </w:r>
          </w:p>
        </w:tc>
      </w:tr>
      <w:tr w:rsidR="00B06580" w:rsidRPr="003E0CF1" w14:paraId="3C378E6C" w14:textId="77777777">
        <w:trPr>
          <w:cantSplit/>
        </w:trPr>
        <w:tc>
          <w:tcPr>
            <w:tcW w:w="2298" w:type="dxa"/>
            <w:vAlign w:val="center"/>
          </w:tcPr>
          <w:p w14:paraId="07EA9A65"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Thermal conductivity (W/</w:t>
            </w:r>
            <w:proofErr w:type="spellStart"/>
            <w:r>
              <w:rPr>
                <w:rFonts w:ascii="Times New Roman" w:hAnsi="Times New Roman" w:cs="Times New Roman"/>
                <w:sz w:val="24"/>
                <w:szCs w:val="24"/>
                <w:highlight w:val="green"/>
              </w:rPr>
              <w:t>m·K</w:t>
            </w:r>
            <w:proofErr w:type="spellEnd"/>
            <w:r>
              <w:rPr>
                <w:rFonts w:ascii="Times New Roman" w:hAnsi="Times New Roman" w:cs="Times New Roman"/>
                <w:sz w:val="24"/>
                <w:szCs w:val="24"/>
                <w:highlight w:val="green"/>
              </w:rPr>
              <w:t>)</w:t>
            </w:r>
          </w:p>
        </w:tc>
        <w:tc>
          <w:tcPr>
            <w:tcW w:w="800" w:type="dxa"/>
            <w:vAlign w:val="center"/>
          </w:tcPr>
          <w:p w14:paraId="4E31D9B3"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1.62</w:t>
            </w:r>
          </w:p>
        </w:tc>
        <w:tc>
          <w:tcPr>
            <w:tcW w:w="988" w:type="dxa"/>
            <w:vAlign w:val="center"/>
          </w:tcPr>
          <w:p w14:paraId="69798D07"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−18.5</w:t>
            </w:r>
          </w:p>
        </w:tc>
        <w:tc>
          <w:tcPr>
            <w:tcW w:w="988" w:type="dxa"/>
            <w:vAlign w:val="center"/>
          </w:tcPr>
          <w:p w14:paraId="7724400C"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−27.2</w:t>
            </w:r>
          </w:p>
        </w:tc>
        <w:tc>
          <w:tcPr>
            <w:tcW w:w="988" w:type="dxa"/>
            <w:vAlign w:val="center"/>
          </w:tcPr>
          <w:p w14:paraId="44BA0BE3"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−32.7</w:t>
            </w:r>
          </w:p>
        </w:tc>
        <w:tc>
          <w:tcPr>
            <w:tcW w:w="988" w:type="dxa"/>
            <w:vAlign w:val="center"/>
          </w:tcPr>
          <w:p w14:paraId="3066E34D"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−35.2</w:t>
            </w:r>
          </w:p>
        </w:tc>
        <w:tc>
          <w:tcPr>
            <w:tcW w:w="988" w:type="dxa"/>
            <w:vAlign w:val="center"/>
          </w:tcPr>
          <w:p w14:paraId="762AC0A9"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−39.5</w:t>
            </w:r>
          </w:p>
        </w:tc>
        <w:tc>
          <w:tcPr>
            <w:tcW w:w="988" w:type="dxa"/>
            <w:vAlign w:val="center"/>
          </w:tcPr>
          <w:p w14:paraId="612DFC5E"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−42.6</w:t>
            </w:r>
          </w:p>
        </w:tc>
      </w:tr>
      <w:tr w:rsidR="00B06580" w:rsidRPr="003E0CF1" w14:paraId="21BC83DE" w14:textId="77777777">
        <w:trPr>
          <w:cantSplit/>
        </w:trPr>
        <w:tc>
          <w:tcPr>
            <w:tcW w:w="2298" w:type="dxa"/>
            <w:vAlign w:val="center"/>
          </w:tcPr>
          <w:p w14:paraId="3A5F8AC5"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CTE (×10</w:t>
            </w:r>
            <w:r>
              <w:rPr>
                <w:rFonts w:ascii="Times New Roman" w:hAnsi="Times New Roman" w:cs="Times New Roman"/>
                <w:sz w:val="24"/>
                <w:szCs w:val="24"/>
                <w:highlight w:val="green"/>
                <w:vertAlign w:val="superscript"/>
              </w:rPr>
              <w:t>−6</w:t>
            </w:r>
            <w:r>
              <w:rPr>
                <w:rFonts w:ascii="Times New Roman" w:hAnsi="Times New Roman" w:cs="Times New Roman"/>
                <w:sz w:val="24"/>
                <w:szCs w:val="24"/>
                <w:highlight w:val="green"/>
              </w:rPr>
              <w:t>/°C)</w:t>
            </w:r>
          </w:p>
        </w:tc>
        <w:tc>
          <w:tcPr>
            <w:tcW w:w="800" w:type="dxa"/>
            <w:vAlign w:val="center"/>
          </w:tcPr>
          <w:p w14:paraId="7E5B709E"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9.6</w:t>
            </w:r>
          </w:p>
        </w:tc>
        <w:tc>
          <w:tcPr>
            <w:tcW w:w="988" w:type="dxa"/>
            <w:vAlign w:val="center"/>
          </w:tcPr>
          <w:p w14:paraId="14FC616D"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−8.3</w:t>
            </w:r>
          </w:p>
        </w:tc>
        <w:tc>
          <w:tcPr>
            <w:tcW w:w="988" w:type="dxa"/>
            <w:vAlign w:val="center"/>
          </w:tcPr>
          <w:p w14:paraId="3132482C"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−15.6</w:t>
            </w:r>
          </w:p>
        </w:tc>
        <w:tc>
          <w:tcPr>
            <w:tcW w:w="988" w:type="dxa"/>
            <w:vAlign w:val="center"/>
          </w:tcPr>
          <w:p w14:paraId="710794F3"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−20.8</w:t>
            </w:r>
          </w:p>
        </w:tc>
        <w:tc>
          <w:tcPr>
            <w:tcW w:w="988" w:type="dxa"/>
            <w:vAlign w:val="center"/>
          </w:tcPr>
          <w:p w14:paraId="4AEA2DBB"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−22.9</w:t>
            </w:r>
          </w:p>
        </w:tc>
        <w:tc>
          <w:tcPr>
            <w:tcW w:w="988" w:type="dxa"/>
            <w:vAlign w:val="center"/>
          </w:tcPr>
          <w:p w14:paraId="14E937BA"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−25.0</w:t>
            </w:r>
          </w:p>
        </w:tc>
        <w:tc>
          <w:tcPr>
            <w:tcW w:w="988" w:type="dxa"/>
            <w:vAlign w:val="center"/>
          </w:tcPr>
          <w:p w14:paraId="520B9769"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−27.1</w:t>
            </w:r>
          </w:p>
        </w:tc>
      </w:tr>
    </w:tbl>
    <w:p w14:paraId="581BA4A1"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 xml:space="preserve"> </w:t>
      </w:r>
    </w:p>
    <w:p w14:paraId="37878B2E" w14:textId="77777777" w:rsidR="00B06580" w:rsidRPr="003E0CF1" w:rsidRDefault="00000000" w:rsidP="00F9519E">
      <w:pPr>
        <w:keepNext/>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967F2C" wp14:editId="7C999F89">
            <wp:extent cx="4846320" cy="3592103"/>
            <wp:effectExtent l="0" t="0" r="0" b="0"/>
            <wp:docPr id="1001" name="Picture 1001" descr="Heat map of the percentage change of AT1-AT6 relative to 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Picture 1001"/>
                    <pic:cNvPicPr/>
                  </pic:nvPicPr>
                  <pic:blipFill>
                    <a:blip r:embed="rId26"/>
                    <a:stretch>
                      <a:fillRect/>
                    </a:stretch>
                  </pic:blipFill>
                  <pic:spPr>
                    <a:xfrm>
                      <a:off x="0" y="0"/>
                      <a:ext cx="4846320" cy="3592103"/>
                    </a:xfrm>
                    <a:prstGeom prst="rect">
                      <a:avLst/>
                    </a:prstGeom>
                  </pic:spPr>
                </pic:pic>
              </a:graphicData>
            </a:graphic>
          </wp:inline>
        </w:drawing>
      </w:r>
    </w:p>
    <w:p w14:paraId="65F3439E"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cyan"/>
        </w:rPr>
        <w:t>Figure 20. Heat map of the percentage change of AT1–AT6 relative to C0.</w:t>
      </w:r>
    </w:p>
    <w:p w14:paraId="4075F16B" w14:textId="77777777" w:rsidR="00B06580" w:rsidRPr="003E0CF1" w:rsidRDefault="00000000" w:rsidP="00F9519E">
      <w:pPr>
        <w:keepNext/>
        <w:jc w:val="both"/>
        <w:rPr>
          <w:rFonts w:ascii="Times New Roman" w:hAnsi="Times New Roman" w:cs="Times New Roman"/>
          <w:sz w:val="24"/>
          <w:szCs w:val="24"/>
        </w:rPr>
      </w:pPr>
      <w:r>
        <w:rPr>
          <w:rFonts w:ascii="Times New Roman" w:hAnsi="Times New Roman" w:cs="Times New Roman"/>
          <w:b/>
          <w:bCs/>
          <w:i/>
          <w:iCs/>
          <w:sz w:val="24"/>
          <w:szCs w:val="24"/>
          <w:highlight w:val="green"/>
        </w:rPr>
        <w:t>4.13.3 Effect of basalt-</w:t>
      </w:r>
      <w:proofErr w:type="spellStart"/>
      <w:r>
        <w:rPr>
          <w:rFonts w:ascii="Times New Roman" w:hAnsi="Times New Roman" w:cs="Times New Roman"/>
          <w:b/>
          <w:bCs/>
          <w:i/>
          <w:iCs/>
          <w:sz w:val="24"/>
          <w:szCs w:val="24"/>
          <w:highlight w:val="green"/>
        </w:rPr>
        <w:t>fibre</w:t>
      </w:r>
      <w:proofErr w:type="spellEnd"/>
      <w:r>
        <w:rPr>
          <w:rFonts w:ascii="Times New Roman" w:hAnsi="Times New Roman" w:cs="Times New Roman"/>
          <w:b/>
          <w:bCs/>
          <w:i/>
          <w:iCs/>
          <w:sz w:val="24"/>
          <w:szCs w:val="24"/>
          <w:highlight w:val="green"/>
        </w:rPr>
        <w:t xml:space="preserve"> dosage within fixed-binder series</w:t>
      </w:r>
    </w:p>
    <w:p w14:paraId="07BB7ABA"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AT1–AT4 share the same listed lime–metakaolin–granite proportions (20/10/20 mass %) and water-to-binder ratio (0.42), while basalt-</w:t>
      </w:r>
      <w:proofErr w:type="spellStart"/>
      <w:r>
        <w:rPr>
          <w:rFonts w:ascii="Times New Roman" w:hAnsi="Times New Roman" w:cs="Times New Roman"/>
          <w:sz w:val="24"/>
          <w:szCs w:val="24"/>
          <w:highlight w:val="yellow"/>
        </w:rPr>
        <w:t>fibre</w:t>
      </w:r>
      <w:proofErr w:type="spellEnd"/>
      <w:r>
        <w:rPr>
          <w:rFonts w:ascii="Times New Roman" w:hAnsi="Times New Roman" w:cs="Times New Roman"/>
          <w:sz w:val="24"/>
          <w:szCs w:val="24"/>
          <w:highlight w:val="yellow"/>
        </w:rPr>
        <w:t xml:space="preserve"> dosage increases from 0 to 1.5 mass % and sand is adjusted to maintain the listed mass balance. This is the closest available within-series descriptive comparison; however, </w:t>
      </w:r>
      <w:proofErr w:type="spellStart"/>
      <w:r>
        <w:rPr>
          <w:rFonts w:ascii="Times New Roman" w:hAnsi="Times New Roman" w:cs="Times New Roman"/>
          <w:sz w:val="24"/>
          <w:szCs w:val="24"/>
          <w:highlight w:val="yellow"/>
        </w:rPr>
        <w:t>fibre</w:t>
      </w:r>
      <w:proofErr w:type="spellEnd"/>
      <w:r>
        <w:rPr>
          <w:rFonts w:ascii="Times New Roman" w:hAnsi="Times New Roman" w:cs="Times New Roman"/>
          <w:sz w:val="24"/>
          <w:szCs w:val="24"/>
          <w:highlight w:val="yellow"/>
        </w:rPr>
        <w:t xml:space="preserve"> dosage is not fully isolated from sand content, packing and other possible batch differences, and no independent-batch replicates or uncertainty estimates are supplied. The observed trend should not be attributed solely to </w:t>
      </w:r>
      <w:proofErr w:type="spellStart"/>
      <w:r>
        <w:rPr>
          <w:rFonts w:ascii="Times New Roman" w:hAnsi="Times New Roman" w:cs="Times New Roman"/>
          <w:sz w:val="24"/>
          <w:szCs w:val="24"/>
          <w:highlight w:val="yellow"/>
        </w:rPr>
        <w:t>fibre</w:t>
      </w:r>
      <w:proofErr w:type="spellEnd"/>
      <w:r>
        <w:rPr>
          <w:rFonts w:ascii="Times New Roman" w:hAnsi="Times New Roman" w:cs="Times New Roman"/>
          <w:sz w:val="24"/>
          <w:szCs w:val="24"/>
          <w:highlight w:val="yellow"/>
        </w:rPr>
        <w:t xml:space="preserve"> addition.</w:t>
      </w:r>
    </w:p>
    <w:p w14:paraId="3E5FF7C7" w14:textId="77777777" w:rsidR="00FC26F6"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 xml:space="preserve">The AT3-to-AT4 and AT5-to-AT6 differences are arithmetic comparisons of reported means, not statistically tested effects. AT3-to-AT4 changes the listed </w:t>
      </w:r>
      <w:proofErr w:type="spellStart"/>
      <w:r>
        <w:rPr>
          <w:rFonts w:ascii="Times New Roman" w:hAnsi="Times New Roman" w:cs="Times New Roman"/>
          <w:sz w:val="24"/>
          <w:szCs w:val="24"/>
          <w:highlight w:val="yellow"/>
        </w:rPr>
        <w:t>fibre</w:t>
      </w:r>
      <w:proofErr w:type="spellEnd"/>
      <w:r>
        <w:rPr>
          <w:rFonts w:ascii="Times New Roman" w:hAnsi="Times New Roman" w:cs="Times New Roman"/>
          <w:sz w:val="24"/>
          <w:szCs w:val="24"/>
          <w:highlight w:val="yellow"/>
        </w:rPr>
        <w:t xml:space="preserve"> dosage from 1.0% to 1.5% and the sand fraction accordingly; AT5-to-AT6 makes a similar change in a different binder/filler and water-to-binder system. These comparisons are consistent with a possible association between the formulation changes and measured properties, but they do not </w:t>
      </w:r>
      <w:r>
        <w:rPr>
          <w:rFonts w:ascii="Times New Roman" w:hAnsi="Times New Roman" w:cs="Times New Roman"/>
          <w:sz w:val="24"/>
          <w:szCs w:val="24"/>
          <w:highlight w:val="yellow"/>
        </w:rPr>
        <w:lastRenderedPageBreak/>
        <w:t xml:space="preserve">independently quantify a </w:t>
      </w:r>
      <w:proofErr w:type="spellStart"/>
      <w:r>
        <w:rPr>
          <w:rFonts w:ascii="Times New Roman" w:hAnsi="Times New Roman" w:cs="Times New Roman"/>
          <w:sz w:val="24"/>
          <w:szCs w:val="24"/>
          <w:highlight w:val="yellow"/>
        </w:rPr>
        <w:t>fibre</w:t>
      </w:r>
      <w:proofErr w:type="spellEnd"/>
      <w:r>
        <w:rPr>
          <w:rFonts w:ascii="Times New Roman" w:hAnsi="Times New Roman" w:cs="Times New Roman"/>
          <w:sz w:val="24"/>
          <w:szCs w:val="24"/>
          <w:highlight w:val="yellow"/>
        </w:rPr>
        <w:t xml:space="preserve"> effect. Table 14 and Figure 21 give the corresponding percentage changes in each property.</w:t>
      </w:r>
    </w:p>
    <w:p w14:paraId="02B16EB4" w14:textId="77777777" w:rsidR="00B06580" w:rsidRPr="003E0CF1" w:rsidRDefault="00000000" w:rsidP="00F9519E">
      <w:pPr>
        <w:keepNext/>
        <w:jc w:val="both"/>
        <w:rPr>
          <w:rFonts w:ascii="Times New Roman" w:hAnsi="Times New Roman" w:cs="Times New Roman"/>
          <w:sz w:val="24"/>
          <w:szCs w:val="24"/>
        </w:rPr>
      </w:pPr>
      <w:r>
        <w:rPr>
          <w:rFonts w:ascii="Times New Roman" w:hAnsi="Times New Roman" w:cs="Times New Roman"/>
          <w:b/>
          <w:bCs/>
          <w:sz w:val="24"/>
          <w:szCs w:val="24"/>
          <w:highlight w:val="cyan"/>
        </w:rPr>
        <w:t xml:space="preserve">Table 14. </w:t>
      </w:r>
      <w:r>
        <w:rPr>
          <w:rFonts w:ascii="Times New Roman" w:hAnsi="Times New Roman" w:cs="Times New Roman"/>
          <w:i/>
          <w:iCs/>
          <w:sz w:val="24"/>
          <w:szCs w:val="24"/>
          <w:highlight w:val="cyan"/>
        </w:rPr>
        <w:t>Percentage change with basalt-</w:t>
      </w:r>
      <w:proofErr w:type="spellStart"/>
      <w:r>
        <w:rPr>
          <w:rFonts w:ascii="Times New Roman" w:hAnsi="Times New Roman" w:cs="Times New Roman"/>
          <w:i/>
          <w:iCs/>
          <w:sz w:val="24"/>
          <w:szCs w:val="24"/>
          <w:highlight w:val="cyan"/>
        </w:rPr>
        <w:t>fibre</w:t>
      </w:r>
      <w:proofErr w:type="spellEnd"/>
      <w:r>
        <w:rPr>
          <w:rFonts w:ascii="Times New Roman" w:hAnsi="Times New Roman" w:cs="Times New Roman"/>
          <w:i/>
          <w:iCs/>
          <w:sz w:val="24"/>
          <w:szCs w:val="24"/>
          <w:highlight w:val="cyan"/>
        </w:rPr>
        <w:t xml:space="preserve"> dosage within fixed-binder series.</w:t>
      </w:r>
    </w:p>
    <w:tbl>
      <w:tblPr>
        <w:tblStyle w:val="TableGrid"/>
        <w:tblW w:w="9026" w:type="dxa"/>
        <w:tblLayout w:type="fixed"/>
        <w:tblLook w:val="04A0" w:firstRow="1" w:lastRow="0" w:firstColumn="1" w:lastColumn="0" w:noHBand="0" w:noVBand="1"/>
      </w:tblPr>
      <w:tblGrid>
        <w:gridCol w:w="2826"/>
        <w:gridCol w:w="2066"/>
        <w:gridCol w:w="2066"/>
        <w:gridCol w:w="2068"/>
      </w:tblGrid>
      <w:tr w:rsidR="00B06580" w:rsidRPr="003E0CF1" w14:paraId="1B81335C" w14:textId="77777777">
        <w:trPr>
          <w:cantSplit/>
          <w:tblHeader/>
        </w:trPr>
        <w:tc>
          <w:tcPr>
            <w:tcW w:w="2826" w:type="dxa"/>
            <w:vAlign w:val="center"/>
          </w:tcPr>
          <w:p w14:paraId="6BF0A7F6"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Property</w:t>
            </w:r>
          </w:p>
        </w:tc>
        <w:tc>
          <w:tcPr>
            <w:tcW w:w="2066" w:type="dxa"/>
            <w:vAlign w:val="center"/>
          </w:tcPr>
          <w:p w14:paraId="0A686788"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AT1 → AT4 (0 → 1.5% BF; w/b 0.42)</w:t>
            </w:r>
          </w:p>
        </w:tc>
        <w:tc>
          <w:tcPr>
            <w:tcW w:w="2066" w:type="dxa"/>
            <w:vAlign w:val="center"/>
          </w:tcPr>
          <w:p w14:paraId="62588AD2"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AT3 → AT4 (1.0 → 1.5% BF; w/b 0.42)</w:t>
            </w:r>
          </w:p>
        </w:tc>
        <w:tc>
          <w:tcPr>
            <w:tcW w:w="2068" w:type="dxa"/>
            <w:vAlign w:val="center"/>
          </w:tcPr>
          <w:p w14:paraId="79D27FE3"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AT5 → AT6 (1.0 → 1.5% BF; w/b 0.40)</w:t>
            </w:r>
          </w:p>
        </w:tc>
      </w:tr>
      <w:tr w:rsidR="00B06580" w:rsidRPr="003E0CF1" w14:paraId="333DBF09" w14:textId="77777777">
        <w:trPr>
          <w:cantSplit/>
        </w:trPr>
        <w:tc>
          <w:tcPr>
            <w:tcW w:w="2826" w:type="dxa"/>
            <w:vAlign w:val="center"/>
          </w:tcPr>
          <w:p w14:paraId="469C08B1"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Density (kg/m</w:t>
            </w:r>
            <w:r>
              <w:rPr>
                <w:rFonts w:ascii="Times New Roman" w:hAnsi="Times New Roman" w:cs="Times New Roman"/>
                <w:sz w:val="24"/>
                <w:szCs w:val="24"/>
                <w:highlight w:val="green"/>
                <w:vertAlign w:val="superscript"/>
              </w:rPr>
              <w:t>3</w:t>
            </w:r>
            <w:r>
              <w:rPr>
                <w:rFonts w:ascii="Times New Roman" w:hAnsi="Times New Roman" w:cs="Times New Roman"/>
                <w:sz w:val="24"/>
                <w:szCs w:val="24"/>
                <w:highlight w:val="green"/>
              </w:rPr>
              <w:t>)</w:t>
            </w:r>
          </w:p>
        </w:tc>
        <w:tc>
          <w:tcPr>
            <w:tcW w:w="2066" w:type="dxa"/>
            <w:vAlign w:val="center"/>
          </w:tcPr>
          <w:p w14:paraId="6B0657F3"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+1.4</w:t>
            </w:r>
          </w:p>
        </w:tc>
        <w:tc>
          <w:tcPr>
            <w:tcW w:w="2066" w:type="dxa"/>
            <w:vAlign w:val="center"/>
          </w:tcPr>
          <w:p w14:paraId="6D68E376"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+0.7</w:t>
            </w:r>
          </w:p>
        </w:tc>
        <w:tc>
          <w:tcPr>
            <w:tcW w:w="2068" w:type="dxa"/>
            <w:vAlign w:val="center"/>
          </w:tcPr>
          <w:p w14:paraId="6BEB0C24"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+0.5</w:t>
            </w:r>
          </w:p>
        </w:tc>
      </w:tr>
      <w:tr w:rsidR="00B06580" w:rsidRPr="003E0CF1" w14:paraId="590DC4D6" w14:textId="77777777">
        <w:trPr>
          <w:cantSplit/>
        </w:trPr>
        <w:tc>
          <w:tcPr>
            <w:tcW w:w="2826" w:type="dxa"/>
            <w:vAlign w:val="center"/>
          </w:tcPr>
          <w:p w14:paraId="62D67CC8"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Water absorption (%)</w:t>
            </w:r>
          </w:p>
        </w:tc>
        <w:tc>
          <w:tcPr>
            <w:tcW w:w="2066" w:type="dxa"/>
            <w:vAlign w:val="center"/>
          </w:tcPr>
          <w:p w14:paraId="597DED8E"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−19.5</w:t>
            </w:r>
          </w:p>
        </w:tc>
        <w:tc>
          <w:tcPr>
            <w:tcW w:w="2066" w:type="dxa"/>
            <w:vAlign w:val="center"/>
          </w:tcPr>
          <w:p w14:paraId="4F0F45D0"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−4.4</w:t>
            </w:r>
          </w:p>
        </w:tc>
        <w:tc>
          <w:tcPr>
            <w:tcW w:w="2068" w:type="dxa"/>
            <w:vAlign w:val="center"/>
          </w:tcPr>
          <w:p w14:paraId="17F6259D"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−8.6</w:t>
            </w:r>
          </w:p>
        </w:tc>
      </w:tr>
      <w:tr w:rsidR="00B06580" w:rsidRPr="003E0CF1" w14:paraId="482E2ED4" w14:textId="77777777">
        <w:trPr>
          <w:cantSplit/>
        </w:trPr>
        <w:tc>
          <w:tcPr>
            <w:tcW w:w="2826" w:type="dxa"/>
            <w:vAlign w:val="center"/>
          </w:tcPr>
          <w:p w14:paraId="0045268E"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Apparent porosity (%)</w:t>
            </w:r>
          </w:p>
        </w:tc>
        <w:tc>
          <w:tcPr>
            <w:tcW w:w="2066" w:type="dxa"/>
            <w:vAlign w:val="center"/>
          </w:tcPr>
          <w:p w14:paraId="77E4BCC5"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−20.3</w:t>
            </w:r>
          </w:p>
        </w:tc>
        <w:tc>
          <w:tcPr>
            <w:tcW w:w="2066" w:type="dxa"/>
            <w:vAlign w:val="center"/>
          </w:tcPr>
          <w:p w14:paraId="1D2AD1B3"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−4.2</w:t>
            </w:r>
          </w:p>
        </w:tc>
        <w:tc>
          <w:tcPr>
            <w:tcW w:w="2068" w:type="dxa"/>
            <w:vAlign w:val="center"/>
          </w:tcPr>
          <w:p w14:paraId="0EBB72C2"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−7.5</w:t>
            </w:r>
          </w:p>
        </w:tc>
      </w:tr>
      <w:tr w:rsidR="00B06580" w:rsidRPr="003E0CF1" w14:paraId="692F9E4C" w14:textId="77777777">
        <w:trPr>
          <w:cantSplit/>
        </w:trPr>
        <w:tc>
          <w:tcPr>
            <w:tcW w:w="2826" w:type="dxa"/>
            <w:vAlign w:val="center"/>
          </w:tcPr>
          <w:p w14:paraId="2EC75741" w14:textId="77777777" w:rsidR="00B06580" w:rsidRPr="003E0CF1" w:rsidRDefault="00000000" w:rsidP="00F9519E">
            <w:pPr>
              <w:jc w:val="both"/>
              <w:rPr>
                <w:rFonts w:ascii="Times New Roman" w:hAnsi="Times New Roman" w:cs="Times New Roman"/>
                <w:sz w:val="24"/>
                <w:szCs w:val="24"/>
              </w:rPr>
            </w:pPr>
            <w:proofErr w:type="spellStart"/>
            <w:r>
              <w:rPr>
                <w:rFonts w:ascii="Times New Roman" w:hAnsi="Times New Roman" w:cs="Times New Roman"/>
                <w:sz w:val="24"/>
                <w:szCs w:val="24"/>
                <w:highlight w:val="green"/>
              </w:rPr>
              <w:t>Sorptivity</w:t>
            </w:r>
            <w:proofErr w:type="spellEnd"/>
            <w:r>
              <w:rPr>
                <w:rFonts w:ascii="Times New Roman" w:hAnsi="Times New Roman" w:cs="Times New Roman"/>
                <w:sz w:val="24"/>
                <w:szCs w:val="24"/>
                <w:highlight w:val="green"/>
              </w:rPr>
              <w:t xml:space="preserve"> (mm/min</w:t>
            </w:r>
            <w:r>
              <w:rPr>
                <w:rFonts w:ascii="Times New Roman" w:hAnsi="Times New Roman" w:cs="Times New Roman"/>
                <w:sz w:val="24"/>
                <w:szCs w:val="24"/>
                <w:highlight w:val="green"/>
                <w:vertAlign w:val="superscript"/>
              </w:rPr>
              <w:t>0.5</w:t>
            </w:r>
            <w:r>
              <w:rPr>
                <w:rFonts w:ascii="Times New Roman" w:hAnsi="Times New Roman" w:cs="Times New Roman"/>
                <w:sz w:val="24"/>
                <w:szCs w:val="24"/>
                <w:highlight w:val="green"/>
              </w:rPr>
              <w:t>)</w:t>
            </w:r>
          </w:p>
        </w:tc>
        <w:tc>
          <w:tcPr>
            <w:tcW w:w="2066" w:type="dxa"/>
            <w:vAlign w:val="center"/>
          </w:tcPr>
          <w:p w14:paraId="306B2318"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−34.9</w:t>
            </w:r>
          </w:p>
        </w:tc>
        <w:tc>
          <w:tcPr>
            <w:tcW w:w="2066" w:type="dxa"/>
            <w:vAlign w:val="center"/>
          </w:tcPr>
          <w:p w14:paraId="192E1854"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−8.9</w:t>
            </w:r>
          </w:p>
        </w:tc>
        <w:tc>
          <w:tcPr>
            <w:tcW w:w="2068" w:type="dxa"/>
            <w:vAlign w:val="center"/>
          </w:tcPr>
          <w:p w14:paraId="1868025E"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−16.2</w:t>
            </w:r>
          </w:p>
        </w:tc>
      </w:tr>
      <w:tr w:rsidR="00B06580" w:rsidRPr="003E0CF1" w14:paraId="67F75AD2" w14:textId="77777777">
        <w:trPr>
          <w:cantSplit/>
        </w:trPr>
        <w:tc>
          <w:tcPr>
            <w:tcW w:w="2826" w:type="dxa"/>
            <w:vAlign w:val="center"/>
          </w:tcPr>
          <w:p w14:paraId="62D8B4C1"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Compressive strength (MPa)</w:t>
            </w:r>
          </w:p>
        </w:tc>
        <w:tc>
          <w:tcPr>
            <w:tcW w:w="2066" w:type="dxa"/>
            <w:vAlign w:val="center"/>
          </w:tcPr>
          <w:p w14:paraId="2E9B4694"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+19.9</w:t>
            </w:r>
          </w:p>
        </w:tc>
        <w:tc>
          <w:tcPr>
            <w:tcW w:w="2066" w:type="dxa"/>
            <w:vAlign w:val="center"/>
          </w:tcPr>
          <w:p w14:paraId="15EF55EA"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+2.5</w:t>
            </w:r>
          </w:p>
        </w:tc>
        <w:tc>
          <w:tcPr>
            <w:tcW w:w="2068" w:type="dxa"/>
            <w:vAlign w:val="center"/>
          </w:tcPr>
          <w:p w14:paraId="19BFA3B0"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+5.3</w:t>
            </w:r>
          </w:p>
        </w:tc>
      </w:tr>
      <w:tr w:rsidR="00B06580" w:rsidRPr="003E0CF1" w14:paraId="257BCD85" w14:textId="77777777">
        <w:trPr>
          <w:cantSplit/>
        </w:trPr>
        <w:tc>
          <w:tcPr>
            <w:tcW w:w="2826" w:type="dxa"/>
            <w:vAlign w:val="center"/>
          </w:tcPr>
          <w:p w14:paraId="176419DC"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Flexural strength (MPa)</w:t>
            </w:r>
          </w:p>
        </w:tc>
        <w:tc>
          <w:tcPr>
            <w:tcW w:w="2066" w:type="dxa"/>
            <w:vAlign w:val="center"/>
          </w:tcPr>
          <w:p w14:paraId="7640D227"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+19.9</w:t>
            </w:r>
          </w:p>
        </w:tc>
        <w:tc>
          <w:tcPr>
            <w:tcW w:w="2066" w:type="dxa"/>
            <w:vAlign w:val="center"/>
          </w:tcPr>
          <w:p w14:paraId="2FCB1C14"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+3.1</w:t>
            </w:r>
          </w:p>
        </w:tc>
        <w:tc>
          <w:tcPr>
            <w:tcW w:w="2068" w:type="dxa"/>
            <w:vAlign w:val="center"/>
          </w:tcPr>
          <w:p w14:paraId="1E00F320"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+5.9</w:t>
            </w:r>
          </w:p>
        </w:tc>
      </w:tr>
      <w:tr w:rsidR="00B06580" w:rsidRPr="003E0CF1" w14:paraId="35A552D0" w14:textId="77777777">
        <w:trPr>
          <w:cantSplit/>
        </w:trPr>
        <w:tc>
          <w:tcPr>
            <w:tcW w:w="2826" w:type="dxa"/>
            <w:vAlign w:val="center"/>
          </w:tcPr>
          <w:p w14:paraId="19883851"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Splitting tensile strength (MPa)</w:t>
            </w:r>
          </w:p>
        </w:tc>
        <w:tc>
          <w:tcPr>
            <w:tcW w:w="2066" w:type="dxa"/>
            <w:vAlign w:val="center"/>
          </w:tcPr>
          <w:p w14:paraId="19E53C77"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+22.1</w:t>
            </w:r>
          </w:p>
        </w:tc>
        <w:tc>
          <w:tcPr>
            <w:tcW w:w="2066" w:type="dxa"/>
            <w:vAlign w:val="center"/>
          </w:tcPr>
          <w:p w14:paraId="0A4D6E2F"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+3.3</w:t>
            </w:r>
          </w:p>
        </w:tc>
        <w:tc>
          <w:tcPr>
            <w:tcW w:w="2068" w:type="dxa"/>
            <w:vAlign w:val="center"/>
          </w:tcPr>
          <w:p w14:paraId="5788C974"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+5.1</w:t>
            </w:r>
          </w:p>
        </w:tc>
      </w:tr>
      <w:tr w:rsidR="00B06580" w:rsidRPr="003E0CF1" w14:paraId="17BDA51D" w14:textId="77777777">
        <w:trPr>
          <w:cantSplit/>
        </w:trPr>
        <w:tc>
          <w:tcPr>
            <w:tcW w:w="2826" w:type="dxa"/>
            <w:vAlign w:val="center"/>
          </w:tcPr>
          <w:p w14:paraId="2266D014"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Fracture toughness (MPa·m</w:t>
            </w:r>
            <w:r>
              <w:rPr>
                <w:rFonts w:ascii="Times New Roman" w:hAnsi="Times New Roman" w:cs="Times New Roman"/>
                <w:sz w:val="24"/>
                <w:szCs w:val="24"/>
                <w:highlight w:val="green"/>
                <w:vertAlign w:val="superscript"/>
              </w:rPr>
              <w:t>0.5</w:t>
            </w:r>
            <w:r>
              <w:rPr>
                <w:rFonts w:ascii="Times New Roman" w:hAnsi="Times New Roman" w:cs="Times New Roman"/>
                <w:sz w:val="24"/>
                <w:szCs w:val="24"/>
                <w:highlight w:val="green"/>
              </w:rPr>
              <w:t>)</w:t>
            </w:r>
          </w:p>
        </w:tc>
        <w:tc>
          <w:tcPr>
            <w:tcW w:w="2066" w:type="dxa"/>
            <w:vAlign w:val="center"/>
          </w:tcPr>
          <w:p w14:paraId="5D4952ED"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+52.4</w:t>
            </w:r>
          </w:p>
        </w:tc>
        <w:tc>
          <w:tcPr>
            <w:tcW w:w="2066" w:type="dxa"/>
            <w:vAlign w:val="center"/>
          </w:tcPr>
          <w:p w14:paraId="60FF28C2" w14:textId="77777777" w:rsidR="002324C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+6.3</w:t>
            </w:r>
          </w:p>
        </w:tc>
        <w:tc>
          <w:tcPr>
            <w:tcW w:w="2068" w:type="dxa"/>
            <w:vAlign w:val="center"/>
          </w:tcPr>
          <w:p w14:paraId="37CB9270"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+2.6</w:t>
            </w:r>
          </w:p>
        </w:tc>
      </w:tr>
      <w:tr w:rsidR="00B06580" w:rsidRPr="003E0CF1" w14:paraId="2DDDF240" w14:textId="77777777">
        <w:trPr>
          <w:cantSplit/>
        </w:trPr>
        <w:tc>
          <w:tcPr>
            <w:tcW w:w="2826" w:type="dxa"/>
            <w:vAlign w:val="center"/>
          </w:tcPr>
          <w:p w14:paraId="6173F584"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Residual strength, 5% H</w:t>
            </w:r>
            <w:r>
              <w:rPr>
                <w:rFonts w:ascii="Times New Roman" w:hAnsi="Times New Roman" w:cs="Times New Roman"/>
                <w:sz w:val="24"/>
                <w:szCs w:val="24"/>
                <w:highlight w:val="green"/>
                <w:vertAlign w:val="subscript"/>
              </w:rPr>
              <w:t>2</w:t>
            </w:r>
            <w:r>
              <w:rPr>
                <w:rFonts w:ascii="Times New Roman" w:hAnsi="Times New Roman" w:cs="Times New Roman"/>
                <w:sz w:val="24"/>
                <w:szCs w:val="24"/>
                <w:highlight w:val="green"/>
              </w:rPr>
              <w:t>SO</w:t>
            </w:r>
            <w:r>
              <w:rPr>
                <w:rFonts w:ascii="Times New Roman" w:hAnsi="Times New Roman" w:cs="Times New Roman"/>
                <w:sz w:val="24"/>
                <w:szCs w:val="24"/>
                <w:highlight w:val="green"/>
                <w:vertAlign w:val="subscript"/>
              </w:rPr>
              <w:t>4</w:t>
            </w:r>
            <w:r>
              <w:rPr>
                <w:rFonts w:ascii="Times New Roman" w:hAnsi="Times New Roman" w:cs="Times New Roman"/>
                <w:sz w:val="24"/>
                <w:szCs w:val="24"/>
                <w:highlight w:val="green"/>
              </w:rPr>
              <w:t xml:space="preserve"> (%)</w:t>
            </w:r>
          </w:p>
        </w:tc>
        <w:tc>
          <w:tcPr>
            <w:tcW w:w="2066" w:type="dxa"/>
            <w:vAlign w:val="center"/>
          </w:tcPr>
          <w:p w14:paraId="389EBAB2"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+12.0</w:t>
            </w:r>
          </w:p>
        </w:tc>
        <w:tc>
          <w:tcPr>
            <w:tcW w:w="2066" w:type="dxa"/>
            <w:vAlign w:val="center"/>
          </w:tcPr>
          <w:p w14:paraId="3C6D0E2A"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+3.3</w:t>
            </w:r>
          </w:p>
        </w:tc>
        <w:tc>
          <w:tcPr>
            <w:tcW w:w="2068" w:type="dxa"/>
            <w:vAlign w:val="center"/>
          </w:tcPr>
          <w:p w14:paraId="3EC53062"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+2.4</w:t>
            </w:r>
          </w:p>
        </w:tc>
      </w:tr>
      <w:tr w:rsidR="00B06580" w:rsidRPr="003E0CF1" w14:paraId="6C7FC799" w14:textId="77777777">
        <w:trPr>
          <w:cantSplit/>
        </w:trPr>
        <w:tc>
          <w:tcPr>
            <w:tcW w:w="2826" w:type="dxa"/>
            <w:vAlign w:val="center"/>
          </w:tcPr>
          <w:p w14:paraId="36A34224"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Thermal conductivity (W/</w:t>
            </w:r>
            <w:proofErr w:type="spellStart"/>
            <w:r>
              <w:rPr>
                <w:rFonts w:ascii="Times New Roman" w:hAnsi="Times New Roman" w:cs="Times New Roman"/>
                <w:sz w:val="24"/>
                <w:szCs w:val="24"/>
                <w:highlight w:val="green"/>
              </w:rPr>
              <w:t>m·K</w:t>
            </w:r>
            <w:proofErr w:type="spellEnd"/>
            <w:r>
              <w:rPr>
                <w:rFonts w:ascii="Times New Roman" w:hAnsi="Times New Roman" w:cs="Times New Roman"/>
                <w:sz w:val="24"/>
                <w:szCs w:val="24"/>
                <w:highlight w:val="green"/>
              </w:rPr>
              <w:t>)</w:t>
            </w:r>
          </w:p>
        </w:tc>
        <w:tc>
          <w:tcPr>
            <w:tcW w:w="2066" w:type="dxa"/>
            <w:vAlign w:val="center"/>
          </w:tcPr>
          <w:p w14:paraId="302D1E18"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−20.5</w:t>
            </w:r>
          </w:p>
        </w:tc>
        <w:tc>
          <w:tcPr>
            <w:tcW w:w="2066" w:type="dxa"/>
            <w:vAlign w:val="center"/>
          </w:tcPr>
          <w:p w14:paraId="4DE84F57"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−3.7</w:t>
            </w:r>
          </w:p>
        </w:tc>
        <w:tc>
          <w:tcPr>
            <w:tcW w:w="2068" w:type="dxa"/>
            <w:vAlign w:val="center"/>
          </w:tcPr>
          <w:p w14:paraId="6438A787"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−5.1</w:t>
            </w:r>
          </w:p>
        </w:tc>
      </w:tr>
      <w:tr w:rsidR="00B06580" w:rsidRPr="003E0CF1" w14:paraId="00DE36B1" w14:textId="77777777">
        <w:trPr>
          <w:cantSplit/>
        </w:trPr>
        <w:tc>
          <w:tcPr>
            <w:tcW w:w="2826" w:type="dxa"/>
            <w:vAlign w:val="center"/>
          </w:tcPr>
          <w:p w14:paraId="7D192573"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CTE (×10</w:t>
            </w:r>
            <w:r>
              <w:rPr>
                <w:rFonts w:ascii="Times New Roman" w:hAnsi="Times New Roman" w:cs="Times New Roman"/>
                <w:sz w:val="24"/>
                <w:szCs w:val="24"/>
                <w:highlight w:val="green"/>
                <w:vertAlign w:val="superscript"/>
              </w:rPr>
              <w:t>−6</w:t>
            </w:r>
            <w:r>
              <w:rPr>
                <w:rFonts w:ascii="Times New Roman" w:hAnsi="Times New Roman" w:cs="Times New Roman"/>
                <w:sz w:val="24"/>
                <w:szCs w:val="24"/>
                <w:highlight w:val="green"/>
              </w:rPr>
              <w:t>/°C)</w:t>
            </w:r>
          </w:p>
        </w:tc>
        <w:tc>
          <w:tcPr>
            <w:tcW w:w="2066" w:type="dxa"/>
            <w:vAlign w:val="center"/>
          </w:tcPr>
          <w:p w14:paraId="48BEAA22"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−15.9</w:t>
            </w:r>
          </w:p>
        </w:tc>
        <w:tc>
          <w:tcPr>
            <w:tcW w:w="2066" w:type="dxa"/>
            <w:vAlign w:val="center"/>
          </w:tcPr>
          <w:p w14:paraId="5591AFD8"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−2.6</w:t>
            </w:r>
          </w:p>
        </w:tc>
        <w:tc>
          <w:tcPr>
            <w:tcW w:w="2068" w:type="dxa"/>
            <w:vAlign w:val="center"/>
          </w:tcPr>
          <w:p w14:paraId="5113D4F9"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−2.8</w:t>
            </w:r>
          </w:p>
        </w:tc>
      </w:tr>
    </w:tbl>
    <w:p w14:paraId="67E4DCCB"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 xml:space="preserve"> </w:t>
      </w:r>
    </w:p>
    <w:p w14:paraId="51F7564D" w14:textId="77777777" w:rsidR="00B06580" w:rsidRPr="003E0CF1" w:rsidRDefault="00000000" w:rsidP="00F9519E">
      <w:pPr>
        <w:keepNext/>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8A41D5" wp14:editId="4F0C53FB">
            <wp:extent cx="5669280" cy="2568892"/>
            <wp:effectExtent l="0" t="0" r="0" b="0"/>
            <wp:docPr id="1002" name="Picture 1002" descr="Effect of basalt-fibre dosage on fracture toughness and compressive str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002"/>
                    <pic:cNvPicPr/>
                  </pic:nvPicPr>
                  <pic:blipFill>
                    <a:blip r:embed="rId27"/>
                    <a:stretch>
                      <a:fillRect/>
                    </a:stretch>
                  </pic:blipFill>
                  <pic:spPr>
                    <a:xfrm>
                      <a:off x="0" y="0"/>
                      <a:ext cx="5669280" cy="2568892"/>
                    </a:xfrm>
                    <a:prstGeom prst="rect">
                      <a:avLst/>
                    </a:prstGeom>
                  </pic:spPr>
                </pic:pic>
              </a:graphicData>
            </a:graphic>
          </wp:inline>
        </w:drawing>
      </w:r>
    </w:p>
    <w:p w14:paraId="18B6A543"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cyan"/>
        </w:rPr>
        <w:t>Figure 21. Effect of basalt-</w:t>
      </w:r>
      <w:proofErr w:type="spellStart"/>
      <w:r>
        <w:rPr>
          <w:rFonts w:ascii="Times New Roman" w:hAnsi="Times New Roman" w:cs="Times New Roman"/>
          <w:sz w:val="24"/>
          <w:szCs w:val="24"/>
          <w:highlight w:val="cyan"/>
        </w:rPr>
        <w:t>fibre</w:t>
      </w:r>
      <w:proofErr w:type="spellEnd"/>
      <w:r>
        <w:rPr>
          <w:rFonts w:ascii="Times New Roman" w:hAnsi="Times New Roman" w:cs="Times New Roman"/>
          <w:sz w:val="24"/>
          <w:szCs w:val="24"/>
          <w:highlight w:val="cyan"/>
        </w:rPr>
        <w:t xml:space="preserve"> dosage on (a) fracture toughness and (b) compressive strength; dashed line: C0.</w:t>
      </w:r>
    </w:p>
    <w:p w14:paraId="31EEB449" w14:textId="77777777" w:rsidR="00B06580" w:rsidRPr="003E0CF1" w:rsidRDefault="00000000" w:rsidP="00F9519E">
      <w:pPr>
        <w:keepNext/>
        <w:jc w:val="both"/>
        <w:rPr>
          <w:rFonts w:ascii="Times New Roman" w:hAnsi="Times New Roman" w:cs="Times New Roman"/>
          <w:sz w:val="24"/>
          <w:szCs w:val="24"/>
        </w:rPr>
      </w:pPr>
      <w:r>
        <w:rPr>
          <w:rFonts w:ascii="Times New Roman" w:hAnsi="Times New Roman" w:cs="Times New Roman"/>
          <w:b/>
          <w:bCs/>
          <w:i/>
          <w:iCs/>
          <w:sz w:val="24"/>
          <w:szCs w:val="24"/>
          <w:highlight w:val="green"/>
        </w:rPr>
        <w:t>4.13.4 Porosity–property relations</w:t>
      </w:r>
    </w:p>
    <w:p w14:paraId="2D873029"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Equation (5) was fitted to ln(y) versus porosity P by ordinary least squares (Table 15, Figure 22). The reported R² values describe how the seven mixture-level summary points follow the selected mathematical form; they do not represent independent validation. The points are mixture summaries rather than replicates, the porosity range is narrow, C0 differs in binder chemistry, and several formulation variables change together. Accordingly, the fits are descriptive and should be evaluated for predictive use only after replicated data, uncertainty analysis and external validation are available.</w:t>
      </w:r>
      <w:r>
        <w:rPr>
          <w:rFonts w:ascii="Times New Roman" w:hAnsi="Times New Roman" w:cs="Times New Roman"/>
          <w:sz w:val="24"/>
          <w:szCs w:val="24"/>
          <w:highlight w:val="cyan"/>
        </w:rPr>
        <w:t xml:space="preserve"> In Table 15, P is expressed as a fraction, </w:t>
      </w:r>
      <w:r>
        <w:rPr>
          <w:rFonts w:ascii="Times New Roman" w:hAnsi="Times New Roman" w:cs="Times New Roman"/>
          <w:i/>
          <w:iCs/>
          <w:sz w:val="24"/>
          <w:szCs w:val="24"/>
          <w:highlight w:val="cyan"/>
        </w:rPr>
        <w:t>y</w:t>
      </w:r>
      <w:r>
        <w:rPr>
          <w:rFonts w:ascii="Times New Roman" w:hAnsi="Times New Roman" w:cs="Times New Roman"/>
          <w:sz w:val="24"/>
          <w:szCs w:val="24"/>
          <w:highlight w:val="cyan"/>
          <w:vertAlign w:val="subscript"/>
        </w:rPr>
        <w:t>0</w:t>
      </w:r>
      <w:r>
        <w:rPr>
          <w:rFonts w:ascii="Times New Roman" w:hAnsi="Times New Roman" w:cs="Times New Roman"/>
          <w:sz w:val="24"/>
          <w:szCs w:val="24"/>
          <w:highlight w:val="cyan"/>
        </w:rPr>
        <w:t xml:space="preserve"> is a fitting constant, and the data sets are either all seven mixtures or the six AT-MMC mixtures </w:t>
      </w:r>
      <w:r>
        <w:rPr>
          <w:rFonts w:ascii="Times New Roman" w:hAnsi="Times New Roman" w:cs="Times New Roman"/>
          <w:sz w:val="24"/>
          <w:szCs w:val="24"/>
          <w:highlight w:val="cyan"/>
        </w:rPr>
        <w:lastRenderedPageBreak/>
        <w:t>alone (n ≤ 7). Figure 22 shows the fits for compressive strength and fracture toughness using all seven mixtures.</w:t>
      </w:r>
    </w:p>
    <w:p w14:paraId="364F4DFE" w14:textId="77777777" w:rsidR="00B06580" w:rsidRPr="003E0CF1" w:rsidRDefault="00000000" w:rsidP="00F9519E">
      <w:pPr>
        <w:keepNext/>
        <w:jc w:val="both"/>
        <w:rPr>
          <w:rFonts w:ascii="Times New Roman" w:hAnsi="Times New Roman" w:cs="Times New Roman"/>
          <w:sz w:val="24"/>
          <w:szCs w:val="24"/>
        </w:rPr>
      </w:pPr>
      <w:r>
        <w:rPr>
          <w:rFonts w:ascii="Times New Roman" w:hAnsi="Times New Roman" w:cs="Times New Roman"/>
          <w:b/>
          <w:bCs/>
          <w:sz w:val="24"/>
          <w:szCs w:val="24"/>
          <w:highlight w:val="cyan"/>
        </w:rPr>
        <w:t xml:space="preserve">Table 15. </w:t>
      </w:r>
      <w:proofErr w:type="spellStart"/>
      <w:r>
        <w:rPr>
          <w:rFonts w:ascii="Times New Roman" w:hAnsi="Times New Roman" w:cs="Times New Roman"/>
          <w:i/>
          <w:iCs/>
          <w:sz w:val="24"/>
          <w:szCs w:val="24"/>
          <w:highlight w:val="cyan"/>
        </w:rPr>
        <w:t>Ryshkewitch</w:t>
      </w:r>
      <w:proofErr w:type="spellEnd"/>
      <w:r>
        <w:rPr>
          <w:rFonts w:ascii="Times New Roman" w:hAnsi="Times New Roman" w:cs="Times New Roman"/>
          <w:i/>
          <w:iCs/>
          <w:sz w:val="24"/>
          <w:szCs w:val="24"/>
          <w:highlight w:val="cyan"/>
        </w:rPr>
        <w:t>-type fits of strength properties to apparent porosity, Eq. (5).</w:t>
      </w:r>
    </w:p>
    <w:tbl>
      <w:tblPr>
        <w:tblStyle w:val="TableGrid"/>
        <w:tblW w:w="9026" w:type="dxa"/>
        <w:tblLayout w:type="fixed"/>
        <w:tblLook w:val="04A0" w:firstRow="1" w:lastRow="0" w:firstColumn="1" w:lastColumn="0" w:noHBand="0" w:noVBand="1"/>
      </w:tblPr>
      <w:tblGrid>
        <w:gridCol w:w="2300"/>
        <w:gridCol w:w="2200"/>
        <w:gridCol w:w="1900"/>
        <w:gridCol w:w="1200"/>
        <w:gridCol w:w="1426"/>
      </w:tblGrid>
      <w:tr w:rsidR="00B06580" w:rsidRPr="003E0CF1" w14:paraId="40CD952F" w14:textId="77777777">
        <w:trPr>
          <w:cantSplit/>
          <w:tblHeader/>
        </w:trPr>
        <w:tc>
          <w:tcPr>
            <w:tcW w:w="2300" w:type="dxa"/>
            <w:vAlign w:val="center"/>
          </w:tcPr>
          <w:p w14:paraId="1B6FCC7D"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Response (y)</w:t>
            </w:r>
          </w:p>
        </w:tc>
        <w:tc>
          <w:tcPr>
            <w:tcW w:w="2200" w:type="dxa"/>
            <w:vAlign w:val="center"/>
          </w:tcPr>
          <w:p w14:paraId="2B048844"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Data set</w:t>
            </w:r>
          </w:p>
        </w:tc>
        <w:tc>
          <w:tcPr>
            <w:tcW w:w="1900" w:type="dxa"/>
            <w:vAlign w:val="center"/>
          </w:tcPr>
          <w:p w14:paraId="67EC5CA9"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y</w:t>
            </w:r>
            <w:r>
              <w:rPr>
                <w:rFonts w:ascii="Times New Roman" w:hAnsi="Times New Roman" w:cs="Times New Roman"/>
                <w:b/>
                <w:bCs/>
                <w:sz w:val="24"/>
                <w:szCs w:val="24"/>
                <w:highlight w:val="green"/>
                <w:vertAlign w:val="subscript"/>
              </w:rPr>
              <w:t>0</w:t>
            </w:r>
            <w:r>
              <w:rPr>
                <w:rFonts w:ascii="Times New Roman" w:hAnsi="Times New Roman" w:cs="Times New Roman"/>
                <w:b/>
                <w:bCs/>
                <w:sz w:val="24"/>
                <w:szCs w:val="24"/>
                <w:highlight w:val="green"/>
              </w:rPr>
              <w:t xml:space="preserve"> (fitting constant)</w:t>
            </w:r>
          </w:p>
        </w:tc>
        <w:tc>
          <w:tcPr>
            <w:tcW w:w="1200" w:type="dxa"/>
            <w:vAlign w:val="center"/>
          </w:tcPr>
          <w:p w14:paraId="71ABB5EE"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b</w:t>
            </w:r>
          </w:p>
        </w:tc>
        <w:tc>
          <w:tcPr>
            <w:tcW w:w="1426" w:type="dxa"/>
            <w:vAlign w:val="center"/>
          </w:tcPr>
          <w:p w14:paraId="636F52EF"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R</w:t>
            </w:r>
            <w:r>
              <w:rPr>
                <w:rFonts w:ascii="Times New Roman" w:hAnsi="Times New Roman" w:cs="Times New Roman"/>
                <w:b/>
                <w:bCs/>
                <w:sz w:val="24"/>
                <w:szCs w:val="24"/>
                <w:highlight w:val="green"/>
                <w:vertAlign w:val="superscript"/>
              </w:rPr>
              <w:t>2</w:t>
            </w:r>
            <w:r>
              <w:rPr>
                <w:rFonts w:ascii="Times New Roman" w:hAnsi="Times New Roman" w:cs="Times New Roman"/>
                <w:b/>
                <w:bCs/>
                <w:sz w:val="24"/>
                <w:szCs w:val="24"/>
                <w:highlight w:val="green"/>
              </w:rPr>
              <w:t xml:space="preserve"> (of ln y)</w:t>
            </w:r>
          </w:p>
        </w:tc>
      </w:tr>
      <w:tr w:rsidR="00B06580" w:rsidRPr="003E0CF1" w14:paraId="2C2D4FE2" w14:textId="77777777">
        <w:trPr>
          <w:cantSplit/>
        </w:trPr>
        <w:tc>
          <w:tcPr>
            <w:tcW w:w="2300" w:type="dxa"/>
            <w:vAlign w:val="center"/>
          </w:tcPr>
          <w:p w14:paraId="29E0F74E"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Compressive strength</w:t>
            </w:r>
          </w:p>
        </w:tc>
        <w:tc>
          <w:tcPr>
            <w:tcW w:w="2200" w:type="dxa"/>
            <w:vAlign w:val="center"/>
          </w:tcPr>
          <w:p w14:paraId="367C2CE6"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C0 + AT1–AT6 (n = 7)</w:t>
            </w:r>
          </w:p>
        </w:tc>
        <w:tc>
          <w:tcPr>
            <w:tcW w:w="1900" w:type="dxa"/>
            <w:vAlign w:val="center"/>
          </w:tcPr>
          <w:p w14:paraId="54D34AEC"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83.59 MPa</w:t>
            </w:r>
          </w:p>
        </w:tc>
        <w:tc>
          <w:tcPr>
            <w:tcW w:w="1200" w:type="dxa"/>
            <w:vAlign w:val="center"/>
          </w:tcPr>
          <w:p w14:paraId="48EE11A1"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5.66</w:t>
            </w:r>
          </w:p>
        </w:tc>
        <w:tc>
          <w:tcPr>
            <w:tcW w:w="1426" w:type="dxa"/>
            <w:vAlign w:val="center"/>
          </w:tcPr>
          <w:p w14:paraId="70273BC8"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0.939</w:t>
            </w:r>
          </w:p>
        </w:tc>
      </w:tr>
      <w:tr w:rsidR="00B06580" w:rsidRPr="003E0CF1" w14:paraId="02AD681B" w14:textId="77777777">
        <w:trPr>
          <w:cantSplit/>
        </w:trPr>
        <w:tc>
          <w:tcPr>
            <w:tcW w:w="2300" w:type="dxa"/>
            <w:vAlign w:val="center"/>
          </w:tcPr>
          <w:p w14:paraId="615E5E0D"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Compressive strength</w:t>
            </w:r>
          </w:p>
        </w:tc>
        <w:tc>
          <w:tcPr>
            <w:tcW w:w="2200" w:type="dxa"/>
            <w:vAlign w:val="center"/>
          </w:tcPr>
          <w:p w14:paraId="7C4B0777"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AT1–AT6 (n = 6)</w:t>
            </w:r>
          </w:p>
        </w:tc>
        <w:tc>
          <w:tcPr>
            <w:tcW w:w="1900" w:type="dxa"/>
            <w:vAlign w:val="center"/>
          </w:tcPr>
          <w:p w14:paraId="656A4BE7"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102.56 MPa</w:t>
            </w:r>
          </w:p>
        </w:tc>
        <w:tc>
          <w:tcPr>
            <w:tcW w:w="1200" w:type="dxa"/>
            <w:vAlign w:val="center"/>
          </w:tcPr>
          <w:p w14:paraId="39EEB782"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7.90</w:t>
            </w:r>
          </w:p>
        </w:tc>
        <w:tc>
          <w:tcPr>
            <w:tcW w:w="1426" w:type="dxa"/>
            <w:vAlign w:val="center"/>
          </w:tcPr>
          <w:p w14:paraId="1602C0DC"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0.994</w:t>
            </w:r>
          </w:p>
        </w:tc>
      </w:tr>
      <w:tr w:rsidR="00B06580" w:rsidRPr="003E0CF1" w14:paraId="36F68CA9" w14:textId="77777777">
        <w:trPr>
          <w:cantSplit/>
        </w:trPr>
        <w:tc>
          <w:tcPr>
            <w:tcW w:w="2300" w:type="dxa"/>
            <w:vAlign w:val="center"/>
          </w:tcPr>
          <w:p w14:paraId="517F7F6B"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Splitting tensile strength</w:t>
            </w:r>
          </w:p>
        </w:tc>
        <w:tc>
          <w:tcPr>
            <w:tcW w:w="2200" w:type="dxa"/>
            <w:vAlign w:val="center"/>
          </w:tcPr>
          <w:p w14:paraId="2347FAC6"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C0 + AT1–AT6 (n = 7)</w:t>
            </w:r>
          </w:p>
        </w:tc>
        <w:tc>
          <w:tcPr>
            <w:tcW w:w="1900" w:type="dxa"/>
            <w:vAlign w:val="center"/>
          </w:tcPr>
          <w:p w14:paraId="1B6C52AD"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8.17 MPa</w:t>
            </w:r>
          </w:p>
        </w:tc>
        <w:tc>
          <w:tcPr>
            <w:tcW w:w="1200" w:type="dxa"/>
            <w:vAlign w:val="center"/>
          </w:tcPr>
          <w:p w14:paraId="25AC7B09"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6.79</w:t>
            </w:r>
          </w:p>
        </w:tc>
        <w:tc>
          <w:tcPr>
            <w:tcW w:w="1426" w:type="dxa"/>
            <w:vAlign w:val="center"/>
          </w:tcPr>
          <w:p w14:paraId="64F8C6FC"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0.955</w:t>
            </w:r>
          </w:p>
        </w:tc>
      </w:tr>
      <w:tr w:rsidR="00B06580" w:rsidRPr="003E0CF1" w14:paraId="55F6D78A" w14:textId="77777777">
        <w:trPr>
          <w:cantSplit/>
        </w:trPr>
        <w:tc>
          <w:tcPr>
            <w:tcW w:w="2300" w:type="dxa"/>
            <w:vAlign w:val="center"/>
          </w:tcPr>
          <w:p w14:paraId="2B7F0471"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Splitting tensile strength</w:t>
            </w:r>
          </w:p>
        </w:tc>
        <w:tc>
          <w:tcPr>
            <w:tcW w:w="2200" w:type="dxa"/>
            <w:vAlign w:val="center"/>
          </w:tcPr>
          <w:p w14:paraId="42DA1CBF"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AT1–AT6 (n = 6)</w:t>
            </w:r>
          </w:p>
        </w:tc>
        <w:tc>
          <w:tcPr>
            <w:tcW w:w="1900" w:type="dxa"/>
            <w:vAlign w:val="center"/>
          </w:tcPr>
          <w:p w14:paraId="448D9FFB"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10.11 MPa</w:t>
            </w:r>
          </w:p>
        </w:tc>
        <w:tc>
          <w:tcPr>
            <w:tcW w:w="1200" w:type="dxa"/>
            <w:vAlign w:val="center"/>
          </w:tcPr>
          <w:p w14:paraId="083F3CCC"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9.14</w:t>
            </w:r>
          </w:p>
        </w:tc>
        <w:tc>
          <w:tcPr>
            <w:tcW w:w="1426" w:type="dxa"/>
            <w:vAlign w:val="center"/>
          </w:tcPr>
          <w:p w14:paraId="7D0C2510"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0.998</w:t>
            </w:r>
          </w:p>
        </w:tc>
      </w:tr>
      <w:tr w:rsidR="00B06580" w:rsidRPr="003E0CF1" w14:paraId="79ABAEEF" w14:textId="77777777">
        <w:trPr>
          <w:cantSplit/>
        </w:trPr>
        <w:tc>
          <w:tcPr>
            <w:tcW w:w="2300" w:type="dxa"/>
            <w:vAlign w:val="center"/>
          </w:tcPr>
          <w:p w14:paraId="79B7A55E"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Fracture toughness</w:t>
            </w:r>
          </w:p>
        </w:tc>
        <w:tc>
          <w:tcPr>
            <w:tcW w:w="2200" w:type="dxa"/>
            <w:vAlign w:val="center"/>
          </w:tcPr>
          <w:p w14:paraId="154FF7FE"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C0 + AT1–AT6 (n = 7)</w:t>
            </w:r>
          </w:p>
        </w:tc>
        <w:tc>
          <w:tcPr>
            <w:tcW w:w="1900" w:type="dxa"/>
            <w:vAlign w:val="center"/>
          </w:tcPr>
          <w:p w14:paraId="37E99408"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6.45 MPa·m</w:t>
            </w:r>
            <w:r>
              <w:rPr>
                <w:rFonts w:ascii="Times New Roman" w:hAnsi="Times New Roman" w:cs="Times New Roman"/>
                <w:sz w:val="24"/>
                <w:szCs w:val="24"/>
                <w:highlight w:val="green"/>
                <w:vertAlign w:val="superscript"/>
              </w:rPr>
              <w:t>0.5</w:t>
            </w:r>
          </w:p>
        </w:tc>
        <w:tc>
          <w:tcPr>
            <w:tcW w:w="1200" w:type="dxa"/>
            <w:vAlign w:val="center"/>
          </w:tcPr>
          <w:p w14:paraId="16E0B8B2"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12.38</w:t>
            </w:r>
          </w:p>
        </w:tc>
        <w:tc>
          <w:tcPr>
            <w:tcW w:w="1426" w:type="dxa"/>
            <w:vAlign w:val="center"/>
          </w:tcPr>
          <w:p w14:paraId="461A4A92"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0.964</w:t>
            </w:r>
          </w:p>
        </w:tc>
      </w:tr>
      <w:tr w:rsidR="00B06580" w:rsidRPr="003E0CF1" w14:paraId="2F1AE6D0" w14:textId="77777777">
        <w:trPr>
          <w:cantSplit/>
        </w:trPr>
        <w:tc>
          <w:tcPr>
            <w:tcW w:w="2300" w:type="dxa"/>
            <w:vAlign w:val="center"/>
          </w:tcPr>
          <w:p w14:paraId="4A62F63E"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Fracture toughness</w:t>
            </w:r>
          </w:p>
        </w:tc>
        <w:tc>
          <w:tcPr>
            <w:tcW w:w="2200" w:type="dxa"/>
            <w:vAlign w:val="center"/>
          </w:tcPr>
          <w:p w14:paraId="518D8642"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AT1–AT6 (n = 6)</w:t>
            </w:r>
          </w:p>
        </w:tc>
        <w:tc>
          <w:tcPr>
            <w:tcW w:w="1900" w:type="dxa"/>
            <w:vAlign w:val="center"/>
          </w:tcPr>
          <w:p w14:paraId="3D6474BC"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7.23 MPa·m</w:t>
            </w:r>
            <w:r>
              <w:rPr>
                <w:rFonts w:ascii="Times New Roman" w:hAnsi="Times New Roman" w:cs="Times New Roman"/>
                <w:sz w:val="24"/>
                <w:szCs w:val="24"/>
                <w:highlight w:val="green"/>
                <w:vertAlign w:val="superscript"/>
              </w:rPr>
              <w:t>0.5</w:t>
            </w:r>
          </w:p>
        </w:tc>
        <w:tc>
          <w:tcPr>
            <w:tcW w:w="1200" w:type="dxa"/>
            <w:vAlign w:val="center"/>
          </w:tcPr>
          <w:p w14:paraId="51DF1335"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13.62</w:t>
            </w:r>
          </w:p>
        </w:tc>
        <w:tc>
          <w:tcPr>
            <w:tcW w:w="1426" w:type="dxa"/>
            <w:vAlign w:val="center"/>
          </w:tcPr>
          <w:p w14:paraId="75F0B9F5"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0.911</w:t>
            </w:r>
          </w:p>
        </w:tc>
      </w:tr>
    </w:tbl>
    <w:p w14:paraId="36158850"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 xml:space="preserve"> </w:t>
      </w:r>
    </w:p>
    <w:p w14:paraId="731B3B3A" w14:textId="77777777" w:rsidR="00B06580" w:rsidRPr="003E0CF1" w:rsidRDefault="00000000" w:rsidP="00F9519E">
      <w:pPr>
        <w:keepNext/>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6FEA897" wp14:editId="12966B9F">
            <wp:extent cx="5669280" cy="2568892"/>
            <wp:effectExtent l="0" t="0" r="0" b="0"/>
            <wp:docPr id="1003" name="Picture 1003" descr="Ryshkewitch-type relations between apparent porosity and strength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Picture 1003"/>
                    <pic:cNvPicPr/>
                  </pic:nvPicPr>
                  <pic:blipFill>
                    <a:blip r:embed="rId28"/>
                    <a:stretch>
                      <a:fillRect/>
                    </a:stretch>
                  </pic:blipFill>
                  <pic:spPr>
                    <a:xfrm>
                      <a:off x="0" y="0"/>
                      <a:ext cx="5669280" cy="2568892"/>
                    </a:xfrm>
                    <a:prstGeom prst="rect">
                      <a:avLst/>
                    </a:prstGeom>
                  </pic:spPr>
                </pic:pic>
              </a:graphicData>
            </a:graphic>
          </wp:inline>
        </w:drawing>
      </w:r>
    </w:p>
    <w:p w14:paraId="76BC1BEC"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cyan"/>
        </w:rPr>
        <w:t xml:space="preserve">Figure 22. </w:t>
      </w:r>
      <w:proofErr w:type="spellStart"/>
      <w:r>
        <w:rPr>
          <w:rFonts w:ascii="Times New Roman" w:hAnsi="Times New Roman" w:cs="Times New Roman"/>
          <w:sz w:val="24"/>
          <w:szCs w:val="24"/>
          <w:highlight w:val="cyan"/>
        </w:rPr>
        <w:t>Ryshkewitch</w:t>
      </w:r>
      <w:proofErr w:type="spellEnd"/>
      <w:r>
        <w:rPr>
          <w:rFonts w:ascii="Times New Roman" w:hAnsi="Times New Roman" w:cs="Times New Roman"/>
          <w:sz w:val="24"/>
          <w:szCs w:val="24"/>
          <w:highlight w:val="cyan"/>
        </w:rPr>
        <w:t>-type relations between apparent porosity and (a) compressive strength and (b) fracture toughness.</w:t>
      </w:r>
    </w:p>
    <w:p w14:paraId="298836AE" w14:textId="77777777" w:rsidR="00B06580" w:rsidRPr="003E0CF1" w:rsidRDefault="00000000" w:rsidP="00F9519E">
      <w:pPr>
        <w:keepNext/>
        <w:jc w:val="both"/>
        <w:rPr>
          <w:rFonts w:ascii="Times New Roman" w:hAnsi="Times New Roman" w:cs="Times New Roman"/>
          <w:sz w:val="24"/>
          <w:szCs w:val="24"/>
        </w:rPr>
      </w:pPr>
      <w:r>
        <w:rPr>
          <w:rFonts w:ascii="Times New Roman" w:hAnsi="Times New Roman" w:cs="Times New Roman"/>
          <w:b/>
          <w:bCs/>
          <w:i/>
          <w:iCs/>
          <w:sz w:val="24"/>
          <w:szCs w:val="24"/>
          <w:highlight w:val="green"/>
        </w:rPr>
        <w:t>4.13.5 Consistency of physical and thermal values</w:t>
      </w:r>
    </w:p>
    <w:p w14:paraId="69A6741F"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 xml:space="preserve">Two consistency checks were applied to the reported physical and thermal values </w:t>
      </w:r>
      <w:r>
        <w:rPr>
          <w:rFonts w:ascii="Times New Roman" w:hAnsi="Times New Roman" w:cs="Times New Roman"/>
          <w:sz w:val="24"/>
          <w:szCs w:val="24"/>
          <w:highlight w:val="cyan"/>
        </w:rPr>
        <w:t xml:space="preserve">(Table 16, Figure 23), using </w:t>
      </w:r>
      <w:proofErr w:type="spellStart"/>
      <w:r>
        <w:rPr>
          <w:rFonts w:ascii="Times New Roman" w:hAnsi="Times New Roman" w:cs="Times New Roman"/>
          <w:sz w:val="24"/>
          <w:szCs w:val="24"/>
          <w:highlight w:val="cyan"/>
        </w:rPr>
        <w:t>Eqs</w:t>
      </w:r>
      <w:proofErr w:type="spellEnd"/>
      <w:r>
        <w:rPr>
          <w:rFonts w:ascii="Times New Roman" w:hAnsi="Times New Roman" w:cs="Times New Roman"/>
          <w:sz w:val="24"/>
          <w:szCs w:val="24"/>
          <w:highlight w:val="cyan"/>
        </w:rPr>
        <w:t>. (4) and (6) with values derived from Tables 3 and 6.</w:t>
      </w:r>
      <w:r>
        <w:rPr>
          <w:rFonts w:ascii="Times New Roman" w:hAnsi="Times New Roman" w:cs="Times New Roman"/>
          <w:sz w:val="24"/>
          <w:szCs w:val="24"/>
          <w:highlight w:val="yellow"/>
        </w:rPr>
        <w:t xml:space="preserve"> The water-absorption/porosity relation implies dry bulk densities 0.7–5.3% below the listed density, while the reported diffusivity exceeds the value calculated from the listed density by approximately 3.7–9.5%. Using the implied dry density narrows some differences, but the original records are needed to establish the basis for the remaining discrepancies. These checks identify possible differences in measurement state or calculation; confirming density condition, moisture state, units and original calculations will provide a consistent basis for reporting.</w:t>
      </w:r>
      <w:r>
        <w:rPr>
          <w:rFonts w:ascii="Times New Roman" w:hAnsi="Times New Roman" w:cs="Times New Roman"/>
          <w:sz w:val="24"/>
          <w:szCs w:val="24"/>
          <w:highlight w:val="cyan"/>
        </w:rPr>
        <w:t xml:space="preserve"> Figure 23 compares the reported diffusivity with the diffusivity computed from Eq. (6) using the reported density and the implied dry density.</w:t>
      </w:r>
    </w:p>
    <w:p w14:paraId="31C1AAF8" w14:textId="77777777" w:rsidR="00B06580" w:rsidRPr="003E0CF1" w:rsidRDefault="00000000" w:rsidP="00F9519E">
      <w:pPr>
        <w:keepNext/>
        <w:jc w:val="both"/>
        <w:rPr>
          <w:rFonts w:ascii="Times New Roman" w:hAnsi="Times New Roman" w:cs="Times New Roman"/>
          <w:sz w:val="24"/>
          <w:szCs w:val="24"/>
        </w:rPr>
      </w:pPr>
      <w:r>
        <w:rPr>
          <w:rFonts w:ascii="Times New Roman" w:hAnsi="Times New Roman" w:cs="Times New Roman"/>
          <w:b/>
          <w:bCs/>
          <w:sz w:val="24"/>
          <w:szCs w:val="24"/>
          <w:highlight w:val="cyan"/>
        </w:rPr>
        <w:t xml:space="preserve">Table 16. </w:t>
      </w:r>
      <w:r>
        <w:rPr>
          <w:rFonts w:ascii="Times New Roman" w:hAnsi="Times New Roman" w:cs="Times New Roman"/>
          <w:i/>
          <w:iCs/>
          <w:sz w:val="24"/>
          <w:szCs w:val="24"/>
          <w:highlight w:val="cyan"/>
        </w:rPr>
        <w:t>Consistency checks on reported density and thermal diffusivity.</w:t>
      </w:r>
    </w:p>
    <w:tbl>
      <w:tblPr>
        <w:tblStyle w:val="TableGrid"/>
        <w:tblW w:w="9026" w:type="dxa"/>
        <w:tblLayout w:type="fixed"/>
        <w:tblLook w:val="04A0" w:firstRow="1" w:lastRow="0" w:firstColumn="1" w:lastColumn="0" w:noHBand="0" w:noVBand="1"/>
      </w:tblPr>
      <w:tblGrid>
        <w:gridCol w:w="1000"/>
        <w:gridCol w:w="1400"/>
        <w:gridCol w:w="1700"/>
        <w:gridCol w:w="1500"/>
        <w:gridCol w:w="1900"/>
        <w:gridCol w:w="1526"/>
      </w:tblGrid>
      <w:tr w:rsidR="00B06580" w:rsidRPr="003E0CF1" w14:paraId="3DD73034" w14:textId="77777777">
        <w:trPr>
          <w:cantSplit/>
          <w:tblHeader/>
        </w:trPr>
        <w:tc>
          <w:tcPr>
            <w:tcW w:w="1000" w:type="dxa"/>
            <w:vAlign w:val="center"/>
          </w:tcPr>
          <w:p w14:paraId="6DC8C089"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Mix</w:t>
            </w:r>
          </w:p>
        </w:tc>
        <w:tc>
          <w:tcPr>
            <w:tcW w:w="1400" w:type="dxa"/>
            <w:vAlign w:val="center"/>
          </w:tcPr>
          <w:p w14:paraId="498F3CCF"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ρ reported (kg/m</w:t>
            </w:r>
            <w:r>
              <w:rPr>
                <w:rFonts w:ascii="Times New Roman" w:hAnsi="Times New Roman" w:cs="Times New Roman"/>
                <w:b/>
                <w:bCs/>
                <w:sz w:val="24"/>
                <w:szCs w:val="24"/>
                <w:highlight w:val="green"/>
                <w:vertAlign w:val="superscript"/>
              </w:rPr>
              <w:t>3</w:t>
            </w:r>
            <w:r>
              <w:rPr>
                <w:rFonts w:ascii="Times New Roman" w:hAnsi="Times New Roman" w:cs="Times New Roman"/>
                <w:b/>
                <w:bCs/>
                <w:sz w:val="24"/>
                <w:szCs w:val="24"/>
                <w:highlight w:val="green"/>
              </w:rPr>
              <w:t>)</w:t>
            </w:r>
          </w:p>
        </w:tc>
        <w:tc>
          <w:tcPr>
            <w:tcW w:w="1700" w:type="dxa"/>
            <w:vAlign w:val="center"/>
          </w:tcPr>
          <w:p w14:paraId="171CA08D" w14:textId="77777777" w:rsidR="00B06580" w:rsidRPr="003E0CF1" w:rsidRDefault="00000000" w:rsidP="00F9519E">
            <w:pPr>
              <w:jc w:val="both"/>
              <w:rPr>
                <w:rFonts w:ascii="Times New Roman" w:hAnsi="Times New Roman" w:cs="Times New Roman"/>
                <w:sz w:val="24"/>
                <w:szCs w:val="24"/>
              </w:rPr>
            </w:pPr>
            <w:proofErr w:type="spellStart"/>
            <w:r>
              <w:rPr>
                <w:rFonts w:ascii="Times New Roman" w:hAnsi="Times New Roman" w:cs="Times New Roman"/>
                <w:b/>
                <w:bCs/>
                <w:sz w:val="24"/>
                <w:szCs w:val="24"/>
                <w:highlight w:val="green"/>
              </w:rPr>
              <w:t>ρ</w:t>
            </w:r>
            <w:r>
              <w:rPr>
                <w:rFonts w:ascii="Times New Roman" w:hAnsi="Times New Roman" w:cs="Times New Roman"/>
                <w:b/>
                <w:bCs/>
                <w:sz w:val="24"/>
                <w:szCs w:val="24"/>
                <w:highlight w:val="green"/>
                <w:vertAlign w:val="subscript"/>
              </w:rPr>
              <w:t>d</w:t>
            </w:r>
            <w:proofErr w:type="spellEnd"/>
            <w:r>
              <w:rPr>
                <w:rFonts w:ascii="Times New Roman" w:hAnsi="Times New Roman" w:cs="Times New Roman"/>
                <w:b/>
                <w:bCs/>
                <w:sz w:val="24"/>
                <w:szCs w:val="24"/>
                <w:highlight w:val="green"/>
              </w:rPr>
              <w:t xml:space="preserve"> = 1000·P/WA (kg/m</w:t>
            </w:r>
            <w:r>
              <w:rPr>
                <w:rFonts w:ascii="Times New Roman" w:hAnsi="Times New Roman" w:cs="Times New Roman"/>
                <w:b/>
                <w:bCs/>
                <w:sz w:val="24"/>
                <w:szCs w:val="24"/>
                <w:highlight w:val="green"/>
                <w:vertAlign w:val="superscript"/>
              </w:rPr>
              <w:t>3</w:t>
            </w:r>
            <w:r>
              <w:rPr>
                <w:rFonts w:ascii="Times New Roman" w:hAnsi="Times New Roman" w:cs="Times New Roman"/>
                <w:b/>
                <w:bCs/>
                <w:sz w:val="24"/>
                <w:szCs w:val="24"/>
                <w:highlight w:val="green"/>
              </w:rPr>
              <w:t>)</w:t>
            </w:r>
          </w:p>
        </w:tc>
        <w:tc>
          <w:tcPr>
            <w:tcW w:w="1500" w:type="dxa"/>
            <w:vAlign w:val="center"/>
          </w:tcPr>
          <w:p w14:paraId="40480269"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α reported (mm</w:t>
            </w:r>
            <w:r>
              <w:rPr>
                <w:rFonts w:ascii="Times New Roman" w:hAnsi="Times New Roman" w:cs="Times New Roman"/>
                <w:b/>
                <w:bCs/>
                <w:sz w:val="24"/>
                <w:szCs w:val="24"/>
                <w:highlight w:val="green"/>
                <w:vertAlign w:val="superscript"/>
              </w:rPr>
              <w:t>2</w:t>
            </w:r>
            <w:r>
              <w:rPr>
                <w:rFonts w:ascii="Times New Roman" w:hAnsi="Times New Roman" w:cs="Times New Roman"/>
                <w:b/>
                <w:bCs/>
                <w:sz w:val="24"/>
                <w:szCs w:val="24"/>
                <w:highlight w:val="green"/>
              </w:rPr>
              <w:t>/s)</w:t>
            </w:r>
          </w:p>
        </w:tc>
        <w:tc>
          <w:tcPr>
            <w:tcW w:w="1900" w:type="dxa"/>
            <w:vAlign w:val="center"/>
          </w:tcPr>
          <w:p w14:paraId="25915109"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α = k/(</w:t>
            </w:r>
            <w:proofErr w:type="spellStart"/>
            <w:r>
              <w:rPr>
                <w:rFonts w:ascii="Times New Roman" w:hAnsi="Times New Roman" w:cs="Times New Roman"/>
                <w:b/>
                <w:bCs/>
                <w:sz w:val="24"/>
                <w:szCs w:val="24"/>
                <w:highlight w:val="green"/>
              </w:rPr>
              <w:t>ρc</w:t>
            </w:r>
            <w:r>
              <w:rPr>
                <w:rFonts w:ascii="Times New Roman" w:hAnsi="Times New Roman" w:cs="Times New Roman"/>
                <w:b/>
                <w:bCs/>
                <w:sz w:val="24"/>
                <w:szCs w:val="24"/>
                <w:highlight w:val="green"/>
                <w:vertAlign w:val="subscript"/>
              </w:rPr>
              <w:t>p</w:t>
            </w:r>
            <w:proofErr w:type="spellEnd"/>
            <w:r>
              <w:rPr>
                <w:rFonts w:ascii="Times New Roman" w:hAnsi="Times New Roman" w:cs="Times New Roman"/>
                <w:b/>
                <w:bCs/>
                <w:sz w:val="24"/>
                <w:szCs w:val="24"/>
                <w:highlight w:val="green"/>
              </w:rPr>
              <w:t>), reported ρ</w:t>
            </w:r>
          </w:p>
        </w:tc>
        <w:tc>
          <w:tcPr>
            <w:tcW w:w="1526" w:type="dxa"/>
            <w:vAlign w:val="center"/>
          </w:tcPr>
          <w:p w14:paraId="52DE8668"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α = k/(</w:t>
            </w:r>
            <w:proofErr w:type="spellStart"/>
            <w:r>
              <w:rPr>
                <w:rFonts w:ascii="Times New Roman" w:hAnsi="Times New Roman" w:cs="Times New Roman"/>
                <w:b/>
                <w:bCs/>
                <w:sz w:val="24"/>
                <w:szCs w:val="24"/>
                <w:highlight w:val="green"/>
              </w:rPr>
              <w:t>ρ</w:t>
            </w:r>
            <w:r>
              <w:rPr>
                <w:rFonts w:ascii="Times New Roman" w:hAnsi="Times New Roman" w:cs="Times New Roman"/>
                <w:b/>
                <w:bCs/>
                <w:sz w:val="24"/>
                <w:szCs w:val="24"/>
                <w:highlight w:val="green"/>
                <w:vertAlign w:val="subscript"/>
              </w:rPr>
              <w:t>d</w:t>
            </w:r>
            <w:r>
              <w:rPr>
                <w:rFonts w:ascii="Times New Roman" w:hAnsi="Times New Roman" w:cs="Times New Roman"/>
                <w:b/>
                <w:bCs/>
                <w:sz w:val="24"/>
                <w:szCs w:val="24"/>
                <w:highlight w:val="green"/>
              </w:rPr>
              <w:t>c</w:t>
            </w:r>
            <w:r>
              <w:rPr>
                <w:rFonts w:ascii="Times New Roman" w:hAnsi="Times New Roman" w:cs="Times New Roman"/>
                <w:b/>
                <w:bCs/>
                <w:sz w:val="24"/>
                <w:szCs w:val="24"/>
                <w:highlight w:val="green"/>
                <w:vertAlign w:val="subscript"/>
              </w:rPr>
              <w:t>p</w:t>
            </w:r>
            <w:proofErr w:type="spellEnd"/>
            <w:r>
              <w:rPr>
                <w:rFonts w:ascii="Times New Roman" w:hAnsi="Times New Roman" w:cs="Times New Roman"/>
                <w:b/>
                <w:bCs/>
                <w:sz w:val="24"/>
                <w:szCs w:val="24"/>
                <w:highlight w:val="green"/>
              </w:rPr>
              <w:t>)</w:t>
            </w:r>
          </w:p>
        </w:tc>
      </w:tr>
      <w:tr w:rsidR="00B06580" w:rsidRPr="003E0CF1" w14:paraId="4C693CD8" w14:textId="77777777">
        <w:trPr>
          <w:cantSplit/>
        </w:trPr>
        <w:tc>
          <w:tcPr>
            <w:tcW w:w="1000" w:type="dxa"/>
            <w:vAlign w:val="center"/>
          </w:tcPr>
          <w:p w14:paraId="03610E5D"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C0</w:t>
            </w:r>
          </w:p>
        </w:tc>
        <w:tc>
          <w:tcPr>
            <w:tcW w:w="1400" w:type="dxa"/>
            <w:vAlign w:val="center"/>
          </w:tcPr>
          <w:p w14:paraId="3D70C699"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2340</w:t>
            </w:r>
          </w:p>
        </w:tc>
        <w:tc>
          <w:tcPr>
            <w:tcW w:w="1700" w:type="dxa"/>
            <w:vAlign w:val="center"/>
          </w:tcPr>
          <w:p w14:paraId="2A7FB9FE"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2229</w:t>
            </w:r>
          </w:p>
        </w:tc>
        <w:tc>
          <w:tcPr>
            <w:tcW w:w="1500" w:type="dxa"/>
            <w:vAlign w:val="center"/>
          </w:tcPr>
          <w:p w14:paraId="010F1A06"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0.78</w:t>
            </w:r>
          </w:p>
        </w:tc>
        <w:tc>
          <w:tcPr>
            <w:tcW w:w="1900" w:type="dxa"/>
            <w:vAlign w:val="center"/>
          </w:tcPr>
          <w:p w14:paraId="3B65F600"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0.753</w:t>
            </w:r>
          </w:p>
        </w:tc>
        <w:tc>
          <w:tcPr>
            <w:tcW w:w="1526" w:type="dxa"/>
            <w:vAlign w:val="center"/>
          </w:tcPr>
          <w:p w14:paraId="519B4314"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0.790</w:t>
            </w:r>
          </w:p>
        </w:tc>
      </w:tr>
      <w:tr w:rsidR="00B06580" w:rsidRPr="003E0CF1" w14:paraId="53F320EB" w14:textId="77777777">
        <w:trPr>
          <w:cantSplit/>
        </w:trPr>
        <w:tc>
          <w:tcPr>
            <w:tcW w:w="1000" w:type="dxa"/>
            <w:vAlign w:val="center"/>
          </w:tcPr>
          <w:p w14:paraId="7C4FF77E"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AT1</w:t>
            </w:r>
          </w:p>
        </w:tc>
        <w:tc>
          <w:tcPr>
            <w:tcW w:w="1400" w:type="dxa"/>
            <w:vAlign w:val="center"/>
          </w:tcPr>
          <w:p w14:paraId="22D6927D"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2215</w:t>
            </w:r>
          </w:p>
        </w:tc>
        <w:tc>
          <w:tcPr>
            <w:tcW w:w="1700" w:type="dxa"/>
            <w:vAlign w:val="center"/>
          </w:tcPr>
          <w:p w14:paraId="1CBE86AD"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2199</w:t>
            </w:r>
          </w:p>
        </w:tc>
        <w:tc>
          <w:tcPr>
            <w:tcW w:w="1500" w:type="dxa"/>
            <w:vAlign w:val="center"/>
          </w:tcPr>
          <w:p w14:paraId="54415657"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0.64</w:t>
            </w:r>
          </w:p>
        </w:tc>
        <w:tc>
          <w:tcPr>
            <w:tcW w:w="1900" w:type="dxa"/>
            <w:vAlign w:val="center"/>
          </w:tcPr>
          <w:p w14:paraId="699A29FC"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0.608</w:t>
            </w:r>
          </w:p>
        </w:tc>
        <w:tc>
          <w:tcPr>
            <w:tcW w:w="1526" w:type="dxa"/>
            <w:vAlign w:val="center"/>
          </w:tcPr>
          <w:p w14:paraId="5A499557"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0.612</w:t>
            </w:r>
          </w:p>
        </w:tc>
      </w:tr>
      <w:tr w:rsidR="00B06580" w:rsidRPr="003E0CF1" w14:paraId="2183679D" w14:textId="77777777">
        <w:trPr>
          <w:cantSplit/>
        </w:trPr>
        <w:tc>
          <w:tcPr>
            <w:tcW w:w="1000" w:type="dxa"/>
            <w:vAlign w:val="center"/>
          </w:tcPr>
          <w:p w14:paraId="3142A9F1"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lastRenderedPageBreak/>
              <w:t>AT2</w:t>
            </w:r>
          </w:p>
        </w:tc>
        <w:tc>
          <w:tcPr>
            <w:tcW w:w="1400" w:type="dxa"/>
            <w:vAlign w:val="center"/>
          </w:tcPr>
          <w:p w14:paraId="657E62D5"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2228</w:t>
            </w:r>
          </w:p>
        </w:tc>
        <w:tc>
          <w:tcPr>
            <w:tcW w:w="1700" w:type="dxa"/>
            <w:vAlign w:val="center"/>
          </w:tcPr>
          <w:p w14:paraId="3CA26EE1"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2178</w:t>
            </w:r>
          </w:p>
        </w:tc>
        <w:tc>
          <w:tcPr>
            <w:tcW w:w="1500" w:type="dxa"/>
            <w:vAlign w:val="center"/>
          </w:tcPr>
          <w:p w14:paraId="3E847DFD"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0.56</w:t>
            </w:r>
          </w:p>
        </w:tc>
        <w:tc>
          <w:tcPr>
            <w:tcW w:w="1900" w:type="dxa"/>
            <w:vAlign w:val="center"/>
          </w:tcPr>
          <w:p w14:paraId="7BE21AFD"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0.527</w:t>
            </w:r>
          </w:p>
        </w:tc>
        <w:tc>
          <w:tcPr>
            <w:tcW w:w="1526" w:type="dxa"/>
            <w:vAlign w:val="center"/>
          </w:tcPr>
          <w:p w14:paraId="2C325213"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0.539</w:t>
            </w:r>
          </w:p>
        </w:tc>
      </w:tr>
      <w:tr w:rsidR="00B06580" w:rsidRPr="003E0CF1" w14:paraId="4AF38EAD" w14:textId="77777777">
        <w:trPr>
          <w:cantSplit/>
        </w:trPr>
        <w:tc>
          <w:tcPr>
            <w:tcW w:w="1000" w:type="dxa"/>
            <w:vAlign w:val="center"/>
          </w:tcPr>
          <w:p w14:paraId="492ABB2A"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AT3</w:t>
            </w:r>
          </w:p>
        </w:tc>
        <w:tc>
          <w:tcPr>
            <w:tcW w:w="1400" w:type="dxa"/>
            <w:vAlign w:val="center"/>
          </w:tcPr>
          <w:p w14:paraId="075B1EE4"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2230</w:t>
            </w:r>
          </w:p>
        </w:tc>
        <w:tc>
          <w:tcPr>
            <w:tcW w:w="1700" w:type="dxa"/>
            <w:vAlign w:val="center"/>
          </w:tcPr>
          <w:p w14:paraId="4DBCC221"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2172</w:t>
            </w:r>
          </w:p>
        </w:tc>
        <w:tc>
          <w:tcPr>
            <w:tcW w:w="1500" w:type="dxa"/>
            <w:vAlign w:val="center"/>
          </w:tcPr>
          <w:p w14:paraId="5D7059C2"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0.52</w:t>
            </w:r>
          </w:p>
        </w:tc>
        <w:tc>
          <w:tcPr>
            <w:tcW w:w="1900" w:type="dxa"/>
            <w:vAlign w:val="center"/>
          </w:tcPr>
          <w:p w14:paraId="3A30454A"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0.480</w:t>
            </w:r>
          </w:p>
        </w:tc>
        <w:tc>
          <w:tcPr>
            <w:tcW w:w="1526" w:type="dxa"/>
            <w:vAlign w:val="center"/>
          </w:tcPr>
          <w:p w14:paraId="68DEEB3E"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0.493</w:t>
            </w:r>
          </w:p>
        </w:tc>
      </w:tr>
      <w:tr w:rsidR="00B06580" w:rsidRPr="003E0CF1" w14:paraId="7F32A66B" w14:textId="77777777">
        <w:trPr>
          <w:cantSplit/>
        </w:trPr>
        <w:tc>
          <w:tcPr>
            <w:tcW w:w="1000" w:type="dxa"/>
            <w:vAlign w:val="center"/>
          </w:tcPr>
          <w:p w14:paraId="7CB564ED"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AT4</w:t>
            </w:r>
          </w:p>
        </w:tc>
        <w:tc>
          <w:tcPr>
            <w:tcW w:w="1400" w:type="dxa"/>
            <w:vAlign w:val="center"/>
          </w:tcPr>
          <w:p w14:paraId="55EDCF62"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2245</w:t>
            </w:r>
          </w:p>
        </w:tc>
        <w:tc>
          <w:tcPr>
            <w:tcW w:w="1700" w:type="dxa"/>
            <w:vAlign w:val="center"/>
          </w:tcPr>
          <w:p w14:paraId="1F39C309"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2177</w:t>
            </w:r>
          </w:p>
        </w:tc>
        <w:tc>
          <w:tcPr>
            <w:tcW w:w="1500" w:type="dxa"/>
            <w:vAlign w:val="center"/>
          </w:tcPr>
          <w:p w14:paraId="05FC0159"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0.49</w:t>
            </w:r>
          </w:p>
        </w:tc>
        <w:tc>
          <w:tcPr>
            <w:tcW w:w="1900" w:type="dxa"/>
            <w:vAlign w:val="center"/>
          </w:tcPr>
          <w:p w14:paraId="2FCC54FA"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0.456</w:t>
            </w:r>
          </w:p>
        </w:tc>
        <w:tc>
          <w:tcPr>
            <w:tcW w:w="1526" w:type="dxa"/>
            <w:vAlign w:val="center"/>
          </w:tcPr>
          <w:p w14:paraId="4CE4C3A6"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0.471</w:t>
            </w:r>
          </w:p>
        </w:tc>
      </w:tr>
      <w:tr w:rsidR="00B06580" w:rsidRPr="003E0CF1" w14:paraId="3990DC6A" w14:textId="77777777">
        <w:trPr>
          <w:cantSplit/>
        </w:trPr>
        <w:tc>
          <w:tcPr>
            <w:tcW w:w="1000" w:type="dxa"/>
            <w:vAlign w:val="center"/>
          </w:tcPr>
          <w:p w14:paraId="55276562"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AT5</w:t>
            </w:r>
          </w:p>
        </w:tc>
        <w:tc>
          <w:tcPr>
            <w:tcW w:w="1400" w:type="dxa"/>
            <w:vAlign w:val="center"/>
          </w:tcPr>
          <w:p w14:paraId="63694D05"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2260</w:t>
            </w:r>
          </w:p>
        </w:tc>
        <w:tc>
          <w:tcPr>
            <w:tcW w:w="1700" w:type="dxa"/>
            <w:vAlign w:val="center"/>
          </w:tcPr>
          <w:p w14:paraId="59BCB2A6"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2139</w:t>
            </w:r>
          </w:p>
        </w:tc>
        <w:tc>
          <w:tcPr>
            <w:tcW w:w="1500" w:type="dxa"/>
            <w:vAlign w:val="center"/>
          </w:tcPr>
          <w:p w14:paraId="371E717B"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0.46</w:t>
            </w:r>
          </w:p>
        </w:tc>
        <w:tc>
          <w:tcPr>
            <w:tcW w:w="1900" w:type="dxa"/>
            <w:vAlign w:val="center"/>
          </w:tcPr>
          <w:p w14:paraId="25F45A18"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0.420</w:t>
            </w:r>
          </w:p>
        </w:tc>
        <w:tc>
          <w:tcPr>
            <w:tcW w:w="1526" w:type="dxa"/>
            <w:vAlign w:val="center"/>
          </w:tcPr>
          <w:p w14:paraId="2A311F77"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0.444</w:t>
            </w:r>
          </w:p>
        </w:tc>
      </w:tr>
      <w:tr w:rsidR="00B06580" w:rsidRPr="003E0CF1" w14:paraId="3A465C9D" w14:textId="77777777">
        <w:trPr>
          <w:cantSplit/>
        </w:trPr>
        <w:tc>
          <w:tcPr>
            <w:tcW w:w="1000" w:type="dxa"/>
            <w:vAlign w:val="center"/>
          </w:tcPr>
          <w:p w14:paraId="0564B397"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AT6</w:t>
            </w:r>
          </w:p>
        </w:tc>
        <w:tc>
          <w:tcPr>
            <w:tcW w:w="1400" w:type="dxa"/>
            <w:vAlign w:val="center"/>
          </w:tcPr>
          <w:p w14:paraId="034A5C9C"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2272</w:t>
            </w:r>
          </w:p>
        </w:tc>
        <w:tc>
          <w:tcPr>
            <w:tcW w:w="1700" w:type="dxa"/>
            <w:vAlign w:val="center"/>
          </w:tcPr>
          <w:p w14:paraId="56CF7B5A"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2166</w:t>
            </w:r>
          </w:p>
        </w:tc>
        <w:tc>
          <w:tcPr>
            <w:tcW w:w="1500" w:type="dxa"/>
            <w:vAlign w:val="center"/>
          </w:tcPr>
          <w:p w14:paraId="70BC0BC1"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0.43</w:t>
            </w:r>
          </w:p>
        </w:tc>
        <w:tc>
          <w:tcPr>
            <w:tcW w:w="1900" w:type="dxa"/>
            <w:vAlign w:val="center"/>
          </w:tcPr>
          <w:p w14:paraId="791BD6B5"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0.394</w:t>
            </w:r>
          </w:p>
        </w:tc>
        <w:tc>
          <w:tcPr>
            <w:tcW w:w="1526" w:type="dxa"/>
            <w:vAlign w:val="center"/>
          </w:tcPr>
          <w:p w14:paraId="3C08D7AA"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0.414</w:t>
            </w:r>
          </w:p>
        </w:tc>
      </w:tr>
    </w:tbl>
    <w:p w14:paraId="385BD44B"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 xml:space="preserve"> </w:t>
      </w:r>
    </w:p>
    <w:p w14:paraId="35EC123F" w14:textId="77777777" w:rsidR="00B06580" w:rsidRPr="003E0CF1" w:rsidRDefault="00000000" w:rsidP="00F9519E">
      <w:pPr>
        <w:keepNext/>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FAB602B" wp14:editId="5C952E4E">
            <wp:extent cx="3291840" cy="3017520"/>
            <wp:effectExtent l="0" t="0" r="0" b="0"/>
            <wp:docPr id="1004" name="Picture 1004" descr="Reported versus computed thermal diffus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Picture 1004"/>
                    <pic:cNvPicPr/>
                  </pic:nvPicPr>
                  <pic:blipFill>
                    <a:blip r:embed="rId29"/>
                    <a:stretch>
                      <a:fillRect/>
                    </a:stretch>
                  </pic:blipFill>
                  <pic:spPr>
                    <a:xfrm>
                      <a:off x="0" y="0"/>
                      <a:ext cx="3291840" cy="3017520"/>
                    </a:xfrm>
                    <a:prstGeom prst="rect">
                      <a:avLst/>
                    </a:prstGeom>
                  </pic:spPr>
                </pic:pic>
              </a:graphicData>
            </a:graphic>
          </wp:inline>
        </w:drawing>
      </w:r>
    </w:p>
    <w:p w14:paraId="3C84BBED"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cyan"/>
        </w:rPr>
        <w:t>Figure 23. Reported versus computed thermal diffusivity; dashed line: 1:1.</w:t>
      </w:r>
    </w:p>
    <w:p w14:paraId="4B2A400C" w14:textId="77777777" w:rsidR="00B06580" w:rsidRPr="003E0CF1" w:rsidRDefault="00000000" w:rsidP="00F9519E">
      <w:pPr>
        <w:keepNext/>
        <w:jc w:val="both"/>
        <w:rPr>
          <w:rFonts w:ascii="Times New Roman" w:hAnsi="Times New Roman" w:cs="Times New Roman"/>
          <w:sz w:val="24"/>
          <w:szCs w:val="24"/>
        </w:rPr>
      </w:pPr>
      <w:r>
        <w:rPr>
          <w:rFonts w:ascii="Times New Roman" w:hAnsi="Times New Roman" w:cs="Times New Roman"/>
          <w:b/>
          <w:bCs/>
          <w:i/>
          <w:iCs/>
          <w:sz w:val="24"/>
          <w:szCs w:val="24"/>
          <w:highlight w:val="green"/>
        </w:rPr>
        <w:t>4.13.6 Relative environmental indicators</w:t>
      </w:r>
    </w:p>
    <w:p w14:paraId="2EE7FB1B"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 xml:space="preserve">Table 17 gives the relative changes in the Table 9 indicators and the strength-per-GWP </w:t>
      </w:r>
      <w:r>
        <w:rPr>
          <w:rFonts w:ascii="Times New Roman" w:hAnsi="Times New Roman" w:cs="Times New Roman"/>
          <w:sz w:val="24"/>
          <w:szCs w:val="24"/>
          <w:highlight w:val="cyan"/>
        </w:rPr>
        <w:t>indicator of Eq. (16), which uses the compressive strengths of Table 4.</w:t>
      </w:r>
      <w:r>
        <w:rPr>
          <w:rFonts w:ascii="Times New Roman" w:hAnsi="Times New Roman" w:cs="Times New Roman"/>
          <w:sz w:val="24"/>
          <w:szCs w:val="24"/>
          <w:highlight w:val="green"/>
        </w:rPr>
        <w:t xml:space="preserve"> Relative to C0, AT6 shows reductions of 46.1% in GWP, 46.4% in embodied energy and 46.0% in primary energy, and AT3 shows reductions of 35.5%, 32.1% and 32.5%. The indicator </w:t>
      </w:r>
      <w:r>
        <w:rPr>
          <w:rFonts w:ascii="Times New Roman" w:hAnsi="Times New Roman" w:cs="Times New Roman"/>
          <w:i/>
          <w:iCs/>
          <w:sz w:val="24"/>
          <w:szCs w:val="24"/>
          <w:highlight w:val="green"/>
        </w:rPr>
        <w:t>E</w:t>
      </w:r>
      <w:r>
        <w:rPr>
          <w:rFonts w:ascii="Times New Roman" w:hAnsi="Times New Roman" w:cs="Times New Roman"/>
          <w:sz w:val="24"/>
          <w:szCs w:val="24"/>
          <w:highlight w:val="green"/>
          <w:vertAlign w:val="subscript"/>
        </w:rPr>
        <w:t>eco</w:t>
      </w:r>
      <w:r>
        <w:rPr>
          <w:rFonts w:ascii="Times New Roman" w:hAnsi="Times New Roman" w:cs="Times New Roman"/>
          <w:sz w:val="24"/>
          <w:szCs w:val="24"/>
          <w:highlight w:val="green"/>
        </w:rPr>
        <w:t xml:space="preserve"> is 83.5 for C0, 164.1 for AT3 and 222.5 for AT6 (MPa per kg CO</w:t>
      </w:r>
      <w:r>
        <w:rPr>
          <w:rFonts w:ascii="Times New Roman" w:hAnsi="Times New Roman" w:cs="Times New Roman"/>
          <w:sz w:val="24"/>
          <w:szCs w:val="24"/>
          <w:highlight w:val="green"/>
          <w:vertAlign w:val="subscript"/>
        </w:rPr>
        <w:t>2</w:t>
      </w:r>
      <w:r>
        <w:rPr>
          <w:rFonts w:ascii="Times New Roman" w:hAnsi="Times New Roman" w:cs="Times New Roman"/>
          <w:sz w:val="24"/>
          <w:szCs w:val="24"/>
          <w:highlight w:val="green"/>
        </w:rPr>
        <w:t xml:space="preserve">-eq/kg), about 2.7 times the C0 value for AT6. The C0 description is harmonized as OPC mortar, consistent with the binder–sand mixture listed in Table 1. Because GWP is expressed per kilogram and not per functional unit, </w:t>
      </w:r>
      <w:r>
        <w:rPr>
          <w:rFonts w:ascii="Times New Roman" w:hAnsi="Times New Roman" w:cs="Times New Roman"/>
          <w:i/>
          <w:iCs/>
          <w:sz w:val="24"/>
          <w:szCs w:val="24"/>
          <w:highlight w:val="green"/>
        </w:rPr>
        <w:t>E</w:t>
      </w:r>
      <w:r>
        <w:rPr>
          <w:rFonts w:ascii="Times New Roman" w:hAnsi="Times New Roman" w:cs="Times New Roman"/>
          <w:sz w:val="24"/>
          <w:szCs w:val="24"/>
          <w:highlight w:val="green"/>
          <w:vertAlign w:val="subscript"/>
        </w:rPr>
        <w:t>eco</w:t>
      </w:r>
      <w:r>
        <w:rPr>
          <w:rFonts w:ascii="Times New Roman" w:hAnsi="Times New Roman" w:cs="Times New Roman"/>
          <w:sz w:val="24"/>
          <w:szCs w:val="24"/>
          <w:highlight w:val="green"/>
        </w:rPr>
        <w:t xml:space="preserve"> remains indicative only; a functional-unit-based LCA is needed for a fairer comparative assessment.</w:t>
      </w:r>
    </w:p>
    <w:p w14:paraId="1499001F" w14:textId="77777777" w:rsidR="00B06580" w:rsidRPr="003E0CF1" w:rsidRDefault="00000000" w:rsidP="00F9519E">
      <w:pPr>
        <w:keepNext/>
        <w:jc w:val="both"/>
        <w:rPr>
          <w:rFonts w:ascii="Times New Roman" w:hAnsi="Times New Roman" w:cs="Times New Roman"/>
          <w:sz w:val="24"/>
          <w:szCs w:val="24"/>
        </w:rPr>
      </w:pPr>
      <w:r>
        <w:rPr>
          <w:rFonts w:ascii="Times New Roman" w:hAnsi="Times New Roman" w:cs="Times New Roman"/>
          <w:b/>
          <w:bCs/>
          <w:sz w:val="24"/>
          <w:szCs w:val="24"/>
          <w:highlight w:val="cyan"/>
        </w:rPr>
        <w:t xml:space="preserve">Table 17. </w:t>
      </w:r>
      <w:r>
        <w:rPr>
          <w:rFonts w:ascii="Times New Roman" w:hAnsi="Times New Roman" w:cs="Times New Roman"/>
          <w:i/>
          <w:iCs/>
          <w:sz w:val="24"/>
          <w:szCs w:val="24"/>
          <w:highlight w:val="cyan"/>
        </w:rPr>
        <w:t>Relative life-cycle indicators and strength-per-GWP ratio.</w:t>
      </w:r>
    </w:p>
    <w:tbl>
      <w:tblPr>
        <w:tblStyle w:val="TableGrid"/>
        <w:tblW w:w="9026" w:type="dxa"/>
        <w:tblLayout w:type="fixed"/>
        <w:tblLook w:val="04A0" w:firstRow="1" w:lastRow="0" w:firstColumn="1" w:lastColumn="0" w:noHBand="0" w:noVBand="1"/>
      </w:tblPr>
      <w:tblGrid>
        <w:gridCol w:w="1300"/>
        <w:gridCol w:w="1500"/>
        <w:gridCol w:w="1450"/>
        <w:gridCol w:w="1700"/>
        <w:gridCol w:w="1600"/>
        <w:gridCol w:w="1476"/>
      </w:tblGrid>
      <w:tr w:rsidR="00B06580" w:rsidRPr="003E0CF1" w14:paraId="5A170417" w14:textId="77777777">
        <w:trPr>
          <w:cantSplit/>
          <w:tblHeader/>
        </w:trPr>
        <w:tc>
          <w:tcPr>
            <w:tcW w:w="1300" w:type="dxa"/>
            <w:vAlign w:val="center"/>
          </w:tcPr>
          <w:p w14:paraId="4CA65969"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Material</w:t>
            </w:r>
          </w:p>
        </w:tc>
        <w:tc>
          <w:tcPr>
            <w:tcW w:w="1500" w:type="dxa"/>
            <w:vAlign w:val="center"/>
          </w:tcPr>
          <w:p w14:paraId="24C0FB2C"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GWP (kg CO</w:t>
            </w:r>
            <w:r>
              <w:rPr>
                <w:rFonts w:ascii="Times New Roman" w:hAnsi="Times New Roman" w:cs="Times New Roman"/>
                <w:b/>
                <w:bCs/>
                <w:sz w:val="24"/>
                <w:szCs w:val="24"/>
                <w:highlight w:val="green"/>
                <w:vertAlign w:val="subscript"/>
              </w:rPr>
              <w:t>2</w:t>
            </w:r>
            <w:r>
              <w:rPr>
                <w:rFonts w:ascii="Times New Roman" w:hAnsi="Times New Roman" w:cs="Times New Roman"/>
                <w:b/>
                <w:bCs/>
                <w:sz w:val="24"/>
                <w:szCs w:val="24"/>
                <w:highlight w:val="green"/>
              </w:rPr>
              <w:t>-eq/kg)</w:t>
            </w:r>
          </w:p>
        </w:tc>
        <w:tc>
          <w:tcPr>
            <w:tcW w:w="1450" w:type="dxa"/>
            <w:vAlign w:val="center"/>
          </w:tcPr>
          <w:p w14:paraId="1A707B49"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ΔGWP vs C0 (%)</w:t>
            </w:r>
          </w:p>
        </w:tc>
        <w:tc>
          <w:tcPr>
            <w:tcW w:w="1700" w:type="dxa"/>
            <w:vAlign w:val="center"/>
          </w:tcPr>
          <w:p w14:paraId="6836711D"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Δ embodied energy vs C0 (%)</w:t>
            </w:r>
          </w:p>
        </w:tc>
        <w:tc>
          <w:tcPr>
            <w:tcW w:w="1600" w:type="dxa"/>
            <w:vAlign w:val="center"/>
          </w:tcPr>
          <w:p w14:paraId="0B9E5E53"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Δ primary energy vs C0 (%)</w:t>
            </w:r>
          </w:p>
        </w:tc>
        <w:tc>
          <w:tcPr>
            <w:tcW w:w="1476" w:type="dxa"/>
            <w:vAlign w:val="center"/>
          </w:tcPr>
          <w:p w14:paraId="55954222"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highlight w:val="green"/>
              </w:rPr>
              <w:t>E</w:t>
            </w:r>
            <w:r>
              <w:rPr>
                <w:rFonts w:ascii="Times New Roman" w:hAnsi="Times New Roman" w:cs="Times New Roman"/>
                <w:b/>
                <w:bCs/>
                <w:sz w:val="24"/>
                <w:szCs w:val="24"/>
                <w:highlight w:val="green"/>
                <w:vertAlign w:val="subscript"/>
              </w:rPr>
              <w:t>eco</w:t>
            </w:r>
            <w:r>
              <w:rPr>
                <w:rFonts w:ascii="Times New Roman" w:hAnsi="Times New Roman" w:cs="Times New Roman"/>
                <w:b/>
                <w:bCs/>
                <w:sz w:val="24"/>
                <w:szCs w:val="24"/>
                <w:highlight w:val="green"/>
              </w:rPr>
              <w:t xml:space="preserve"> = f</w:t>
            </w:r>
            <w:r>
              <w:rPr>
                <w:rFonts w:ascii="Times New Roman" w:hAnsi="Times New Roman" w:cs="Times New Roman"/>
                <w:b/>
                <w:bCs/>
                <w:sz w:val="24"/>
                <w:szCs w:val="24"/>
                <w:highlight w:val="green"/>
                <w:vertAlign w:val="subscript"/>
              </w:rPr>
              <w:t>c</w:t>
            </w:r>
            <w:r>
              <w:rPr>
                <w:rFonts w:ascii="Times New Roman" w:hAnsi="Times New Roman" w:cs="Times New Roman"/>
                <w:b/>
                <w:bCs/>
                <w:sz w:val="24"/>
                <w:szCs w:val="24"/>
                <w:highlight w:val="green"/>
              </w:rPr>
              <w:t>/GWP, Eq. (16)</w:t>
            </w:r>
          </w:p>
        </w:tc>
      </w:tr>
      <w:tr w:rsidR="00B06580" w:rsidRPr="003E0CF1" w14:paraId="4ABD26E5" w14:textId="77777777">
        <w:trPr>
          <w:cantSplit/>
        </w:trPr>
        <w:tc>
          <w:tcPr>
            <w:tcW w:w="1300" w:type="dxa"/>
            <w:vAlign w:val="center"/>
          </w:tcPr>
          <w:p w14:paraId="4004DC38"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C0</w:t>
            </w:r>
          </w:p>
        </w:tc>
        <w:tc>
          <w:tcPr>
            <w:tcW w:w="1500" w:type="dxa"/>
            <w:vAlign w:val="center"/>
          </w:tcPr>
          <w:p w14:paraId="15811F79"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0.462</w:t>
            </w:r>
          </w:p>
        </w:tc>
        <w:tc>
          <w:tcPr>
            <w:tcW w:w="1450" w:type="dxa"/>
            <w:vAlign w:val="center"/>
          </w:tcPr>
          <w:p w14:paraId="15A1113E"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w:t>
            </w:r>
          </w:p>
        </w:tc>
        <w:tc>
          <w:tcPr>
            <w:tcW w:w="1700" w:type="dxa"/>
            <w:vAlign w:val="center"/>
          </w:tcPr>
          <w:p w14:paraId="5F1F3869"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w:t>
            </w:r>
          </w:p>
        </w:tc>
        <w:tc>
          <w:tcPr>
            <w:tcW w:w="1600" w:type="dxa"/>
            <w:vAlign w:val="center"/>
          </w:tcPr>
          <w:p w14:paraId="4BC3F986"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w:t>
            </w:r>
          </w:p>
        </w:tc>
        <w:tc>
          <w:tcPr>
            <w:tcW w:w="1476" w:type="dxa"/>
            <w:vAlign w:val="center"/>
          </w:tcPr>
          <w:p w14:paraId="38485A4E"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83.5</w:t>
            </w:r>
          </w:p>
        </w:tc>
      </w:tr>
      <w:tr w:rsidR="00B06580" w:rsidRPr="003E0CF1" w14:paraId="672429EF" w14:textId="77777777">
        <w:trPr>
          <w:cantSplit/>
        </w:trPr>
        <w:tc>
          <w:tcPr>
            <w:tcW w:w="1300" w:type="dxa"/>
            <w:vAlign w:val="center"/>
          </w:tcPr>
          <w:p w14:paraId="558A00BF"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AT3</w:t>
            </w:r>
          </w:p>
        </w:tc>
        <w:tc>
          <w:tcPr>
            <w:tcW w:w="1500" w:type="dxa"/>
            <w:vAlign w:val="center"/>
          </w:tcPr>
          <w:p w14:paraId="2A4B8C42"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0.298</w:t>
            </w:r>
          </w:p>
        </w:tc>
        <w:tc>
          <w:tcPr>
            <w:tcW w:w="1450" w:type="dxa"/>
            <w:vAlign w:val="center"/>
          </w:tcPr>
          <w:p w14:paraId="2F5096E5"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−35.5</w:t>
            </w:r>
          </w:p>
        </w:tc>
        <w:tc>
          <w:tcPr>
            <w:tcW w:w="1700" w:type="dxa"/>
            <w:vAlign w:val="center"/>
          </w:tcPr>
          <w:p w14:paraId="41B99DA4"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−32.1</w:t>
            </w:r>
          </w:p>
        </w:tc>
        <w:tc>
          <w:tcPr>
            <w:tcW w:w="1600" w:type="dxa"/>
            <w:vAlign w:val="center"/>
          </w:tcPr>
          <w:p w14:paraId="08E17D3D"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−32.5</w:t>
            </w:r>
          </w:p>
        </w:tc>
        <w:tc>
          <w:tcPr>
            <w:tcW w:w="1476" w:type="dxa"/>
            <w:vAlign w:val="center"/>
          </w:tcPr>
          <w:p w14:paraId="4D8E4CC6"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164.1</w:t>
            </w:r>
          </w:p>
        </w:tc>
      </w:tr>
      <w:tr w:rsidR="00B06580" w:rsidRPr="003E0CF1" w14:paraId="6C0D5D1F" w14:textId="77777777">
        <w:trPr>
          <w:cantSplit/>
        </w:trPr>
        <w:tc>
          <w:tcPr>
            <w:tcW w:w="1300" w:type="dxa"/>
            <w:vAlign w:val="center"/>
          </w:tcPr>
          <w:p w14:paraId="7169A624"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AT6</w:t>
            </w:r>
          </w:p>
        </w:tc>
        <w:tc>
          <w:tcPr>
            <w:tcW w:w="1500" w:type="dxa"/>
            <w:vAlign w:val="center"/>
          </w:tcPr>
          <w:p w14:paraId="7D1797A1"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0.249</w:t>
            </w:r>
          </w:p>
        </w:tc>
        <w:tc>
          <w:tcPr>
            <w:tcW w:w="1450" w:type="dxa"/>
            <w:vAlign w:val="center"/>
          </w:tcPr>
          <w:p w14:paraId="0D20F2B4"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−46.1</w:t>
            </w:r>
          </w:p>
        </w:tc>
        <w:tc>
          <w:tcPr>
            <w:tcW w:w="1700" w:type="dxa"/>
            <w:vAlign w:val="center"/>
          </w:tcPr>
          <w:p w14:paraId="440B9691"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−46.4</w:t>
            </w:r>
          </w:p>
        </w:tc>
        <w:tc>
          <w:tcPr>
            <w:tcW w:w="1600" w:type="dxa"/>
            <w:vAlign w:val="center"/>
          </w:tcPr>
          <w:p w14:paraId="0B9C14D7"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−46.0</w:t>
            </w:r>
          </w:p>
        </w:tc>
        <w:tc>
          <w:tcPr>
            <w:tcW w:w="1476" w:type="dxa"/>
            <w:vAlign w:val="center"/>
          </w:tcPr>
          <w:p w14:paraId="7DD83F9D"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222.5</w:t>
            </w:r>
          </w:p>
        </w:tc>
      </w:tr>
    </w:tbl>
    <w:p w14:paraId="57BA6E77"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green"/>
        </w:rPr>
        <w:t xml:space="preserve"> </w:t>
      </w:r>
    </w:p>
    <w:p w14:paraId="262C9CFB" w14:textId="77777777" w:rsidR="003A137B" w:rsidRPr="003E0CF1" w:rsidRDefault="00000000" w:rsidP="00F9519E">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4.14 Analysis of variance of the reported data</w:t>
      </w:r>
    </w:p>
    <w:p w14:paraId="188F032E"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 xml:space="preserve">This section replaces unsupported inferential claims with a transparent account of what can and cannot be concluded from the available summary data. Tables 18–23 contain derived fits or calculations based on mixture-level summaries, not specimen-level observations. Their </w:t>
      </w:r>
      <w:r>
        <w:rPr>
          <w:rFonts w:ascii="Times New Roman" w:hAnsi="Times New Roman" w:cs="Times New Roman"/>
          <w:sz w:val="24"/>
          <w:szCs w:val="24"/>
          <w:highlight w:val="yellow"/>
        </w:rPr>
        <w:lastRenderedPageBreak/>
        <w:t>goodness-of-fit statistics describe the selected mathematical forms and must not be interpreted as validation or independent experimental significance. The original individual measurements, specimen counts and batch identifiers are required before a confirmatory ANOVA can be calculated.</w:t>
      </w:r>
    </w:p>
    <w:p w14:paraId="4179C5D1" w14:textId="77777777" w:rsidR="003A137B" w:rsidRPr="003E0CF1" w:rsidRDefault="00000000" w:rsidP="00F9519E">
      <w:pPr>
        <w:keepNext/>
        <w:jc w:val="both"/>
        <w:rPr>
          <w:rFonts w:ascii="Times New Roman" w:hAnsi="Times New Roman" w:cs="Times New Roman"/>
          <w:sz w:val="24"/>
          <w:szCs w:val="24"/>
        </w:rPr>
      </w:pPr>
      <w:r>
        <w:rPr>
          <w:rFonts w:ascii="Times New Roman" w:hAnsi="Times New Roman" w:cs="Times New Roman"/>
          <w:b/>
          <w:bCs/>
          <w:i/>
          <w:iCs/>
          <w:sz w:val="24"/>
          <w:szCs w:val="24"/>
        </w:rPr>
        <w:t>4.14.1 Regression ANOVA on basalt-</w:t>
      </w:r>
      <w:proofErr w:type="spellStart"/>
      <w:r>
        <w:rPr>
          <w:rFonts w:ascii="Times New Roman" w:hAnsi="Times New Roman" w:cs="Times New Roman"/>
          <w:b/>
          <w:bCs/>
          <w:i/>
          <w:iCs/>
          <w:sz w:val="24"/>
          <w:szCs w:val="24"/>
        </w:rPr>
        <w:t>fibre</w:t>
      </w:r>
      <w:proofErr w:type="spellEnd"/>
      <w:r>
        <w:rPr>
          <w:rFonts w:ascii="Times New Roman" w:hAnsi="Times New Roman" w:cs="Times New Roman"/>
          <w:b/>
          <w:bCs/>
          <w:i/>
          <w:iCs/>
          <w:sz w:val="24"/>
          <w:szCs w:val="24"/>
        </w:rPr>
        <w:t xml:space="preserve"> dosage within AT1–AT4</w:t>
      </w:r>
    </w:p>
    <w:p w14:paraId="77A6AF0D"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The four AT1–AT4 mixture means were fitted descriptively against the listed basalt-</w:t>
      </w:r>
      <w:proofErr w:type="spellStart"/>
      <w:r>
        <w:rPr>
          <w:rFonts w:ascii="Times New Roman" w:hAnsi="Times New Roman" w:cs="Times New Roman"/>
          <w:sz w:val="24"/>
          <w:szCs w:val="24"/>
        </w:rPr>
        <w:t>fibre</w:t>
      </w:r>
      <w:proofErr w:type="spellEnd"/>
      <w:r>
        <w:rPr>
          <w:rFonts w:ascii="Times New Roman" w:hAnsi="Times New Roman" w:cs="Times New Roman"/>
          <w:sz w:val="24"/>
          <w:szCs w:val="24"/>
        </w:rPr>
        <w:t xml:space="preserve"> dosage (0, 0.5, 1.0 and 1.5 mass %). Table 18 reports the arithmetic slope, intercept and R² for each response. Because each dosage is represented by one mixture mean and other mixture characteristics may not be fully controlled, these fits describe the listed sequence and do not establish a statistically significant or independent </w:t>
      </w:r>
      <w:proofErr w:type="spellStart"/>
      <w:r>
        <w:rPr>
          <w:rFonts w:ascii="Times New Roman" w:hAnsi="Times New Roman" w:cs="Times New Roman"/>
          <w:sz w:val="24"/>
          <w:szCs w:val="24"/>
        </w:rPr>
        <w:t>fibre</w:t>
      </w:r>
      <w:proofErr w:type="spellEnd"/>
      <w:r>
        <w:rPr>
          <w:rFonts w:ascii="Times New Roman" w:hAnsi="Times New Roman" w:cs="Times New Roman"/>
          <w:sz w:val="24"/>
          <w:szCs w:val="24"/>
        </w:rPr>
        <w:t xml:space="preserve"> effect.</w:t>
      </w:r>
    </w:p>
    <w:p w14:paraId="5096748A" w14:textId="77777777" w:rsidR="003A137B" w:rsidRPr="003E0CF1" w:rsidRDefault="00000000" w:rsidP="00F9519E">
      <w:pPr>
        <w:keepNext/>
        <w:jc w:val="both"/>
        <w:rPr>
          <w:rFonts w:ascii="Times New Roman" w:hAnsi="Times New Roman" w:cs="Times New Roman"/>
          <w:sz w:val="24"/>
          <w:szCs w:val="24"/>
        </w:rPr>
      </w:pPr>
      <w:r>
        <w:rPr>
          <w:rFonts w:ascii="Times New Roman" w:hAnsi="Times New Roman" w:cs="Times New Roman"/>
          <w:sz w:val="24"/>
          <w:szCs w:val="24"/>
        </w:rPr>
        <w:t>Table 18. Descriptive linear fits of AT1–AT4 means against basalt-</w:t>
      </w:r>
      <w:proofErr w:type="spellStart"/>
      <w:r>
        <w:rPr>
          <w:rFonts w:ascii="Times New Roman" w:hAnsi="Times New Roman" w:cs="Times New Roman"/>
          <w:sz w:val="24"/>
          <w:szCs w:val="24"/>
        </w:rPr>
        <w:t>fibre</w:t>
      </w:r>
      <w:proofErr w:type="spellEnd"/>
      <w:r>
        <w:rPr>
          <w:rFonts w:ascii="Times New Roman" w:hAnsi="Times New Roman" w:cs="Times New Roman"/>
          <w:sz w:val="24"/>
          <w:szCs w:val="24"/>
        </w:rPr>
        <w:t xml:space="preserve"> dosage (0–1.5 mass %).</w:t>
      </w:r>
    </w:p>
    <w:tbl>
      <w:tblPr>
        <w:tblStyle w:val="TableGrid"/>
        <w:tblW w:w="9026" w:type="dxa"/>
        <w:tblLayout w:type="fixed"/>
        <w:tblLook w:val="04A0" w:firstRow="1" w:lastRow="0" w:firstColumn="1" w:lastColumn="0" w:noHBand="0" w:noVBand="1"/>
      </w:tblPr>
      <w:tblGrid>
        <w:gridCol w:w="2626"/>
        <w:gridCol w:w="1200"/>
        <w:gridCol w:w="1200"/>
        <w:gridCol w:w="4000"/>
      </w:tblGrid>
      <w:tr w:rsidR="00076EAD" w:rsidRPr="003E0CF1" w14:paraId="211A327E" w14:textId="77777777">
        <w:tc>
          <w:tcPr>
            <w:tcW w:w="2626" w:type="dxa"/>
          </w:tcPr>
          <w:p w14:paraId="3701C4D9"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Property</w:t>
            </w:r>
          </w:p>
        </w:tc>
        <w:tc>
          <w:tcPr>
            <w:tcW w:w="1200" w:type="dxa"/>
          </w:tcPr>
          <w:p w14:paraId="59E99631"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 xml:space="preserve">Slope per 1% basalt </w:t>
            </w:r>
            <w:proofErr w:type="spellStart"/>
            <w:r>
              <w:rPr>
                <w:rFonts w:ascii="Times New Roman" w:hAnsi="Times New Roman" w:cs="Times New Roman"/>
                <w:sz w:val="24"/>
                <w:szCs w:val="24"/>
              </w:rPr>
              <w:t>fibre</w:t>
            </w:r>
            <w:proofErr w:type="spellEnd"/>
          </w:p>
        </w:tc>
        <w:tc>
          <w:tcPr>
            <w:tcW w:w="1200" w:type="dxa"/>
          </w:tcPr>
          <w:p w14:paraId="7133BC13"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 xml:space="preserve">Intercept at 0% </w:t>
            </w:r>
            <w:proofErr w:type="spellStart"/>
            <w:r>
              <w:rPr>
                <w:rFonts w:ascii="Times New Roman" w:hAnsi="Times New Roman" w:cs="Times New Roman"/>
                <w:sz w:val="24"/>
                <w:szCs w:val="24"/>
              </w:rPr>
              <w:t>fibre</w:t>
            </w:r>
            <w:proofErr w:type="spellEnd"/>
          </w:p>
        </w:tc>
        <w:tc>
          <w:tcPr>
            <w:tcW w:w="4000" w:type="dxa"/>
          </w:tcPr>
          <w:p w14:paraId="68C322C8"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R² (descriptive)</w:t>
            </w:r>
          </w:p>
        </w:tc>
      </w:tr>
      <w:tr w:rsidR="00076EAD" w:rsidRPr="003E0CF1" w14:paraId="588B5318" w14:textId="77777777">
        <w:tc>
          <w:tcPr>
            <w:tcW w:w="2626" w:type="dxa"/>
          </w:tcPr>
          <w:p w14:paraId="050FCB77"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Density (kg/m³)</w:t>
            </w:r>
          </w:p>
        </w:tc>
        <w:tc>
          <w:tcPr>
            <w:tcW w:w="1200" w:type="dxa"/>
          </w:tcPr>
          <w:p w14:paraId="49FD56D7"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18.4</w:t>
            </w:r>
          </w:p>
        </w:tc>
        <w:tc>
          <w:tcPr>
            <w:tcW w:w="1200" w:type="dxa"/>
          </w:tcPr>
          <w:p w14:paraId="16F9624E"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2215.7</w:t>
            </w:r>
          </w:p>
        </w:tc>
        <w:tc>
          <w:tcPr>
            <w:tcW w:w="4000" w:type="dxa"/>
          </w:tcPr>
          <w:p w14:paraId="783D08E6"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0.9342</w:t>
            </w:r>
          </w:p>
        </w:tc>
      </w:tr>
      <w:tr w:rsidR="00076EAD" w:rsidRPr="003E0CF1" w14:paraId="26DE6AF0" w14:textId="77777777">
        <w:tc>
          <w:tcPr>
            <w:tcW w:w="2626" w:type="dxa"/>
          </w:tcPr>
          <w:p w14:paraId="73FF9D27"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Water absorption (%)</w:t>
            </w:r>
          </w:p>
        </w:tc>
        <w:tc>
          <w:tcPr>
            <w:tcW w:w="1200" w:type="dxa"/>
          </w:tcPr>
          <w:p w14:paraId="303CCE6A"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-0.694</w:t>
            </w:r>
          </w:p>
        </w:tc>
        <w:tc>
          <w:tcPr>
            <w:tcW w:w="1200" w:type="dxa"/>
          </w:tcPr>
          <w:p w14:paraId="27C78C0E"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5.103</w:t>
            </w:r>
          </w:p>
        </w:tc>
        <w:tc>
          <w:tcPr>
            <w:tcW w:w="4000" w:type="dxa"/>
          </w:tcPr>
          <w:p w14:paraId="2D54BCDE"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0.9772</w:t>
            </w:r>
          </w:p>
        </w:tc>
      </w:tr>
      <w:tr w:rsidR="00076EAD" w:rsidRPr="003E0CF1" w14:paraId="7FD3E82A" w14:textId="77777777">
        <w:tc>
          <w:tcPr>
            <w:tcW w:w="2626" w:type="dxa"/>
          </w:tcPr>
          <w:p w14:paraId="3DB94E4E"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Apparent porosity (%)</w:t>
            </w:r>
          </w:p>
        </w:tc>
        <w:tc>
          <w:tcPr>
            <w:tcW w:w="1200" w:type="dxa"/>
          </w:tcPr>
          <w:p w14:paraId="08FDED5E"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-1.584</w:t>
            </w:r>
          </w:p>
        </w:tc>
        <w:tc>
          <w:tcPr>
            <w:tcW w:w="1200" w:type="dxa"/>
          </w:tcPr>
          <w:p w14:paraId="1087D943"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11.188</w:t>
            </w:r>
          </w:p>
        </w:tc>
        <w:tc>
          <w:tcPr>
            <w:tcW w:w="4000" w:type="dxa"/>
          </w:tcPr>
          <w:p w14:paraId="46A695F6"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0.9721</w:t>
            </w:r>
          </w:p>
        </w:tc>
      </w:tr>
      <w:tr w:rsidR="00076EAD" w:rsidRPr="003E0CF1" w14:paraId="5EF06F3C" w14:textId="77777777">
        <w:tc>
          <w:tcPr>
            <w:tcW w:w="2626" w:type="dxa"/>
          </w:tcPr>
          <w:p w14:paraId="7F7E7F60" w14:textId="77777777" w:rsidR="00076EAD" w:rsidRPr="003E0CF1" w:rsidRDefault="00000000" w:rsidP="00F9519E">
            <w:pPr>
              <w:jc w:val="both"/>
              <w:rPr>
                <w:rFonts w:ascii="Times New Roman" w:hAnsi="Times New Roman" w:cs="Times New Roman"/>
                <w:sz w:val="24"/>
                <w:szCs w:val="24"/>
              </w:rPr>
            </w:pPr>
            <w:proofErr w:type="spellStart"/>
            <w:r>
              <w:rPr>
                <w:rFonts w:ascii="Times New Roman" w:hAnsi="Times New Roman" w:cs="Times New Roman"/>
                <w:sz w:val="24"/>
                <w:szCs w:val="24"/>
              </w:rPr>
              <w:t>Sorptivity</w:t>
            </w:r>
            <w:proofErr w:type="spellEnd"/>
            <w:r>
              <w:rPr>
                <w:rFonts w:ascii="Times New Roman" w:hAnsi="Times New Roman" w:cs="Times New Roman"/>
                <w:sz w:val="24"/>
                <w:szCs w:val="24"/>
              </w:rPr>
              <w:t xml:space="preserve"> (mm/min</w:t>
            </w:r>
            <w:r>
              <w:rPr>
                <w:rFonts w:ascii="Times New Roman" w:hAnsi="Times New Roman" w:cs="Times New Roman"/>
                <w:sz w:val="24"/>
                <w:szCs w:val="24"/>
                <w:vertAlign w:val="superscript"/>
              </w:rPr>
              <w:t>0.5</w:t>
            </w:r>
            <w:r>
              <w:rPr>
                <w:rFonts w:ascii="Times New Roman" w:hAnsi="Times New Roman" w:cs="Times New Roman"/>
                <w:sz w:val="24"/>
                <w:szCs w:val="24"/>
              </w:rPr>
              <w:t>)</w:t>
            </w:r>
          </w:p>
        </w:tc>
        <w:tc>
          <w:tcPr>
            <w:tcW w:w="1200" w:type="dxa"/>
          </w:tcPr>
          <w:p w14:paraId="32E98A46"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-0.0146</w:t>
            </w:r>
          </w:p>
        </w:tc>
        <w:tc>
          <w:tcPr>
            <w:tcW w:w="1200" w:type="dxa"/>
          </w:tcPr>
          <w:p w14:paraId="446A77C5"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0.0612</w:t>
            </w:r>
          </w:p>
        </w:tc>
        <w:tc>
          <w:tcPr>
            <w:tcW w:w="4000" w:type="dxa"/>
          </w:tcPr>
          <w:p w14:paraId="4381A053"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0.9559</w:t>
            </w:r>
          </w:p>
        </w:tc>
      </w:tr>
      <w:tr w:rsidR="00076EAD" w:rsidRPr="003E0CF1" w14:paraId="245EE89B" w14:textId="77777777">
        <w:tc>
          <w:tcPr>
            <w:tcW w:w="2626" w:type="dxa"/>
          </w:tcPr>
          <w:p w14:paraId="48E83DE4"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Compressive strength (MPa)</w:t>
            </w:r>
          </w:p>
        </w:tc>
        <w:tc>
          <w:tcPr>
            <w:tcW w:w="1200" w:type="dxa"/>
          </w:tcPr>
          <w:p w14:paraId="109B3FA7"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5.62</w:t>
            </w:r>
          </w:p>
        </w:tc>
        <w:tc>
          <w:tcPr>
            <w:tcW w:w="1200" w:type="dxa"/>
          </w:tcPr>
          <w:p w14:paraId="2EE5ABC2"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42.41</w:t>
            </w:r>
          </w:p>
        </w:tc>
        <w:tc>
          <w:tcPr>
            <w:tcW w:w="4000" w:type="dxa"/>
          </w:tcPr>
          <w:p w14:paraId="3BFAECE5"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0.9539</w:t>
            </w:r>
          </w:p>
        </w:tc>
      </w:tr>
      <w:tr w:rsidR="00076EAD" w:rsidRPr="003E0CF1" w14:paraId="3AB53472" w14:textId="77777777">
        <w:tc>
          <w:tcPr>
            <w:tcW w:w="2626" w:type="dxa"/>
          </w:tcPr>
          <w:p w14:paraId="680E4CDC"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Flexural strength (MPa)</w:t>
            </w:r>
          </w:p>
        </w:tc>
        <w:tc>
          <w:tcPr>
            <w:tcW w:w="1200" w:type="dxa"/>
          </w:tcPr>
          <w:p w14:paraId="07A789DD"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0.944</w:t>
            </w:r>
          </w:p>
        </w:tc>
        <w:tc>
          <w:tcPr>
            <w:tcW w:w="1200" w:type="dxa"/>
          </w:tcPr>
          <w:p w14:paraId="41609304"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6.877</w:t>
            </w:r>
          </w:p>
        </w:tc>
        <w:tc>
          <w:tcPr>
            <w:tcW w:w="4000" w:type="dxa"/>
          </w:tcPr>
          <w:p w14:paraId="30F4CEFB"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0.9757</w:t>
            </w:r>
          </w:p>
        </w:tc>
      </w:tr>
      <w:tr w:rsidR="00076EAD" w:rsidRPr="003E0CF1" w14:paraId="78D2F23E" w14:textId="77777777">
        <w:tc>
          <w:tcPr>
            <w:tcW w:w="2626" w:type="dxa"/>
          </w:tcPr>
          <w:p w14:paraId="54A9DB45"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Splitting tensile strength (MPa)</w:t>
            </w:r>
          </w:p>
        </w:tc>
        <w:tc>
          <w:tcPr>
            <w:tcW w:w="1200" w:type="dxa"/>
          </w:tcPr>
          <w:p w14:paraId="134DC873"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0.554</w:t>
            </w:r>
          </w:p>
        </w:tc>
        <w:tc>
          <w:tcPr>
            <w:tcW w:w="1200" w:type="dxa"/>
          </w:tcPr>
          <w:p w14:paraId="2A0FAA36"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3.642</w:t>
            </w:r>
          </w:p>
        </w:tc>
        <w:tc>
          <w:tcPr>
            <w:tcW w:w="4000" w:type="dxa"/>
          </w:tcPr>
          <w:p w14:paraId="3601A991"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0.9735</w:t>
            </w:r>
          </w:p>
        </w:tc>
      </w:tr>
      <w:tr w:rsidR="00076EAD" w:rsidRPr="003E0CF1" w14:paraId="582EDA7C" w14:textId="77777777">
        <w:tc>
          <w:tcPr>
            <w:tcW w:w="2626" w:type="dxa"/>
          </w:tcPr>
          <w:p w14:paraId="4FA43B2B"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Fracture toughness (MPa·m</w:t>
            </w:r>
            <w:r>
              <w:rPr>
                <w:rFonts w:ascii="Times New Roman" w:hAnsi="Times New Roman" w:cs="Times New Roman"/>
                <w:sz w:val="24"/>
                <w:szCs w:val="24"/>
                <w:vertAlign w:val="superscript"/>
              </w:rPr>
              <w:t>0.5</w:t>
            </w:r>
            <w:r>
              <w:rPr>
                <w:rFonts w:ascii="Times New Roman" w:hAnsi="Times New Roman" w:cs="Times New Roman"/>
                <w:sz w:val="24"/>
                <w:szCs w:val="24"/>
              </w:rPr>
              <w:t>)</w:t>
            </w:r>
          </w:p>
        </w:tc>
        <w:tc>
          <w:tcPr>
            <w:tcW w:w="1200" w:type="dxa"/>
          </w:tcPr>
          <w:p w14:paraId="6A7ECA31"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0.5</w:t>
            </w:r>
          </w:p>
        </w:tc>
        <w:tc>
          <w:tcPr>
            <w:tcW w:w="1200" w:type="dxa"/>
          </w:tcPr>
          <w:p w14:paraId="1D1FB762"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1.525</w:t>
            </w:r>
          </w:p>
        </w:tc>
        <w:tc>
          <w:tcPr>
            <w:tcW w:w="4000" w:type="dxa"/>
          </w:tcPr>
          <w:p w14:paraId="64CAEE8F"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0.9396</w:t>
            </w:r>
          </w:p>
        </w:tc>
      </w:tr>
      <w:tr w:rsidR="00076EAD" w:rsidRPr="003E0CF1" w14:paraId="6E4C1A2D" w14:textId="77777777">
        <w:tc>
          <w:tcPr>
            <w:tcW w:w="2626" w:type="dxa"/>
          </w:tcPr>
          <w:p w14:paraId="1880AE87"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Residual strength, 5% H₂SO₄ (%)</w:t>
            </w:r>
          </w:p>
        </w:tc>
        <w:tc>
          <w:tcPr>
            <w:tcW w:w="1200" w:type="dxa"/>
          </w:tcPr>
          <w:p w14:paraId="1BB41E9A"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5.56</w:t>
            </w:r>
          </w:p>
        </w:tc>
        <w:tc>
          <w:tcPr>
            <w:tcW w:w="1200" w:type="dxa"/>
          </w:tcPr>
          <w:p w14:paraId="6806BE34"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69.38</w:t>
            </w:r>
          </w:p>
        </w:tc>
        <w:tc>
          <w:tcPr>
            <w:tcW w:w="4000" w:type="dxa"/>
          </w:tcPr>
          <w:p w14:paraId="65BBBCEF"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0.9988</w:t>
            </w:r>
          </w:p>
        </w:tc>
      </w:tr>
    </w:tbl>
    <w:p w14:paraId="78952C20"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 xml:space="preserve"> </w:t>
      </w:r>
    </w:p>
    <w:p w14:paraId="0DCACA87" w14:textId="77777777" w:rsidR="003A137B" w:rsidRPr="003E0CF1" w:rsidRDefault="00000000" w:rsidP="00F9519E">
      <w:pPr>
        <w:keepNext/>
        <w:jc w:val="both"/>
        <w:rPr>
          <w:rFonts w:ascii="Times New Roman" w:hAnsi="Times New Roman" w:cs="Times New Roman"/>
          <w:sz w:val="24"/>
          <w:szCs w:val="24"/>
        </w:rPr>
      </w:pPr>
      <w:r>
        <w:rPr>
          <w:rFonts w:ascii="Times New Roman" w:hAnsi="Times New Roman" w:cs="Times New Roman"/>
          <w:b/>
          <w:bCs/>
          <w:i/>
          <w:iCs/>
          <w:sz w:val="24"/>
          <w:szCs w:val="24"/>
        </w:rPr>
        <w:t>4.14.2 Two-way ANOVA of residual strength: mixture × exposure</w:t>
      </w:r>
    </w:p>
    <w:p w14:paraId="37C85D1C"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The 35 entries in Table 5 comprise one reported residual-strength ratio for each of seven mixtures under five different exposures. These are not independent replicates, and the five exposure conditions differ in severity and protocol. Consequently, the mixture × exposure interaction cannot be assumed to be a valid substitute for specimen-level error [26], and the reported F-statistics, p-values and post-hoc comparisons do not establish statistically significant differences. The table may be used to describe the ordering of the reported summary ratios only. Confirmatory comparisons require specimen-level results and replicate counts for each mixture and exposure. Table 19 summarizes the calculations from Table 5.</w:t>
      </w:r>
    </w:p>
    <w:p w14:paraId="1CA8BA44" w14:textId="77777777" w:rsidR="003A137B" w:rsidRPr="003E0CF1" w:rsidRDefault="00000000" w:rsidP="00F9519E">
      <w:pPr>
        <w:keepNext/>
        <w:jc w:val="both"/>
        <w:rPr>
          <w:rFonts w:ascii="Times New Roman" w:hAnsi="Times New Roman" w:cs="Times New Roman"/>
          <w:sz w:val="24"/>
          <w:szCs w:val="24"/>
        </w:rPr>
      </w:pPr>
      <w:r>
        <w:rPr>
          <w:rFonts w:ascii="Times New Roman" w:hAnsi="Times New Roman" w:cs="Times New Roman"/>
          <w:sz w:val="24"/>
          <w:szCs w:val="24"/>
          <w:highlight w:val="yellow"/>
        </w:rPr>
        <w:t>Table 19. Mixture-by-exposure ANOVA summary for the data in Table 5 (descriptive only).</w:t>
      </w:r>
    </w:p>
    <w:tbl>
      <w:tblPr>
        <w:tblStyle w:val="TableGrid"/>
        <w:tblW w:w="9026" w:type="dxa"/>
        <w:tblLayout w:type="fixed"/>
        <w:tblLook w:val="04A0" w:firstRow="1" w:lastRow="0" w:firstColumn="1" w:lastColumn="0" w:noHBand="0" w:noVBand="1"/>
      </w:tblPr>
      <w:tblGrid>
        <w:gridCol w:w="1435"/>
        <w:gridCol w:w="2070"/>
        <w:gridCol w:w="1421"/>
        <w:gridCol w:w="1100"/>
        <w:gridCol w:w="1000"/>
        <w:gridCol w:w="1000"/>
        <w:gridCol w:w="1000"/>
      </w:tblGrid>
      <w:tr w:rsidR="003A137B" w:rsidRPr="003E0CF1" w14:paraId="5971CD7C" w14:textId="77777777" w:rsidTr="00E556BD">
        <w:trPr>
          <w:cantSplit/>
          <w:tblHeader/>
        </w:trPr>
        <w:tc>
          <w:tcPr>
            <w:tcW w:w="1435" w:type="dxa"/>
            <w:vAlign w:val="center"/>
          </w:tcPr>
          <w:p w14:paraId="0FFE73EF"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Item</w:t>
            </w:r>
          </w:p>
        </w:tc>
        <w:tc>
          <w:tcPr>
            <w:tcW w:w="2070" w:type="dxa"/>
            <w:vAlign w:val="center"/>
          </w:tcPr>
          <w:p w14:paraId="2FB25844"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Reported calculation</w:t>
            </w:r>
          </w:p>
        </w:tc>
        <w:tc>
          <w:tcPr>
            <w:tcW w:w="1421" w:type="dxa"/>
            <w:vAlign w:val="center"/>
          </w:tcPr>
          <w:p w14:paraId="67F0E445"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Revised interpretation</w:t>
            </w:r>
          </w:p>
        </w:tc>
        <w:tc>
          <w:tcPr>
            <w:tcW w:w="1100" w:type="dxa"/>
            <w:vAlign w:val="center"/>
          </w:tcPr>
          <w:p w14:paraId="1F72146B"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rPr>
              <w:t>MS</w:t>
            </w:r>
          </w:p>
        </w:tc>
        <w:tc>
          <w:tcPr>
            <w:tcW w:w="1000" w:type="dxa"/>
            <w:vAlign w:val="center"/>
          </w:tcPr>
          <w:p w14:paraId="76860F2E"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rPr>
              <w:t>F</w:t>
            </w:r>
          </w:p>
        </w:tc>
        <w:tc>
          <w:tcPr>
            <w:tcW w:w="1000" w:type="dxa"/>
            <w:vAlign w:val="center"/>
          </w:tcPr>
          <w:p w14:paraId="10014E67"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rPr>
              <w:t>p</w:t>
            </w:r>
          </w:p>
        </w:tc>
        <w:tc>
          <w:tcPr>
            <w:tcW w:w="1000" w:type="dxa"/>
            <w:vAlign w:val="center"/>
          </w:tcPr>
          <w:p w14:paraId="1D296E1B"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rPr>
              <w:t>η²</w:t>
            </w:r>
          </w:p>
        </w:tc>
      </w:tr>
      <w:tr w:rsidR="003A137B" w:rsidRPr="003E0CF1" w14:paraId="40B2F084" w14:textId="77777777" w:rsidTr="00E556BD">
        <w:trPr>
          <w:cantSplit/>
        </w:trPr>
        <w:tc>
          <w:tcPr>
            <w:tcW w:w="1435" w:type="dxa"/>
            <w:vAlign w:val="center"/>
          </w:tcPr>
          <w:p w14:paraId="7DE4F96A"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Mixture effect</w:t>
            </w:r>
          </w:p>
        </w:tc>
        <w:tc>
          <w:tcPr>
            <w:tcW w:w="2070" w:type="dxa"/>
            <w:vAlign w:val="center"/>
          </w:tcPr>
          <w:p w14:paraId="544162E0"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F(6,24) = 30.70; p &lt; 0.001</w:t>
            </w:r>
          </w:p>
        </w:tc>
        <w:tc>
          <w:tcPr>
            <w:tcW w:w="1421" w:type="dxa"/>
            <w:vAlign w:val="center"/>
          </w:tcPr>
          <w:p w14:paraId="6B7AFF84"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Not used for inference: interaction is not independent replicate error</w:t>
            </w:r>
          </w:p>
        </w:tc>
        <w:tc>
          <w:tcPr>
            <w:tcW w:w="1100" w:type="dxa"/>
            <w:vAlign w:val="center"/>
          </w:tcPr>
          <w:p w14:paraId="68A96A7B"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146.81</w:t>
            </w:r>
          </w:p>
        </w:tc>
        <w:tc>
          <w:tcPr>
            <w:tcW w:w="1000" w:type="dxa"/>
            <w:vAlign w:val="center"/>
          </w:tcPr>
          <w:p w14:paraId="4666D084"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30.70</w:t>
            </w:r>
          </w:p>
        </w:tc>
        <w:tc>
          <w:tcPr>
            <w:tcW w:w="1000" w:type="dxa"/>
            <w:vAlign w:val="center"/>
          </w:tcPr>
          <w:p w14:paraId="715A3E01"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&lt;0.001</w:t>
            </w:r>
          </w:p>
        </w:tc>
        <w:tc>
          <w:tcPr>
            <w:tcW w:w="1000" w:type="dxa"/>
            <w:vAlign w:val="center"/>
          </w:tcPr>
          <w:p w14:paraId="2E099557"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0.318</w:t>
            </w:r>
          </w:p>
        </w:tc>
      </w:tr>
      <w:tr w:rsidR="003A137B" w:rsidRPr="003E0CF1" w14:paraId="337ED9C5" w14:textId="77777777" w:rsidTr="00E556BD">
        <w:trPr>
          <w:cantSplit/>
        </w:trPr>
        <w:tc>
          <w:tcPr>
            <w:tcW w:w="1435" w:type="dxa"/>
            <w:vAlign w:val="center"/>
          </w:tcPr>
          <w:p w14:paraId="2BC1BD7D"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lastRenderedPageBreak/>
              <w:t>Exposure effect</w:t>
            </w:r>
          </w:p>
        </w:tc>
        <w:tc>
          <w:tcPr>
            <w:tcW w:w="2070" w:type="dxa"/>
            <w:vAlign w:val="center"/>
          </w:tcPr>
          <w:p w14:paraId="428F2D77"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F(4,24) = 92.57; p &lt; 0.001</w:t>
            </w:r>
          </w:p>
        </w:tc>
        <w:tc>
          <w:tcPr>
            <w:tcW w:w="1421" w:type="dxa"/>
            <w:vAlign w:val="center"/>
          </w:tcPr>
          <w:p w14:paraId="09D00BE5"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Descriptive only; exposure conditions differ in severity</w:t>
            </w:r>
          </w:p>
        </w:tc>
        <w:tc>
          <w:tcPr>
            <w:tcW w:w="1100" w:type="dxa"/>
            <w:vAlign w:val="center"/>
          </w:tcPr>
          <w:p w14:paraId="0D65059E"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442.63</w:t>
            </w:r>
          </w:p>
        </w:tc>
        <w:tc>
          <w:tcPr>
            <w:tcW w:w="1000" w:type="dxa"/>
            <w:vAlign w:val="center"/>
          </w:tcPr>
          <w:p w14:paraId="7795456D"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92.57</w:t>
            </w:r>
          </w:p>
        </w:tc>
        <w:tc>
          <w:tcPr>
            <w:tcW w:w="1000" w:type="dxa"/>
            <w:vAlign w:val="center"/>
          </w:tcPr>
          <w:p w14:paraId="34956E4B"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&lt;0.001</w:t>
            </w:r>
          </w:p>
        </w:tc>
        <w:tc>
          <w:tcPr>
            <w:tcW w:w="1000" w:type="dxa"/>
            <w:vAlign w:val="center"/>
          </w:tcPr>
          <w:p w14:paraId="63B50B49"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0.640</w:t>
            </w:r>
          </w:p>
        </w:tc>
      </w:tr>
      <w:tr w:rsidR="003A137B" w:rsidRPr="003E0CF1" w14:paraId="4DBA3D7D" w14:textId="77777777" w:rsidTr="00E556BD">
        <w:trPr>
          <w:cantSplit/>
        </w:trPr>
        <w:tc>
          <w:tcPr>
            <w:tcW w:w="1435" w:type="dxa"/>
            <w:vAlign w:val="center"/>
          </w:tcPr>
          <w:p w14:paraId="247523C6"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Mixture × exposure</w:t>
            </w:r>
          </w:p>
        </w:tc>
        <w:tc>
          <w:tcPr>
            <w:tcW w:w="2070" w:type="dxa"/>
            <w:vAlign w:val="center"/>
          </w:tcPr>
          <w:p w14:paraId="3CEA282A"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 xml:space="preserve">SS = 114.76; </w:t>
            </w:r>
            <w:proofErr w:type="spellStart"/>
            <w:r>
              <w:rPr>
                <w:rFonts w:ascii="Times New Roman" w:hAnsi="Times New Roman" w:cs="Times New Roman"/>
                <w:sz w:val="24"/>
                <w:szCs w:val="24"/>
                <w:highlight w:val="yellow"/>
              </w:rPr>
              <w:t>df</w:t>
            </w:r>
            <w:proofErr w:type="spellEnd"/>
            <w:r>
              <w:rPr>
                <w:rFonts w:ascii="Times New Roman" w:hAnsi="Times New Roman" w:cs="Times New Roman"/>
                <w:sz w:val="24"/>
                <w:szCs w:val="24"/>
                <w:highlight w:val="yellow"/>
              </w:rPr>
              <w:t xml:space="preserve"> = 24</w:t>
            </w:r>
          </w:p>
        </w:tc>
        <w:tc>
          <w:tcPr>
            <w:tcW w:w="1421" w:type="dxa"/>
            <w:vAlign w:val="center"/>
          </w:tcPr>
          <w:p w14:paraId="7E13A6CD"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Cannot substitute for specimen-level replication</w:t>
            </w:r>
          </w:p>
        </w:tc>
        <w:tc>
          <w:tcPr>
            <w:tcW w:w="1100" w:type="dxa"/>
            <w:vAlign w:val="center"/>
          </w:tcPr>
          <w:p w14:paraId="52F2F49E"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4.78</w:t>
            </w:r>
          </w:p>
        </w:tc>
        <w:tc>
          <w:tcPr>
            <w:tcW w:w="1000" w:type="dxa"/>
            <w:vAlign w:val="center"/>
          </w:tcPr>
          <w:p w14:paraId="4D9F2BD6"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w:t>
            </w:r>
          </w:p>
        </w:tc>
        <w:tc>
          <w:tcPr>
            <w:tcW w:w="1000" w:type="dxa"/>
            <w:vAlign w:val="center"/>
          </w:tcPr>
          <w:p w14:paraId="6E6193CB"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w:t>
            </w:r>
          </w:p>
        </w:tc>
        <w:tc>
          <w:tcPr>
            <w:tcW w:w="1000" w:type="dxa"/>
            <w:vAlign w:val="center"/>
          </w:tcPr>
          <w:p w14:paraId="306FD7E5"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0.041</w:t>
            </w:r>
          </w:p>
        </w:tc>
      </w:tr>
      <w:tr w:rsidR="003A137B" w:rsidRPr="003E0CF1" w14:paraId="798B59B6" w14:textId="77777777" w:rsidTr="00E556BD">
        <w:trPr>
          <w:cantSplit/>
        </w:trPr>
        <w:tc>
          <w:tcPr>
            <w:tcW w:w="1435" w:type="dxa"/>
            <w:vAlign w:val="center"/>
          </w:tcPr>
          <w:p w14:paraId="7CD5C151"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Total</w:t>
            </w:r>
          </w:p>
        </w:tc>
        <w:tc>
          <w:tcPr>
            <w:tcW w:w="2070" w:type="dxa"/>
            <w:vAlign w:val="center"/>
          </w:tcPr>
          <w:p w14:paraId="2F66499F"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35 mixture-level values</w:t>
            </w:r>
          </w:p>
        </w:tc>
        <w:tc>
          <w:tcPr>
            <w:tcW w:w="1421" w:type="dxa"/>
            <w:vAlign w:val="center"/>
          </w:tcPr>
          <w:p w14:paraId="022322B8" w14:textId="77777777" w:rsidR="00C6366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Use only to describe reported residual-strength ratios</w:t>
            </w:r>
          </w:p>
        </w:tc>
        <w:tc>
          <w:tcPr>
            <w:tcW w:w="1100" w:type="dxa"/>
            <w:vAlign w:val="center"/>
          </w:tcPr>
          <w:p w14:paraId="18F7AB09"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81.36</w:t>
            </w:r>
          </w:p>
        </w:tc>
        <w:tc>
          <w:tcPr>
            <w:tcW w:w="1000" w:type="dxa"/>
            <w:vAlign w:val="center"/>
          </w:tcPr>
          <w:p w14:paraId="706948F8"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w:t>
            </w:r>
          </w:p>
        </w:tc>
        <w:tc>
          <w:tcPr>
            <w:tcW w:w="1000" w:type="dxa"/>
            <w:vAlign w:val="center"/>
          </w:tcPr>
          <w:p w14:paraId="122134A1"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w:t>
            </w:r>
          </w:p>
        </w:tc>
        <w:tc>
          <w:tcPr>
            <w:tcW w:w="1000" w:type="dxa"/>
            <w:vAlign w:val="center"/>
          </w:tcPr>
          <w:p w14:paraId="1EECB292"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1.000</w:t>
            </w:r>
          </w:p>
        </w:tc>
      </w:tr>
    </w:tbl>
    <w:p w14:paraId="71FD90AD"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 xml:space="preserve"> </w:t>
      </w:r>
    </w:p>
    <w:p w14:paraId="27A43CE7"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The mixture-level averages across the five exposure endpoints are descriptively higher for AT-MMC formulations than for C0 in the supplied table. However, Tukey HSD and Bonferroni-adjusted p-values are withdrawn because there are no independent replicate observations supporting the assumed error term. The reported ordering is not evidence of statistical significance or long-term service performance. Table 20 gives the corresponding arithmetic percentage changes in the four mechanical properties relative to C0 (cf. Table 13); they are not pairwise significance tests.</w:t>
      </w:r>
    </w:p>
    <w:p w14:paraId="62C12DBA" w14:textId="77777777" w:rsidR="003A137B" w:rsidRPr="003E0CF1" w:rsidRDefault="00000000" w:rsidP="00F9519E">
      <w:pPr>
        <w:keepNext/>
        <w:jc w:val="both"/>
        <w:rPr>
          <w:rFonts w:ascii="Times New Roman" w:hAnsi="Times New Roman" w:cs="Times New Roman"/>
          <w:sz w:val="24"/>
          <w:szCs w:val="24"/>
        </w:rPr>
      </w:pPr>
      <w:r>
        <w:rPr>
          <w:rFonts w:ascii="Times New Roman" w:hAnsi="Times New Roman" w:cs="Times New Roman"/>
          <w:sz w:val="24"/>
          <w:szCs w:val="24"/>
          <w:highlight w:val="yellow"/>
        </w:rPr>
        <w:t>Table 20. Percentage changes in mechanical properties relative to C0.</w:t>
      </w:r>
    </w:p>
    <w:tbl>
      <w:tblPr>
        <w:tblStyle w:val="TableGrid"/>
        <w:tblW w:w="9026" w:type="dxa"/>
        <w:tblLayout w:type="fixed"/>
        <w:tblLook w:val="04A0" w:firstRow="1" w:lastRow="0" w:firstColumn="1" w:lastColumn="0" w:noHBand="0" w:noVBand="1"/>
      </w:tblPr>
      <w:tblGrid>
        <w:gridCol w:w="1226"/>
        <w:gridCol w:w="1300"/>
        <w:gridCol w:w="1300"/>
        <w:gridCol w:w="1300"/>
        <w:gridCol w:w="1300"/>
        <w:gridCol w:w="1300"/>
        <w:gridCol w:w="1300"/>
      </w:tblGrid>
      <w:tr w:rsidR="003A137B" w:rsidRPr="003E0CF1" w14:paraId="2C8428DF" w14:textId="77777777">
        <w:trPr>
          <w:cantSplit/>
          <w:tblHeader/>
        </w:trPr>
        <w:tc>
          <w:tcPr>
            <w:tcW w:w="1226" w:type="dxa"/>
            <w:vAlign w:val="center"/>
          </w:tcPr>
          <w:p w14:paraId="2804212C"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Mix</w:t>
            </w:r>
          </w:p>
        </w:tc>
        <w:tc>
          <w:tcPr>
            <w:tcW w:w="1300" w:type="dxa"/>
            <w:vAlign w:val="center"/>
          </w:tcPr>
          <w:p w14:paraId="41795E57"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Compressive change vs C0 (%)</w:t>
            </w:r>
          </w:p>
        </w:tc>
        <w:tc>
          <w:tcPr>
            <w:tcW w:w="1300" w:type="dxa"/>
            <w:vAlign w:val="center"/>
          </w:tcPr>
          <w:p w14:paraId="682502C6"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Flexural change vs C0 (%)</w:t>
            </w:r>
          </w:p>
        </w:tc>
        <w:tc>
          <w:tcPr>
            <w:tcW w:w="1300" w:type="dxa"/>
            <w:vAlign w:val="center"/>
          </w:tcPr>
          <w:p w14:paraId="6EE85798"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Splitting tensile change vs C0 (%)</w:t>
            </w:r>
          </w:p>
        </w:tc>
        <w:tc>
          <w:tcPr>
            <w:tcW w:w="1300" w:type="dxa"/>
            <w:vAlign w:val="center"/>
          </w:tcPr>
          <w:p w14:paraId="6275511C"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Fracture toughness change vs C0 (%)</w:t>
            </w:r>
          </w:p>
        </w:tc>
        <w:tc>
          <w:tcPr>
            <w:tcW w:w="1300" w:type="dxa"/>
            <w:vAlign w:val="center"/>
          </w:tcPr>
          <w:p w14:paraId="49B598C8"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Mean change across four properties (%)</w:t>
            </w:r>
          </w:p>
        </w:tc>
        <w:tc>
          <w:tcPr>
            <w:tcW w:w="1300" w:type="dxa"/>
            <w:vAlign w:val="center"/>
          </w:tcPr>
          <w:p w14:paraId="56B302ED"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Interpretation</w:t>
            </w:r>
          </w:p>
        </w:tc>
      </w:tr>
      <w:tr w:rsidR="003A137B" w:rsidRPr="003E0CF1" w14:paraId="45C330AC" w14:textId="77777777">
        <w:trPr>
          <w:cantSplit/>
        </w:trPr>
        <w:tc>
          <w:tcPr>
            <w:tcW w:w="1226" w:type="dxa"/>
            <w:vAlign w:val="center"/>
          </w:tcPr>
          <w:p w14:paraId="6520C6A1"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C0</w:t>
            </w:r>
          </w:p>
        </w:tc>
        <w:tc>
          <w:tcPr>
            <w:tcW w:w="1300" w:type="dxa"/>
            <w:vAlign w:val="center"/>
          </w:tcPr>
          <w:p w14:paraId="3571039A"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0.0</w:t>
            </w:r>
          </w:p>
        </w:tc>
        <w:tc>
          <w:tcPr>
            <w:tcW w:w="1300" w:type="dxa"/>
            <w:vAlign w:val="center"/>
          </w:tcPr>
          <w:p w14:paraId="4BA4011D"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0.0</w:t>
            </w:r>
          </w:p>
        </w:tc>
        <w:tc>
          <w:tcPr>
            <w:tcW w:w="1300" w:type="dxa"/>
            <w:vAlign w:val="center"/>
          </w:tcPr>
          <w:p w14:paraId="6DCB8B07"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0.0</w:t>
            </w:r>
          </w:p>
        </w:tc>
        <w:tc>
          <w:tcPr>
            <w:tcW w:w="1300" w:type="dxa"/>
            <w:vAlign w:val="center"/>
          </w:tcPr>
          <w:p w14:paraId="34A16F0C"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0.0</w:t>
            </w:r>
          </w:p>
        </w:tc>
        <w:tc>
          <w:tcPr>
            <w:tcW w:w="1300" w:type="dxa"/>
            <w:vAlign w:val="center"/>
          </w:tcPr>
          <w:p w14:paraId="302E0197"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0.0</w:t>
            </w:r>
          </w:p>
        </w:tc>
        <w:tc>
          <w:tcPr>
            <w:tcW w:w="1300" w:type="dxa"/>
            <w:vAlign w:val="center"/>
          </w:tcPr>
          <w:p w14:paraId="6FFFDCB6"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Reference mixture</w:t>
            </w:r>
          </w:p>
        </w:tc>
      </w:tr>
      <w:tr w:rsidR="003A137B" w:rsidRPr="003E0CF1" w14:paraId="1FD8875E" w14:textId="77777777">
        <w:trPr>
          <w:cantSplit/>
        </w:trPr>
        <w:tc>
          <w:tcPr>
            <w:tcW w:w="1226" w:type="dxa"/>
            <w:vAlign w:val="center"/>
          </w:tcPr>
          <w:p w14:paraId="6C2F0861"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AT1</w:t>
            </w:r>
          </w:p>
        </w:tc>
        <w:tc>
          <w:tcPr>
            <w:tcW w:w="1300" w:type="dxa"/>
            <w:vAlign w:val="center"/>
          </w:tcPr>
          <w:p w14:paraId="63615F88"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8.3</w:t>
            </w:r>
          </w:p>
        </w:tc>
        <w:tc>
          <w:tcPr>
            <w:tcW w:w="1300" w:type="dxa"/>
            <w:vAlign w:val="center"/>
          </w:tcPr>
          <w:p w14:paraId="299ACCA2"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11.9</w:t>
            </w:r>
          </w:p>
        </w:tc>
        <w:tc>
          <w:tcPr>
            <w:tcW w:w="1300" w:type="dxa"/>
            <w:vAlign w:val="center"/>
          </w:tcPr>
          <w:p w14:paraId="32A92FBB"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12.8</w:t>
            </w:r>
          </w:p>
        </w:tc>
        <w:tc>
          <w:tcPr>
            <w:tcW w:w="1300" w:type="dxa"/>
            <w:vAlign w:val="center"/>
          </w:tcPr>
          <w:p w14:paraId="1F98DA59"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29.5</w:t>
            </w:r>
          </w:p>
        </w:tc>
        <w:tc>
          <w:tcPr>
            <w:tcW w:w="1300" w:type="dxa"/>
            <w:vAlign w:val="center"/>
          </w:tcPr>
          <w:p w14:paraId="45FD51C3"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15.6</w:t>
            </w:r>
          </w:p>
        </w:tc>
        <w:tc>
          <w:tcPr>
            <w:tcW w:w="1300" w:type="dxa"/>
            <w:vAlign w:val="center"/>
          </w:tcPr>
          <w:p w14:paraId="22367FFB"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Descriptive increase; no significance inferred</w:t>
            </w:r>
          </w:p>
        </w:tc>
      </w:tr>
      <w:tr w:rsidR="003A137B" w:rsidRPr="003E0CF1" w14:paraId="4AF32E8A" w14:textId="77777777">
        <w:trPr>
          <w:cantSplit/>
        </w:trPr>
        <w:tc>
          <w:tcPr>
            <w:tcW w:w="1226" w:type="dxa"/>
            <w:vAlign w:val="center"/>
          </w:tcPr>
          <w:p w14:paraId="50CDEA0E"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AT2</w:t>
            </w:r>
          </w:p>
        </w:tc>
        <w:tc>
          <w:tcPr>
            <w:tcW w:w="1300" w:type="dxa"/>
            <w:vAlign w:val="center"/>
          </w:tcPr>
          <w:p w14:paraId="0698EAD0"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18.4</w:t>
            </w:r>
          </w:p>
        </w:tc>
        <w:tc>
          <w:tcPr>
            <w:tcW w:w="1300" w:type="dxa"/>
            <w:vAlign w:val="center"/>
          </w:tcPr>
          <w:p w14:paraId="3374EB3B"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19.6</w:t>
            </w:r>
          </w:p>
        </w:tc>
        <w:tc>
          <w:tcPr>
            <w:tcW w:w="1300" w:type="dxa"/>
            <w:vAlign w:val="center"/>
          </w:tcPr>
          <w:p w14:paraId="2770FCB8"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21.8</w:t>
            </w:r>
          </w:p>
        </w:tc>
        <w:tc>
          <w:tcPr>
            <w:tcW w:w="1300" w:type="dxa"/>
            <w:vAlign w:val="center"/>
          </w:tcPr>
          <w:p w14:paraId="349BE0DB"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66.1</w:t>
            </w:r>
          </w:p>
        </w:tc>
        <w:tc>
          <w:tcPr>
            <w:tcW w:w="1300" w:type="dxa"/>
            <w:vAlign w:val="center"/>
          </w:tcPr>
          <w:p w14:paraId="5B0E0C5F"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31.5</w:t>
            </w:r>
          </w:p>
        </w:tc>
        <w:tc>
          <w:tcPr>
            <w:tcW w:w="1300" w:type="dxa"/>
            <w:vAlign w:val="center"/>
          </w:tcPr>
          <w:p w14:paraId="44FD780C"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Descriptive increase; no significance inferred</w:t>
            </w:r>
          </w:p>
        </w:tc>
      </w:tr>
      <w:tr w:rsidR="003A137B" w:rsidRPr="003E0CF1" w14:paraId="24A9C703" w14:textId="77777777">
        <w:trPr>
          <w:cantSplit/>
        </w:trPr>
        <w:tc>
          <w:tcPr>
            <w:tcW w:w="1226" w:type="dxa"/>
            <w:vAlign w:val="center"/>
          </w:tcPr>
          <w:p w14:paraId="6E4D373A"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lastRenderedPageBreak/>
              <w:t>AT3</w:t>
            </w:r>
          </w:p>
        </w:tc>
        <w:tc>
          <w:tcPr>
            <w:tcW w:w="1300" w:type="dxa"/>
            <w:vAlign w:val="center"/>
          </w:tcPr>
          <w:p w14:paraId="234C96C5"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26.7</w:t>
            </w:r>
          </w:p>
        </w:tc>
        <w:tc>
          <w:tcPr>
            <w:tcW w:w="1300" w:type="dxa"/>
            <w:vAlign w:val="center"/>
          </w:tcPr>
          <w:p w14:paraId="4C40D038"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30.1</w:t>
            </w:r>
          </w:p>
        </w:tc>
        <w:tc>
          <w:tcPr>
            <w:tcW w:w="1300" w:type="dxa"/>
            <w:vAlign w:val="center"/>
          </w:tcPr>
          <w:p w14:paraId="6D80C736"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33.3</w:t>
            </w:r>
          </w:p>
        </w:tc>
        <w:tc>
          <w:tcPr>
            <w:tcW w:w="1300" w:type="dxa"/>
            <w:vAlign w:val="center"/>
          </w:tcPr>
          <w:p w14:paraId="00675EC7"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85.7</w:t>
            </w:r>
          </w:p>
        </w:tc>
        <w:tc>
          <w:tcPr>
            <w:tcW w:w="1300" w:type="dxa"/>
            <w:vAlign w:val="center"/>
          </w:tcPr>
          <w:p w14:paraId="18ABAB06"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43.9</w:t>
            </w:r>
          </w:p>
        </w:tc>
        <w:tc>
          <w:tcPr>
            <w:tcW w:w="1300" w:type="dxa"/>
            <w:vAlign w:val="center"/>
          </w:tcPr>
          <w:p w14:paraId="0CCCB789"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Descriptive increase; no significance inferred</w:t>
            </w:r>
          </w:p>
        </w:tc>
      </w:tr>
      <w:tr w:rsidR="003A137B" w:rsidRPr="003E0CF1" w14:paraId="588E3545" w14:textId="77777777">
        <w:trPr>
          <w:cantSplit/>
        </w:trPr>
        <w:tc>
          <w:tcPr>
            <w:tcW w:w="1226" w:type="dxa"/>
            <w:vAlign w:val="center"/>
          </w:tcPr>
          <w:p w14:paraId="20448BA0"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AT4</w:t>
            </w:r>
          </w:p>
        </w:tc>
        <w:tc>
          <w:tcPr>
            <w:tcW w:w="1300" w:type="dxa"/>
            <w:vAlign w:val="center"/>
          </w:tcPr>
          <w:p w14:paraId="00AD3466"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29.8</w:t>
            </w:r>
          </w:p>
        </w:tc>
        <w:tc>
          <w:tcPr>
            <w:tcW w:w="1300" w:type="dxa"/>
            <w:vAlign w:val="center"/>
          </w:tcPr>
          <w:p w14:paraId="0FBFD42C"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34.2</w:t>
            </w:r>
          </w:p>
        </w:tc>
        <w:tc>
          <w:tcPr>
            <w:tcW w:w="1300" w:type="dxa"/>
            <w:vAlign w:val="center"/>
          </w:tcPr>
          <w:p w14:paraId="4D3B486B"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37.7</w:t>
            </w:r>
          </w:p>
        </w:tc>
        <w:tc>
          <w:tcPr>
            <w:tcW w:w="1300" w:type="dxa"/>
            <w:vAlign w:val="center"/>
          </w:tcPr>
          <w:p w14:paraId="76560B32"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97.3</w:t>
            </w:r>
          </w:p>
        </w:tc>
        <w:tc>
          <w:tcPr>
            <w:tcW w:w="1300" w:type="dxa"/>
            <w:vAlign w:val="center"/>
          </w:tcPr>
          <w:p w14:paraId="5DF868E9"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49.7</w:t>
            </w:r>
          </w:p>
        </w:tc>
        <w:tc>
          <w:tcPr>
            <w:tcW w:w="1300" w:type="dxa"/>
            <w:vAlign w:val="center"/>
          </w:tcPr>
          <w:p w14:paraId="1DDD9447"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Descriptive increase; no significance inferred</w:t>
            </w:r>
          </w:p>
        </w:tc>
      </w:tr>
      <w:tr w:rsidR="003A137B" w:rsidRPr="003E0CF1" w14:paraId="68F57608" w14:textId="77777777">
        <w:trPr>
          <w:cantSplit/>
        </w:trPr>
        <w:tc>
          <w:tcPr>
            <w:tcW w:w="1226" w:type="dxa"/>
            <w:vAlign w:val="center"/>
          </w:tcPr>
          <w:p w14:paraId="629E6ADC"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AT5</w:t>
            </w:r>
          </w:p>
        </w:tc>
        <w:tc>
          <w:tcPr>
            <w:tcW w:w="1300" w:type="dxa"/>
            <w:vAlign w:val="center"/>
          </w:tcPr>
          <w:p w14:paraId="72766F1B"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36.3</w:t>
            </w:r>
          </w:p>
        </w:tc>
        <w:tc>
          <w:tcPr>
            <w:tcW w:w="1300" w:type="dxa"/>
            <w:vAlign w:val="center"/>
          </w:tcPr>
          <w:p w14:paraId="4491624F"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43.1</w:t>
            </w:r>
          </w:p>
        </w:tc>
        <w:tc>
          <w:tcPr>
            <w:tcW w:w="1300" w:type="dxa"/>
            <w:vAlign w:val="center"/>
          </w:tcPr>
          <w:p w14:paraId="18754226"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46.7</w:t>
            </w:r>
          </w:p>
        </w:tc>
        <w:tc>
          <w:tcPr>
            <w:tcW w:w="1300" w:type="dxa"/>
            <w:vAlign w:val="center"/>
          </w:tcPr>
          <w:p w14:paraId="6577704A"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104.5</w:t>
            </w:r>
          </w:p>
        </w:tc>
        <w:tc>
          <w:tcPr>
            <w:tcW w:w="1300" w:type="dxa"/>
            <w:vAlign w:val="center"/>
          </w:tcPr>
          <w:p w14:paraId="321BA179"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57.6</w:t>
            </w:r>
          </w:p>
        </w:tc>
        <w:tc>
          <w:tcPr>
            <w:tcW w:w="1300" w:type="dxa"/>
            <w:vAlign w:val="center"/>
          </w:tcPr>
          <w:p w14:paraId="690E6995"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Descriptive increase; no significance inferred</w:t>
            </w:r>
          </w:p>
        </w:tc>
      </w:tr>
      <w:tr w:rsidR="00EA3B2E" w:rsidRPr="003E0CF1" w14:paraId="58614BC7" w14:textId="77777777">
        <w:tc>
          <w:tcPr>
            <w:tcW w:w="1226" w:type="dxa"/>
          </w:tcPr>
          <w:p w14:paraId="2BBE093E"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AT6</w:t>
            </w:r>
          </w:p>
        </w:tc>
        <w:tc>
          <w:tcPr>
            <w:tcW w:w="1300" w:type="dxa"/>
          </w:tcPr>
          <w:p w14:paraId="34755E6D"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43.5</w:t>
            </w:r>
          </w:p>
        </w:tc>
        <w:tc>
          <w:tcPr>
            <w:tcW w:w="1300" w:type="dxa"/>
          </w:tcPr>
          <w:p w14:paraId="15B43957"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51.6</w:t>
            </w:r>
          </w:p>
        </w:tc>
        <w:tc>
          <w:tcPr>
            <w:tcW w:w="1300" w:type="dxa"/>
          </w:tcPr>
          <w:p w14:paraId="3E088BDB"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54.2</w:t>
            </w:r>
          </w:p>
        </w:tc>
        <w:tc>
          <w:tcPr>
            <w:tcW w:w="1300" w:type="dxa"/>
          </w:tcPr>
          <w:p w14:paraId="68EA34CF"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109.8</w:t>
            </w:r>
          </w:p>
        </w:tc>
        <w:tc>
          <w:tcPr>
            <w:tcW w:w="1300" w:type="dxa"/>
          </w:tcPr>
          <w:p w14:paraId="7BF8EABF"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64.8</w:t>
            </w:r>
          </w:p>
        </w:tc>
        <w:tc>
          <w:tcPr>
            <w:tcW w:w="1300" w:type="dxa"/>
          </w:tcPr>
          <w:p w14:paraId="1752A3C4" w14:textId="77777777" w:rsidR="00EA3B2E"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Descriptive increase; no significance inferred</w:t>
            </w:r>
          </w:p>
        </w:tc>
      </w:tr>
    </w:tbl>
    <w:p w14:paraId="27A4E643"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 xml:space="preserve"> </w:t>
      </w:r>
    </w:p>
    <w:p w14:paraId="7C22716D" w14:textId="77777777" w:rsidR="003A137B" w:rsidRPr="003E0CF1" w:rsidRDefault="00000000" w:rsidP="00F9519E">
      <w:pPr>
        <w:keepNext/>
        <w:jc w:val="both"/>
        <w:rPr>
          <w:rFonts w:ascii="Times New Roman" w:hAnsi="Times New Roman" w:cs="Times New Roman"/>
          <w:sz w:val="24"/>
          <w:szCs w:val="24"/>
        </w:rPr>
      </w:pPr>
      <w:r>
        <w:rPr>
          <w:rFonts w:ascii="Times New Roman" w:hAnsi="Times New Roman" w:cs="Times New Roman"/>
          <w:b/>
          <w:bCs/>
          <w:i/>
          <w:iCs/>
          <w:sz w:val="24"/>
          <w:szCs w:val="24"/>
        </w:rPr>
        <w:t xml:space="preserve">4.14.3 ANOVA of the </w:t>
      </w:r>
      <w:proofErr w:type="spellStart"/>
      <w:r>
        <w:rPr>
          <w:rFonts w:ascii="Times New Roman" w:hAnsi="Times New Roman" w:cs="Times New Roman"/>
          <w:b/>
          <w:bCs/>
          <w:i/>
          <w:iCs/>
          <w:sz w:val="24"/>
          <w:szCs w:val="24"/>
        </w:rPr>
        <w:t>Ryshkewitch</w:t>
      </w:r>
      <w:proofErr w:type="spellEnd"/>
      <w:r>
        <w:rPr>
          <w:rFonts w:ascii="Times New Roman" w:hAnsi="Times New Roman" w:cs="Times New Roman"/>
          <w:b/>
          <w:bCs/>
          <w:i/>
          <w:iCs/>
          <w:sz w:val="24"/>
          <w:szCs w:val="24"/>
        </w:rPr>
        <w:t>-type fits</w:t>
      </w:r>
    </w:p>
    <w:p w14:paraId="506661AD"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The relations between ln(property) and apparent porosity were recalculated from the values in Tables 3 and 4. Table 21 reports the fitted intercept, slope and descriptive R² for both the seven-mixture set and the six AT-MMC mixtures. The fits summarize mixture-level values only; no specimen-level residual error or independent validation is available, so inferential F-statistics and p-values are not reported. The R² values describe fits to seven mixture means (C0 + AT1–AT6) or six AT-MMC means (AT1–AT6); they are not independent validation or evidence of causation.</w:t>
      </w:r>
    </w:p>
    <w:p w14:paraId="02BE0617" w14:textId="77777777" w:rsidR="003A137B" w:rsidRPr="003E0CF1" w:rsidRDefault="00000000" w:rsidP="00F9519E">
      <w:pPr>
        <w:keepNext/>
        <w:jc w:val="both"/>
        <w:rPr>
          <w:rFonts w:ascii="Times New Roman" w:hAnsi="Times New Roman" w:cs="Times New Roman"/>
          <w:sz w:val="24"/>
          <w:szCs w:val="24"/>
        </w:rPr>
      </w:pPr>
      <w:r>
        <w:rPr>
          <w:rFonts w:ascii="Times New Roman" w:hAnsi="Times New Roman" w:cs="Times New Roman"/>
          <w:sz w:val="24"/>
          <w:szCs w:val="24"/>
        </w:rPr>
        <w:t xml:space="preserve">Table 21. Log-linear fits, ln(y) = a + </w:t>
      </w:r>
      <w:proofErr w:type="spellStart"/>
      <w:r>
        <w:rPr>
          <w:rFonts w:ascii="Times New Roman" w:hAnsi="Times New Roman" w:cs="Times New Roman"/>
          <w:sz w:val="24"/>
          <w:szCs w:val="24"/>
        </w:rPr>
        <w:t>bP</w:t>
      </w:r>
      <w:proofErr w:type="spellEnd"/>
      <w:r>
        <w:rPr>
          <w:rFonts w:ascii="Times New Roman" w:hAnsi="Times New Roman" w:cs="Times New Roman"/>
          <w:sz w:val="24"/>
          <w:szCs w:val="24"/>
        </w:rPr>
        <w:t>, of mechanical properties to apparent porosity P (%).</w:t>
      </w:r>
    </w:p>
    <w:tbl>
      <w:tblPr>
        <w:tblStyle w:val="TableGrid"/>
        <w:tblW w:w="9026" w:type="dxa"/>
        <w:tblLayout w:type="fixed"/>
        <w:tblLook w:val="04A0" w:firstRow="1" w:lastRow="0" w:firstColumn="1" w:lastColumn="0" w:noHBand="0" w:noVBand="1"/>
      </w:tblPr>
      <w:tblGrid>
        <w:gridCol w:w="2626"/>
        <w:gridCol w:w="1700"/>
        <w:gridCol w:w="900"/>
        <w:gridCol w:w="1300"/>
        <w:gridCol w:w="1200"/>
        <w:gridCol w:w="1300"/>
      </w:tblGrid>
      <w:tr w:rsidR="00076EAD" w:rsidRPr="003E0CF1" w14:paraId="13848E9D" w14:textId="77777777">
        <w:tc>
          <w:tcPr>
            <w:tcW w:w="2626" w:type="dxa"/>
          </w:tcPr>
          <w:p w14:paraId="4EFC4478"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Response</w:t>
            </w:r>
          </w:p>
        </w:tc>
        <w:tc>
          <w:tcPr>
            <w:tcW w:w="1700" w:type="dxa"/>
          </w:tcPr>
          <w:p w14:paraId="3EDB9E91"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Data set</w:t>
            </w:r>
          </w:p>
        </w:tc>
        <w:tc>
          <w:tcPr>
            <w:tcW w:w="900" w:type="dxa"/>
          </w:tcPr>
          <w:p w14:paraId="0A5EEB88"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n</w:t>
            </w:r>
          </w:p>
        </w:tc>
        <w:tc>
          <w:tcPr>
            <w:tcW w:w="1300" w:type="dxa"/>
          </w:tcPr>
          <w:p w14:paraId="767E857D"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Intercept a</w:t>
            </w:r>
          </w:p>
        </w:tc>
        <w:tc>
          <w:tcPr>
            <w:tcW w:w="1200" w:type="dxa"/>
          </w:tcPr>
          <w:p w14:paraId="6ED3F861"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Slope b per porosity %-point</w:t>
            </w:r>
          </w:p>
        </w:tc>
        <w:tc>
          <w:tcPr>
            <w:tcW w:w="1300" w:type="dxa"/>
          </w:tcPr>
          <w:p w14:paraId="54EC97B3"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R² (descriptive)</w:t>
            </w:r>
          </w:p>
        </w:tc>
      </w:tr>
      <w:tr w:rsidR="00076EAD" w:rsidRPr="003E0CF1" w14:paraId="40DDFFEB" w14:textId="77777777">
        <w:tc>
          <w:tcPr>
            <w:tcW w:w="2626" w:type="dxa"/>
          </w:tcPr>
          <w:p w14:paraId="5F5FD5AE"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Compressive strength (MPa)</w:t>
            </w:r>
          </w:p>
        </w:tc>
        <w:tc>
          <w:tcPr>
            <w:tcW w:w="1700" w:type="dxa"/>
          </w:tcPr>
          <w:p w14:paraId="7A955A56"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C0 + AT1–AT6</w:t>
            </w:r>
          </w:p>
        </w:tc>
        <w:tc>
          <w:tcPr>
            <w:tcW w:w="900" w:type="dxa"/>
          </w:tcPr>
          <w:p w14:paraId="4EB7852F"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7</w:t>
            </w:r>
          </w:p>
        </w:tc>
        <w:tc>
          <w:tcPr>
            <w:tcW w:w="1300" w:type="dxa"/>
          </w:tcPr>
          <w:p w14:paraId="717D444C"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4.4259</w:t>
            </w:r>
          </w:p>
        </w:tc>
        <w:tc>
          <w:tcPr>
            <w:tcW w:w="1200" w:type="dxa"/>
          </w:tcPr>
          <w:p w14:paraId="6DB20AD9"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-0.05656</w:t>
            </w:r>
          </w:p>
        </w:tc>
        <w:tc>
          <w:tcPr>
            <w:tcW w:w="1300" w:type="dxa"/>
          </w:tcPr>
          <w:p w14:paraId="62570EC1"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0.9394</w:t>
            </w:r>
          </w:p>
        </w:tc>
      </w:tr>
      <w:tr w:rsidR="00076EAD" w:rsidRPr="003E0CF1" w14:paraId="6E67BF82" w14:textId="77777777">
        <w:tc>
          <w:tcPr>
            <w:tcW w:w="2626" w:type="dxa"/>
          </w:tcPr>
          <w:p w14:paraId="1FAFB33D"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Compressive strength (MPa)</w:t>
            </w:r>
          </w:p>
        </w:tc>
        <w:tc>
          <w:tcPr>
            <w:tcW w:w="1700" w:type="dxa"/>
          </w:tcPr>
          <w:p w14:paraId="327BEEF9"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AT1–AT6</w:t>
            </w:r>
          </w:p>
        </w:tc>
        <w:tc>
          <w:tcPr>
            <w:tcW w:w="900" w:type="dxa"/>
          </w:tcPr>
          <w:p w14:paraId="578B88B1"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6</w:t>
            </w:r>
          </w:p>
        </w:tc>
        <w:tc>
          <w:tcPr>
            <w:tcW w:w="1300" w:type="dxa"/>
          </w:tcPr>
          <w:p w14:paraId="1F07DE05"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4.6305</w:t>
            </w:r>
          </w:p>
        </w:tc>
        <w:tc>
          <w:tcPr>
            <w:tcW w:w="1200" w:type="dxa"/>
          </w:tcPr>
          <w:p w14:paraId="0BDD38FE"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-0.07902</w:t>
            </w:r>
          </w:p>
        </w:tc>
        <w:tc>
          <w:tcPr>
            <w:tcW w:w="1300" w:type="dxa"/>
          </w:tcPr>
          <w:p w14:paraId="40E00D37"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0.9935</w:t>
            </w:r>
          </w:p>
        </w:tc>
      </w:tr>
      <w:tr w:rsidR="00076EAD" w:rsidRPr="003E0CF1" w14:paraId="0A26564E" w14:textId="77777777">
        <w:tc>
          <w:tcPr>
            <w:tcW w:w="2626" w:type="dxa"/>
          </w:tcPr>
          <w:p w14:paraId="1D2AD7D6"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Splitting tensile strength (MPa)</w:t>
            </w:r>
          </w:p>
        </w:tc>
        <w:tc>
          <w:tcPr>
            <w:tcW w:w="1700" w:type="dxa"/>
          </w:tcPr>
          <w:p w14:paraId="0FA6FF17"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C0 + AT1–AT6</w:t>
            </w:r>
          </w:p>
        </w:tc>
        <w:tc>
          <w:tcPr>
            <w:tcW w:w="900" w:type="dxa"/>
          </w:tcPr>
          <w:p w14:paraId="1494E0BC"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7</w:t>
            </w:r>
          </w:p>
        </w:tc>
        <w:tc>
          <w:tcPr>
            <w:tcW w:w="1300" w:type="dxa"/>
          </w:tcPr>
          <w:p w14:paraId="2E7E5BCC"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2.1001</w:t>
            </w:r>
          </w:p>
        </w:tc>
        <w:tc>
          <w:tcPr>
            <w:tcW w:w="1200" w:type="dxa"/>
          </w:tcPr>
          <w:p w14:paraId="4094703C"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-0.06794</w:t>
            </w:r>
          </w:p>
        </w:tc>
        <w:tc>
          <w:tcPr>
            <w:tcW w:w="1300" w:type="dxa"/>
          </w:tcPr>
          <w:p w14:paraId="19A28072"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0.9548</w:t>
            </w:r>
          </w:p>
        </w:tc>
      </w:tr>
      <w:tr w:rsidR="00076EAD" w:rsidRPr="003E0CF1" w14:paraId="222F88AB" w14:textId="77777777">
        <w:tc>
          <w:tcPr>
            <w:tcW w:w="2626" w:type="dxa"/>
          </w:tcPr>
          <w:p w14:paraId="7BC9AD59"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Splitting tensile strength (MPa)</w:t>
            </w:r>
          </w:p>
        </w:tc>
        <w:tc>
          <w:tcPr>
            <w:tcW w:w="1700" w:type="dxa"/>
          </w:tcPr>
          <w:p w14:paraId="030C2652"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AT1–AT6</w:t>
            </w:r>
          </w:p>
        </w:tc>
        <w:tc>
          <w:tcPr>
            <w:tcW w:w="900" w:type="dxa"/>
          </w:tcPr>
          <w:p w14:paraId="0426DC5A"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6</w:t>
            </w:r>
          </w:p>
        </w:tc>
        <w:tc>
          <w:tcPr>
            <w:tcW w:w="1300" w:type="dxa"/>
          </w:tcPr>
          <w:p w14:paraId="61E023E4"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2.3139</w:t>
            </w:r>
          </w:p>
        </w:tc>
        <w:tc>
          <w:tcPr>
            <w:tcW w:w="1200" w:type="dxa"/>
          </w:tcPr>
          <w:p w14:paraId="6ECDBF54"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-0.09142</w:t>
            </w:r>
          </w:p>
        </w:tc>
        <w:tc>
          <w:tcPr>
            <w:tcW w:w="1300" w:type="dxa"/>
          </w:tcPr>
          <w:p w14:paraId="6631DE71"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0.9977</w:t>
            </w:r>
          </w:p>
        </w:tc>
      </w:tr>
      <w:tr w:rsidR="00076EAD" w:rsidRPr="003E0CF1" w14:paraId="1E1CFFA9" w14:textId="77777777">
        <w:tc>
          <w:tcPr>
            <w:tcW w:w="2626" w:type="dxa"/>
          </w:tcPr>
          <w:p w14:paraId="149AC604"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Fracture toughness (MPa·m</w:t>
            </w:r>
            <w:r>
              <w:rPr>
                <w:rFonts w:ascii="Times New Roman" w:hAnsi="Times New Roman" w:cs="Times New Roman"/>
                <w:sz w:val="24"/>
                <w:szCs w:val="24"/>
                <w:vertAlign w:val="superscript"/>
              </w:rPr>
              <w:t>0.5</w:t>
            </w:r>
            <w:r>
              <w:rPr>
                <w:rFonts w:ascii="Times New Roman" w:hAnsi="Times New Roman" w:cs="Times New Roman"/>
                <w:sz w:val="24"/>
                <w:szCs w:val="24"/>
              </w:rPr>
              <w:t>)</w:t>
            </w:r>
          </w:p>
        </w:tc>
        <w:tc>
          <w:tcPr>
            <w:tcW w:w="1700" w:type="dxa"/>
          </w:tcPr>
          <w:p w14:paraId="10AB3C48"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C0 + AT1–AT6</w:t>
            </w:r>
          </w:p>
        </w:tc>
        <w:tc>
          <w:tcPr>
            <w:tcW w:w="900" w:type="dxa"/>
          </w:tcPr>
          <w:p w14:paraId="14344BCF"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7</w:t>
            </w:r>
          </w:p>
        </w:tc>
        <w:tc>
          <w:tcPr>
            <w:tcW w:w="1300" w:type="dxa"/>
          </w:tcPr>
          <w:p w14:paraId="354CF9C6"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1.8644</w:t>
            </w:r>
          </w:p>
        </w:tc>
        <w:tc>
          <w:tcPr>
            <w:tcW w:w="1200" w:type="dxa"/>
          </w:tcPr>
          <w:p w14:paraId="6516F5E5"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-0.12379</w:t>
            </w:r>
          </w:p>
        </w:tc>
        <w:tc>
          <w:tcPr>
            <w:tcW w:w="1300" w:type="dxa"/>
          </w:tcPr>
          <w:p w14:paraId="3CE451A5"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0.9645</w:t>
            </w:r>
          </w:p>
        </w:tc>
      </w:tr>
      <w:tr w:rsidR="00076EAD" w:rsidRPr="003E0CF1" w14:paraId="4EF0242B" w14:textId="77777777">
        <w:tc>
          <w:tcPr>
            <w:tcW w:w="2626" w:type="dxa"/>
          </w:tcPr>
          <w:p w14:paraId="5988AC44"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lastRenderedPageBreak/>
              <w:t>Fracture toughness (MPa·m</w:t>
            </w:r>
            <w:r>
              <w:rPr>
                <w:rFonts w:ascii="Times New Roman" w:hAnsi="Times New Roman" w:cs="Times New Roman"/>
                <w:sz w:val="24"/>
                <w:szCs w:val="24"/>
                <w:vertAlign w:val="superscript"/>
              </w:rPr>
              <w:t>0.5</w:t>
            </w:r>
            <w:r>
              <w:rPr>
                <w:rFonts w:ascii="Times New Roman" w:hAnsi="Times New Roman" w:cs="Times New Roman"/>
                <w:sz w:val="24"/>
                <w:szCs w:val="24"/>
              </w:rPr>
              <w:t>)</w:t>
            </w:r>
          </w:p>
        </w:tc>
        <w:tc>
          <w:tcPr>
            <w:tcW w:w="1700" w:type="dxa"/>
          </w:tcPr>
          <w:p w14:paraId="6B459D8B"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AT1–AT6</w:t>
            </w:r>
          </w:p>
        </w:tc>
        <w:tc>
          <w:tcPr>
            <w:tcW w:w="900" w:type="dxa"/>
          </w:tcPr>
          <w:p w14:paraId="68B9CC76"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6</w:t>
            </w:r>
          </w:p>
        </w:tc>
        <w:tc>
          <w:tcPr>
            <w:tcW w:w="1300" w:type="dxa"/>
          </w:tcPr>
          <w:p w14:paraId="3AE5CB85"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1.9779</w:t>
            </w:r>
          </w:p>
        </w:tc>
        <w:tc>
          <w:tcPr>
            <w:tcW w:w="1200" w:type="dxa"/>
          </w:tcPr>
          <w:p w14:paraId="1CBD8270"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-0.13625</w:t>
            </w:r>
          </w:p>
        </w:tc>
        <w:tc>
          <w:tcPr>
            <w:tcW w:w="1300" w:type="dxa"/>
          </w:tcPr>
          <w:p w14:paraId="2D41C35A"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0.9113</w:t>
            </w:r>
          </w:p>
        </w:tc>
      </w:tr>
      <w:tr w:rsidR="00076EAD" w:rsidRPr="003E0CF1" w14:paraId="03D61177" w14:textId="77777777">
        <w:tc>
          <w:tcPr>
            <w:tcW w:w="2626" w:type="dxa"/>
          </w:tcPr>
          <w:p w14:paraId="6DA8629B"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Flexural strength (MPa)</w:t>
            </w:r>
          </w:p>
        </w:tc>
        <w:tc>
          <w:tcPr>
            <w:tcW w:w="1700" w:type="dxa"/>
          </w:tcPr>
          <w:p w14:paraId="6FDBBE1B"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C0 + AT1–AT6</w:t>
            </w:r>
          </w:p>
        </w:tc>
        <w:tc>
          <w:tcPr>
            <w:tcW w:w="900" w:type="dxa"/>
          </w:tcPr>
          <w:p w14:paraId="5C18FDEE"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7</w:t>
            </w:r>
          </w:p>
        </w:tc>
        <w:tc>
          <w:tcPr>
            <w:tcW w:w="1300" w:type="dxa"/>
          </w:tcPr>
          <w:p w14:paraId="45D2717F"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2.6899</w:t>
            </w:r>
          </w:p>
        </w:tc>
        <w:tc>
          <w:tcPr>
            <w:tcW w:w="1200" w:type="dxa"/>
          </w:tcPr>
          <w:p w14:paraId="3558ED67"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-0.06411</w:t>
            </w:r>
          </w:p>
        </w:tc>
        <w:tc>
          <w:tcPr>
            <w:tcW w:w="1300" w:type="dxa"/>
          </w:tcPr>
          <w:p w14:paraId="2F986136"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0.9457</w:t>
            </w:r>
          </w:p>
        </w:tc>
      </w:tr>
      <w:tr w:rsidR="00076EAD" w:rsidRPr="003E0CF1" w14:paraId="41A88EA2" w14:textId="77777777">
        <w:tc>
          <w:tcPr>
            <w:tcW w:w="2626" w:type="dxa"/>
          </w:tcPr>
          <w:p w14:paraId="4668A23A"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Flexural strength (MPa)</w:t>
            </w:r>
          </w:p>
        </w:tc>
        <w:tc>
          <w:tcPr>
            <w:tcW w:w="1700" w:type="dxa"/>
          </w:tcPr>
          <w:p w14:paraId="3724540D"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AT1–AT6</w:t>
            </w:r>
          </w:p>
        </w:tc>
        <w:tc>
          <w:tcPr>
            <w:tcW w:w="900" w:type="dxa"/>
          </w:tcPr>
          <w:p w14:paraId="07B94D6B"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6</w:t>
            </w:r>
          </w:p>
        </w:tc>
        <w:tc>
          <w:tcPr>
            <w:tcW w:w="1300" w:type="dxa"/>
          </w:tcPr>
          <w:p w14:paraId="6ADBBB6A"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2.9077</w:t>
            </w:r>
          </w:p>
        </w:tc>
        <w:tc>
          <w:tcPr>
            <w:tcW w:w="1200" w:type="dxa"/>
          </w:tcPr>
          <w:p w14:paraId="0AB1BE88"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-0.08803</w:t>
            </w:r>
          </w:p>
        </w:tc>
        <w:tc>
          <w:tcPr>
            <w:tcW w:w="1300" w:type="dxa"/>
          </w:tcPr>
          <w:p w14:paraId="5FE725F8" w14:textId="77777777" w:rsidR="00076EAD"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0.9933</w:t>
            </w:r>
          </w:p>
        </w:tc>
      </w:tr>
    </w:tbl>
    <w:p w14:paraId="7A74BA22"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 xml:space="preserve"> </w:t>
      </w:r>
    </w:p>
    <w:p w14:paraId="6B15B005" w14:textId="77777777" w:rsidR="003A137B" w:rsidRPr="003E0CF1" w:rsidRDefault="00000000" w:rsidP="00F9519E">
      <w:pPr>
        <w:keepNext/>
        <w:jc w:val="both"/>
        <w:rPr>
          <w:rFonts w:ascii="Times New Roman" w:hAnsi="Times New Roman" w:cs="Times New Roman"/>
          <w:sz w:val="24"/>
          <w:szCs w:val="24"/>
        </w:rPr>
      </w:pPr>
      <w:r>
        <w:rPr>
          <w:rFonts w:ascii="Times New Roman" w:hAnsi="Times New Roman" w:cs="Times New Roman"/>
          <w:b/>
          <w:bCs/>
          <w:i/>
          <w:iCs/>
          <w:sz w:val="24"/>
          <w:szCs w:val="24"/>
        </w:rPr>
        <w:t xml:space="preserve">4.14.4 Binder package × </w:t>
      </w:r>
      <w:proofErr w:type="spellStart"/>
      <w:r>
        <w:rPr>
          <w:rFonts w:ascii="Times New Roman" w:hAnsi="Times New Roman" w:cs="Times New Roman"/>
          <w:b/>
          <w:bCs/>
          <w:i/>
          <w:iCs/>
          <w:sz w:val="24"/>
          <w:szCs w:val="24"/>
        </w:rPr>
        <w:t>fibre</w:t>
      </w:r>
      <w:proofErr w:type="spellEnd"/>
      <w:r>
        <w:rPr>
          <w:rFonts w:ascii="Times New Roman" w:hAnsi="Times New Roman" w:cs="Times New Roman"/>
          <w:b/>
          <w:bCs/>
          <w:i/>
          <w:iCs/>
          <w:sz w:val="24"/>
          <w:szCs w:val="24"/>
        </w:rPr>
        <w:t xml:space="preserve"> contrasts (AT3–AT6)</w:t>
      </w:r>
    </w:p>
    <w:p w14:paraId="3A0EB1D1"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 xml:space="preserve">AT3–AT6 form an unreplicated 2 × 2 arrangement only in a descriptive arithmetic sense: AT3–AT4 use the 20/10/20 binder/filler package and AT5–AT6 use the 25/15/25 package, while </w:t>
      </w:r>
      <w:proofErr w:type="spellStart"/>
      <w:r>
        <w:rPr>
          <w:rFonts w:ascii="Times New Roman" w:hAnsi="Times New Roman" w:cs="Times New Roman"/>
          <w:sz w:val="24"/>
          <w:szCs w:val="24"/>
          <w:highlight w:val="yellow"/>
        </w:rPr>
        <w:t>fibre</w:t>
      </w:r>
      <w:proofErr w:type="spellEnd"/>
      <w:r>
        <w:rPr>
          <w:rFonts w:ascii="Times New Roman" w:hAnsi="Times New Roman" w:cs="Times New Roman"/>
          <w:sz w:val="24"/>
          <w:szCs w:val="24"/>
          <w:highlight w:val="yellow"/>
        </w:rPr>
        <w:t xml:space="preserve"> dosage takes two listed levels. Because the binder/filler package and water-to-binder ratio change together and there is only one reported value per cell, these contrasts cannot separate independent effects reliably and have no error degrees of freedom. The contrast values should not be interpreted as significance-tested factor effects. Table 22 lists the contrast estimates (half-differences of cell sums) for each property.</w:t>
      </w:r>
    </w:p>
    <w:p w14:paraId="60C87E75" w14:textId="77777777" w:rsidR="003A137B" w:rsidRPr="003E0CF1" w:rsidRDefault="00000000" w:rsidP="00F9519E">
      <w:pPr>
        <w:keepNext/>
        <w:jc w:val="both"/>
        <w:rPr>
          <w:rFonts w:ascii="Times New Roman" w:hAnsi="Times New Roman" w:cs="Times New Roman"/>
          <w:sz w:val="24"/>
          <w:szCs w:val="24"/>
        </w:rPr>
      </w:pPr>
      <w:r>
        <w:rPr>
          <w:rFonts w:ascii="Times New Roman" w:hAnsi="Times New Roman" w:cs="Times New Roman"/>
          <w:b/>
          <w:bCs/>
          <w:sz w:val="24"/>
          <w:szCs w:val="24"/>
        </w:rPr>
        <w:t xml:space="preserve">Table 22. </w:t>
      </w:r>
      <w:r>
        <w:rPr>
          <w:rFonts w:ascii="Times New Roman" w:hAnsi="Times New Roman" w:cs="Times New Roman"/>
          <w:i/>
          <w:iCs/>
          <w:sz w:val="24"/>
          <w:szCs w:val="24"/>
        </w:rPr>
        <w:t>Contrast estimates for the AT3–AT6 2 × 2 layout (half-differences of cell sums).</w:t>
      </w:r>
    </w:p>
    <w:tbl>
      <w:tblPr>
        <w:tblStyle w:val="TableGrid"/>
        <w:tblW w:w="9026" w:type="dxa"/>
        <w:tblLayout w:type="fixed"/>
        <w:tblLook w:val="04A0" w:firstRow="1" w:lastRow="0" w:firstColumn="1" w:lastColumn="0" w:noHBand="0" w:noVBand="1"/>
      </w:tblPr>
      <w:tblGrid>
        <w:gridCol w:w="3026"/>
        <w:gridCol w:w="2400"/>
        <w:gridCol w:w="1900"/>
        <w:gridCol w:w="1700"/>
      </w:tblGrid>
      <w:tr w:rsidR="003A137B" w:rsidRPr="003E0CF1" w14:paraId="07378F5A" w14:textId="77777777">
        <w:trPr>
          <w:cantSplit/>
          <w:tblHeader/>
        </w:trPr>
        <w:tc>
          <w:tcPr>
            <w:tcW w:w="3026" w:type="dxa"/>
            <w:vAlign w:val="center"/>
          </w:tcPr>
          <w:p w14:paraId="06A83F0D"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rPr>
              <w:t>Property</w:t>
            </w:r>
          </w:p>
        </w:tc>
        <w:tc>
          <w:tcPr>
            <w:tcW w:w="2400" w:type="dxa"/>
            <w:vAlign w:val="center"/>
          </w:tcPr>
          <w:p w14:paraId="7F878274"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rPr>
              <w:t>Binder package (AT5,AT6 − AT3,AT4)</w:t>
            </w:r>
          </w:p>
        </w:tc>
        <w:tc>
          <w:tcPr>
            <w:tcW w:w="1900" w:type="dxa"/>
            <w:vAlign w:val="center"/>
          </w:tcPr>
          <w:p w14:paraId="0CA486D8" w14:textId="77777777" w:rsidR="003A137B" w:rsidRPr="003E0CF1" w:rsidRDefault="00000000" w:rsidP="00F9519E">
            <w:pPr>
              <w:jc w:val="both"/>
              <w:rPr>
                <w:rFonts w:ascii="Times New Roman" w:hAnsi="Times New Roman" w:cs="Times New Roman"/>
                <w:sz w:val="24"/>
                <w:szCs w:val="24"/>
              </w:rPr>
            </w:pPr>
            <w:proofErr w:type="spellStart"/>
            <w:r>
              <w:rPr>
                <w:rFonts w:ascii="Times New Roman" w:hAnsi="Times New Roman" w:cs="Times New Roman"/>
                <w:b/>
                <w:bCs/>
                <w:sz w:val="24"/>
                <w:szCs w:val="24"/>
              </w:rPr>
              <w:t>Fibre</w:t>
            </w:r>
            <w:proofErr w:type="spellEnd"/>
            <w:r>
              <w:rPr>
                <w:rFonts w:ascii="Times New Roman" w:hAnsi="Times New Roman" w:cs="Times New Roman"/>
                <w:b/>
                <w:bCs/>
                <w:sz w:val="24"/>
                <w:szCs w:val="24"/>
              </w:rPr>
              <w:t xml:space="preserve"> 1.5 vs 1.0%</w:t>
            </w:r>
          </w:p>
        </w:tc>
        <w:tc>
          <w:tcPr>
            <w:tcW w:w="1700" w:type="dxa"/>
            <w:vAlign w:val="center"/>
          </w:tcPr>
          <w:p w14:paraId="1ED5B2C2"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rPr>
              <w:t>Interaction</w:t>
            </w:r>
          </w:p>
        </w:tc>
      </w:tr>
      <w:tr w:rsidR="003A137B" w:rsidRPr="003E0CF1" w14:paraId="4D1D4BB2" w14:textId="77777777">
        <w:trPr>
          <w:cantSplit/>
        </w:trPr>
        <w:tc>
          <w:tcPr>
            <w:tcW w:w="3026" w:type="dxa"/>
            <w:vAlign w:val="center"/>
          </w:tcPr>
          <w:p w14:paraId="79831F1F"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rPr>
              <w:t>Density (kg/m³)</w:t>
            </w:r>
          </w:p>
        </w:tc>
        <w:tc>
          <w:tcPr>
            <w:tcW w:w="2400" w:type="dxa"/>
            <w:vAlign w:val="center"/>
          </w:tcPr>
          <w:p w14:paraId="364DE7A4"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+28.5</w:t>
            </w:r>
          </w:p>
        </w:tc>
        <w:tc>
          <w:tcPr>
            <w:tcW w:w="1900" w:type="dxa"/>
            <w:vAlign w:val="center"/>
          </w:tcPr>
          <w:p w14:paraId="65BC5053"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+13.5</w:t>
            </w:r>
          </w:p>
        </w:tc>
        <w:tc>
          <w:tcPr>
            <w:tcW w:w="1700" w:type="dxa"/>
            <w:vAlign w:val="center"/>
          </w:tcPr>
          <w:p w14:paraId="04626084"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-1.5</w:t>
            </w:r>
          </w:p>
        </w:tc>
      </w:tr>
      <w:tr w:rsidR="003A137B" w:rsidRPr="003E0CF1" w14:paraId="6DD8C93F" w14:textId="77777777">
        <w:trPr>
          <w:cantSplit/>
        </w:trPr>
        <w:tc>
          <w:tcPr>
            <w:tcW w:w="3026" w:type="dxa"/>
            <w:vAlign w:val="center"/>
          </w:tcPr>
          <w:p w14:paraId="77EDB7CA"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rPr>
              <w:t>Water absorption (%)</w:t>
            </w:r>
          </w:p>
        </w:tc>
        <w:tc>
          <w:tcPr>
            <w:tcW w:w="2400" w:type="dxa"/>
            <w:vAlign w:val="center"/>
          </w:tcPr>
          <w:p w14:paraId="75B0AF33"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-0.435</w:t>
            </w:r>
          </w:p>
        </w:tc>
        <w:tc>
          <w:tcPr>
            <w:tcW w:w="1900" w:type="dxa"/>
            <w:vAlign w:val="center"/>
          </w:tcPr>
          <w:p w14:paraId="163E2A3F"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-0.265</w:t>
            </w:r>
          </w:p>
        </w:tc>
        <w:tc>
          <w:tcPr>
            <w:tcW w:w="1700" w:type="dxa"/>
            <w:vAlign w:val="center"/>
          </w:tcPr>
          <w:p w14:paraId="69E769F5"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-0.075</w:t>
            </w:r>
          </w:p>
        </w:tc>
      </w:tr>
      <w:tr w:rsidR="003A137B" w:rsidRPr="003E0CF1" w14:paraId="6818EEF1" w14:textId="77777777">
        <w:trPr>
          <w:cantSplit/>
        </w:trPr>
        <w:tc>
          <w:tcPr>
            <w:tcW w:w="3026" w:type="dxa"/>
            <w:vAlign w:val="center"/>
          </w:tcPr>
          <w:p w14:paraId="30AD6FA5"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rPr>
              <w:t>Apparent porosity (%)</w:t>
            </w:r>
          </w:p>
        </w:tc>
        <w:tc>
          <w:tcPr>
            <w:tcW w:w="2400" w:type="dxa"/>
            <w:vAlign w:val="center"/>
          </w:tcPr>
          <w:p w14:paraId="08A0ED3A"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-1.03</w:t>
            </w:r>
          </w:p>
        </w:tc>
        <w:tc>
          <w:tcPr>
            <w:tcW w:w="1900" w:type="dxa"/>
            <w:vAlign w:val="center"/>
          </w:tcPr>
          <w:p w14:paraId="20B98D35"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-0.51</w:t>
            </w:r>
          </w:p>
        </w:tc>
        <w:tc>
          <w:tcPr>
            <w:tcW w:w="1700" w:type="dxa"/>
            <w:vAlign w:val="center"/>
          </w:tcPr>
          <w:p w14:paraId="096AFA81"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-0.12</w:t>
            </w:r>
          </w:p>
        </w:tc>
      </w:tr>
      <w:tr w:rsidR="003A137B" w:rsidRPr="003E0CF1" w14:paraId="40B4BAB1" w14:textId="77777777">
        <w:trPr>
          <w:cantSplit/>
        </w:trPr>
        <w:tc>
          <w:tcPr>
            <w:tcW w:w="3026" w:type="dxa"/>
            <w:vAlign w:val="center"/>
          </w:tcPr>
          <w:p w14:paraId="1F9389B7" w14:textId="77777777" w:rsidR="003A137B" w:rsidRPr="003E0CF1" w:rsidRDefault="00000000" w:rsidP="00F9519E">
            <w:pPr>
              <w:jc w:val="both"/>
              <w:rPr>
                <w:rFonts w:ascii="Times New Roman" w:hAnsi="Times New Roman" w:cs="Times New Roman"/>
                <w:sz w:val="24"/>
                <w:szCs w:val="24"/>
              </w:rPr>
            </w:pPr>
            <w:proofErr w:type="spellStart"/>
            <w:r>
              <w:rPr>
                <w:rFonts w:ascii="Times New Roman" w:hAnsi="Times New Roman" w:cs="Times New Roman"/>
                <w:b/>
                <w:bCs/>
                <w:sz w:val="24"/>
                <w:szCs w:val="24"/>
              </w:rPr>
              <w:t>Sorptivity</w:t>
            </w:r>
            <w:proofErr w:type="spellEnd"/>
            <w:r>
              <w:rPr>
                <w:rFonts w:ascii="Times New Roman" w:hAnsi="Times New Roman" w:cs="Times New Roman"/>
                <w:b/>
                <w:bCs/>
                <w:sz w:val="24"/>
                <w:szCs w:val="24"/>
              </w:rPr>
              <w:t xml:space="preserve"> (mm/min</w:t>
            </w:r>
            <w:r>
              <w:rPr>
                <w:rFonts w:ascii="Times New Roman" w:hAnsi="Times New Roman" w:cs="Times New Roman"/>
                <w:b/>
                <w:bCs/>
                <w:sz w:val="24"/>
                <w:szCs w:val="24"/>
                <w:vertAlign w:val="superscript"/>
              </w:rPr>
              <w:t>0.5</w:t>
            </w:r>
            <w:r>
              <w:rPr>
                <w:rFonts w:ascii="Times New Roman" w:hAnsi="Times New Roman" w:cs="Times New Roman"/>
                <w:b/>
                <w:bCs/>
                <w:sz w:val="24"/>
                <w:szCs w:val="24"/>
              </w:rPr>
              <w:t>)</w:t>
            </w:r>
          </w:p>
        </w:tc>
        <w:tc>
          <w:tcPr>
            <w:tcW w:w="2400" w:type="dxa"/>
            <w:vAlign w:val="center"/>
          </w:tcPr>
          <w:p w14:paraId="7A16F61D"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-0.009</w:t>
            </w:r>
          </w:p>
        </w:tc>
        <w:tc>
          <w:tcPr>
            <w:tcW w:w="1900" w:type="dxa"/>
            <w:vAlign w:val="center"/>
          </w:tcPr>
          <w:p w14:paraId="5DEC9F0F"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-0.005</w:t>
            </w:r>
          </w:p>
        </w:tc>
        <w:tc>
          <w:tcPr>
            <w:tcW w:w="1700" w:type="dxa"/>
            <w:vAlign w:val="center"/>
          </w:tcPr>
          <w:p w14:paraId="599EEB46"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-0.001</w:t>
            </w:r>
          </w:p>
        </w:tc>
      </w:tr>
      <w:tr w:rsidR="003A137B" w:rsidRPr="003E0CF1" w14:paraId="11FACA5E" w14:textId="77777777">
        <w:trPr>
          <w:cantSplit/>
        </w:trPr>
        <w:tc>
          <w:tcPr>
            <w:tcW w:w="3026" w:type="dxa"/>
            <w:vAlign w:val="center"/>
          </w:tcPr>
          <w:p w14:paraId="706ADF1B"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rPr>
              <w:t>Compressive strength (MPa)</w:t>
            </w:r>
          </w:p>
        </w:tc>
        <w:tc>
          <w:tcPr>
            <w:tcW w:w="2400" w:type="dxa"/>
            <w:vAlign w:val="center"/>
          </w:tcPr>
          <w:p w14:paraId="4EFE0199"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+4.5</w:t>
            </w:r>
          </w:p>
        </w:tc>
        <w:tc>
          <w:tcPr>
            <w:tcW w:w="1900" w:type="dxa"/>
            <w:vAlign w:val="center"/>
          </w:tcPr>
          <w:p w14:paraId="01902EEA"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+2</w:t>
            </w:r>
          </w:p>
        </w:tc>
        <w:tc>
          <w:tcPr>
            <w:tcW w:w="1700" w:type="dxa"/>
            <w:vAlign w:val="center"/>
          </w:tcPr>
          <w:p w14:paraId="136482CE"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+0.8</w:t>
            </w:r>
          </w:p>
        </w:tc>
      </w:tr>
      <w:tr w:rsidR="003A137B" w:rsidRPr="003E0CF1" w14:paraId="35276796" w14:textId="77777777">
        <w:trPr>
          <w:cantSplit/>
        </w:trPr>
        <w:tc>
          <w:tcPr>
            <w:tcW w:w="3026" w:type="dxa"/>
            <w:vAlign w:val="center"/>
          </w:tcPr>
          <w:p w14:paraId="5D323999"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rPr>
              <w:t>Flexural strength (MPa)</w:t>
            </w:r>
          </w:p>
        </w:tc>
        <w:tc>
          <w:tcPr>
            <w:tcW w:w="2400" w:type="dxa"/>
            <w:vAlign w:val="center"/>
          </w:tcPr>
          <w:p w14:paraId="6AD882AD"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+0.935</w:t>
            </w:r>
          </w:p>
        </w:tc>
        <w:tc>
          <w:tcPr>
            <w:tcW w:w="1900" w:type="dxa"/>
            <w:vAlign w:val="center"/>
          </w:tcPr>
          <w:p w14:paraId="0F1A1226"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+0.385</w:t>
            </w:r>
          </w:p>
        </w:tc>
        <w:tc>
          <w:tcPr>
            <w:tcW w:w="1700" w:type="dxa"/>
            <w:vAlign w:val="center"/>
          </w:tcPr>
          <w:p w14:paraId="7636F379"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+0.135</w:t>
            </w:r>
          </w:p>
        </w:tc>
      </w:tr>
      <w:tr w:rsidR="003A137B" w:rsidRPr="003E0CF1" w14:paraId="03CE9DAB" w14:textId="77777777">
        <w:trPr>
          <w:cantSplit/>
        </w:trPr>
        <w:tc>
          <w:tcPr>
            <w:tcW w:w="3026" w:type="dxa"/>
            <w:vAlign w:val="center"/>
          </w:tcPr>
          <w:p w14:paraId="43BDBE6F"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rPr>
              <w:t>Splitting tensile strength (MPa)</w:t>
            </w:r>
          </w:p>
        </w:tc>
        <w:tc>
          <w:tcPr>
            <w:tcW w:w="2400" w:type="dxa"/>
            <w:vAlign w:val="center"/>
          </w:tcPr>
          <w:p w14:paraId="613F731A"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+0.48</w:t>
            </w:r>
          </w:p>
        </w:tc>
        <w:tc>
          <w:tcPr>
            <w:tcW w:w="1900" w:type="dxa"/>
            <w:vAlign w:val="center"/>
          </w:tcPr>
          <w:p w14:paraId="5A2F90EC"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+0.19</w:t>
            </w:r>
          </w:p>
        </w:tc>
        <w:tc>
          <w:tcPr>
            <w:tcW w:w="1700" w:type="dxa"/>
            <w:vAlign w:val="center"/>
          </w:tcPr>
          <w:p w14:paraId="6DD79DD3"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+0.05</w:t>
            </w:r>
          </w:p>
        </w:tc>
      </w:tr>
      <w:tr w:rsidR="003A137B" w:rsidRPr="003E0CF1" w14:paraId="69197AD7" w14:textId="77777777">
        <w:trPr>
          <w:cantSplit/>
        </w:trPr>
        <w:tc>
          <w:tcPr>
            <w:tcW w:w="3026" w:type="dxa"/>
            <w:vAlign w:val="center"/>
          </w:tcPr>
          <w:p w14:paraId="28835FE5"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rPr>
              <w:t>Fracture toughness (MPa·m</w:t>
            </w:r>
            <w:r>
              <w:rPr>
                <w:rFonts w:ascii="Times New Roman" w:hAnsi="Times New Roman" w:cs="Times New Roman"/>
                <w:b/>
                <w:bCs/>
                <w:sz w:val="24"/>
                <w:szCs w:val="24"/>
                <w:vertAlign w:val="superscript"/>
              </w:rPr>
              <w:t>0.5</w:t>
            </w:r>
            <w:r>
              <w:rPr>
                <w:rFonts w:ascii="Times New Roman" w:hAnsi="Times New Roman" w:cs="Times New Roman"/>
                <w:b/>
                <w:bCs/>
                <w:sz w:val="24"/>
                <w:szCs w:val="24"/>
              </w:rPr>
              <w:t>)</w:t>
            </w:r>
          </w:p>
        </w:tc>
        <w:tc>
          <w:tcPr>
            <w:tcW w:w="2400" w:type="dxa"/>
            <w:vAlign w:val="center"/>
          </w:tcPr>
          <w:p w14:paraId="5302A590"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+0.175</w:t>
            </w:r>
          </w:p>
        </w:tc>
        <w:tc>
          <w:tcPr>
            <w:tcW w:w="1900" w:type="dxa"/>
            <w:vAlign w:val="center"/>
          </w:tcPr>
          <w:p w14:paraId="27966932"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+0.095</w:t>
            </w:r>
          </w:p>
        </w:tc>
        <w:tc>
          <w:tcPr>
            <w:tcW w:w="1700" w:type="dxa"/>
            <w:vAlign w:val="center"/>
          </w:tcPr>
          <w:p w14:paraId="504E5B82"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-0.035</w:t>
            </w:r>
          </w:p>
        </w:tc>
      </w:tr>
      <w:tr w:rsidR="003A137B" w:rsidRPr="003E0CF1" w14:paraId="1D57884E" w14:textId="77777777">
        <w:trPr>
          <w:cantSplit/>
        </w:trPr>
        <w:tc>
          <w:tcPr>
            <w:tcW w:w="3026" w:type="dxa"/>
            <w:vAlign w:val="center"/>
          </w:tcPr>
          <w:p w14:paraId="118A8A89"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rPr>
              <w:t>Residual strength, 5% H</w:t>
            </w:r>
            <w:r>
              <w:rPr>
                <w:rFonts w:ascii="Times New Roman" w:hAnsi="Times New Roman" w:cs="Times New Roman"/>
                <w:b/>
                <w:bCs/>
                <w:sz w:val="24"/>
                <w:szCs w:val="24"/>
                <w:vertAlign w:val="subscript"/>
              </w:rPr>
              <w:t>2</w:t>
            </w:r>
            <w:r>
              <w:rPr>
                <w:rFonts w:ascii="Times New Roman" w:hAnsi="Times New Roman" w:cs="Times New Roman"/>
                <w:b/>
                <w:bCs/>
                <w:sz w:val="24"/>
                <w:szCs w:val="24"/>
              </w:rPr>
              <w:t>SO</w:t>
            </w:r>
            <w:r>
              <w:rPr>
                <w:rFonts w:ascii="Times New Roman" w:hAnsi="Times New Roman" w:cs="Times New Roman"/>
                <w:b/>
                <w:bCs/>
                <w:sz w:val="24"/>
                <w:szCs w:val="24"/>
                <w:vertAlign w:val="subscript"/>
              </w:rPr>
              <w:t>4</w:t>
            </w:r>
            <w:r>
              <w:rPr>
                <w:rFonts w:ascii="Times New Roman" w:hAnsi="Times New Roman" w:cs="Times New Roman"/>
                <w:b/>
                <w:bCs/>
                <w:sz w:val="24"/>
                <w:szCs w:val="24"/>
              </w:rPr>
              <w:t xml:space="preserve"> (%)</w:t>
            </w:r>
          </w:p>
        </w:tc>
        <w:tc>
          <w:tcPr>
            <w:tcW w:w="2400" w:type="dxa"/>
            <w:vAlign w:val="center"/>
          </w:tcPr>
          <w:p w14:paraId="0AF169FD"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+4.2</w:t>
            </w:r>
          </w:p>
        </w:tc>
        <w:tc>
          <w:tcPr>
            <w:tcW w:w="1900" w:type="dxa"/>
            <w:vAlign w:val="center"/>
          </w:tcPr>
          <w:p w14:paraId="6A7BB592"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+2.2</w:t>
            </w:r>
          </w:p>
        </w:tc>
        <w:tc>
          <w:tcPr>
            <w:tcW w:w="1700" w:type="dxa"/>
            <w:vAlign w:val="center"/>
          </w:tcPr>
          <w:p w14:paraId="26F197C1"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-0.3</w:t>
            </w:r>
          </w:p>
        </w:tc>
      </w:tr>
    </w:tbl>
    <w:p w14:paraId="4214CCDC"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 xml:space="preserve"> </w:t>
      </w:r>
    </w:p>
    <w:p w14:paraId="3303FA6D" w14:textId="77777777" w:rsidR="003A137B" w:rsidRPr="003E0CF1" w:rsidRDefault="00000000" w:rsidP="00F9519E">
      <w:pPr>
        <w:keepNext/>
        <w:jc w:val="both"/>
        <w:rPr>
          <w:rFonts w:ascii="Times New Roman" w:hAnsi="Times New Roman" w:cs="Times New Roman"/>
          <w:sz w:val="24"/>
          <w:szCs w:val="24"/>
        </w:rPr>
      </w:pPr>
      <w:r>
        <w:rPr>
          <w:rFonts w:ascii="Times New Roman" w:hAnsi="Times New Roman" w:cs="Times New Roman"/>
          <w:b/>
          <w:bCs/>
          <w:i/>
          <w:iCs/>
          <w:sz w:val="24"/>
          <w:szCs w:val="24"/>
        </w:rPr>
        <w:t>4.14.5 Replicate-precision requirements</w:t>
      </w:r>
    </w:p>
    <w:p w14:paraId="3AAAEDA8"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The replicate-precision calculations are hypothetical planning scenarios based on assumed within-mixture coefficients of variation and specimen counts. They do not demonstrate that the current mixture differences are statistically significant. Once the original specimen-level data are available, measured standard deviations and confidence intervals should be reported and an appropriate replicate-based analysis conducted. Table 23 lists the resulting thresholds for planning future tests; they are not measured uncertainty estimates or evidence of current statistical significance.</w:t>
      </w:r>
    </w:p>
    <w:p w14:paraId="4A6C1980" w14:textId="77777777" w:rsidR="003A137B" w:rsidRPr="003E0CF1" w:rsidRDefault="00000000" w:rsidP="00F9519E">
      <w:pPr>
        <w:keepNext/>
        <w:jc w:val="both"/>
        <w:rPr>
          <w:rFonts w:ascii="Times New Roman" w:hAnsi="Times New Roman" w:cs="Times New Roman"/>
          <w:sz w:val="24"/>
          <w:szCs w:val="24"/>
        </w:rPr>
      </w:pPr>
      <w:r>
        <w:rPr>
          <w:rFonts w:ascii="Times New Roman" w:hAnsi="Times New Roman" w:cs="Times New Roman"/>
          <w:sz w:val="24"/>
          <w:szCs w:val="24"/>
          <w:highlight w:val="yellow"/>
        </w:rPr>
        <w:t>Table 23. Hypothetical replicate-precision thresholds for planning future tests.</w:t>
      </w:r>
    </w:p>
    <w:tbl>
      <w:tblPr>
        <w:tblStyle w:val="TableGrid"/>
        <w:tblW w:w="9026" w:type="dxa"/>
        <w:tblLayout w:type="fixed"/>
        <w:tblLook w:val="04A0" w:firstRow="1" w:lastRow="0" w:firstColumn="1" w:lastColumn="0" w:noHBand="0" w:noVBand="1"/>
      </w:tblPr>
      <w:tblGrid>
        <w:gridCol w:w="3026"/>
        <w:gridCol w:w="1400"/>
        <w:gridCol w:w="1400"/>
        <w:gridCol w:w="1600"/>
        <w:gridCol w:w="1600"/>
      </w:tblGrid>
      <w:tr w:rsidR="003A137B" w:rsidRPr="003E0CF1" w14:paraId="2F3E87E5" w14:textId="77777777">
        <w:trPr>
          <w:cantSplit/>
          <w:tblHeader/>
        </w:trPr>
        <w:tc>
          <w:tcPr>
            <w:tcW w:w="3026" w:type="dxa"/>
            <w:vAlign w:val="center"/>
          </w:tcPr>
          <w:p w14:paraId="301B2AAD"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rPr>
              <w:t>Property</w:t>
            </w:r>
          </w:p>
        </w:tc>
        <w:tc>
          <w:tcPr>
            <w:tcW w:w="1400" w:type="dxa"/>
            <w:vAlign w:val="center"/>
          </w:tcPr>
          <w:p w14:paraId="1D410D42"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rPr>
              <w:t>Max CV (%), n = 3</w:t>
            </w:r>
          </w:p>
        </w:tc>
        <w:tc>
          <w:tcPr>
            <w:tcW w:w="1400" w:type="dxa"/>
            <w:vAlign w:val="center"/>
          </w:tcPr>
          <w:p w14:paraId="63A671B8"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rPr>
              <w:t>Max CV (%), n = 5</w:t>
            </w:r>
          </w:p>
        </w:tc>
        <w:tc>
          <w:tcPr>
            <w:tcW w:w="1600" w:type="dxa"/>
            <w:vAlign w:val="center"/>
          </w:tcPr>
          <w:p w14:paraId="03658A65"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rPr>
              <w:t>F(6,14) at CV 5%, n = 3</w:t>
            </w:r>
          </w:p>
        </w:tc>
        <w:tc>
          <w:tcPr>
            <w:tcW w:w="1600" w:type="dxa"/>
            <w:vAlign w:val="center"/>
          </w:tcPr>
          <w:p w14:paraId="697B0367"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rPr>
              <w:t>p at CV 10%, n = 3</w:t>
            </w:r>
          </w:p>
        </w:tc>
      </w:tr>
      <w:tr w:rsidR="003A137B" w:rsidRPr="003E0CF1" w14:paraId="55918A4A" w14:textId="77777777">
        <w:trPr>
          <w:cantSplit/>
        </w:trPr>
        <w:tc>
          <w:tcPr>
            <w:tcW w:w="3026" w:type="dxa"/>
            <w:vAlign w:val="center"/>
          </w:tcPr>
          <w:p w14:paraId="0CF0313D"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rPr>
              <w:t>Density (kg/m³)</w:t>
            </w:r>
          </w:p>
        </w:tc>
        <w:tc>
          <w:tcPr>
            <w:tcW w:w="1400" w:type="dxa"/>
            <w:vAlign w:val="center"/>
          </w:tcPr>
          <w:p w14:paraId="759DAADA"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1.9</w:t>
            </w:r>
          </w:p>
        </w:tc>
        <w:tc>
          <w:tcPr>
            <w:tcW w:w="1400" w:type="dxa"/>
            <w:vAlign w:val="center"/>
          </w:tcPr>
          <w:p w14:paraId="3CB06827"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2.7</w:t>
            </w:r>
          </w:p>
        </w:tc>
        <w:tc>
          <w:tcPr>
            <w:tcW w:w="1600" w:type="dxa"/>
            <w:vAlign w:val="center"/>
          </w:tcPr>
          <w:p w14:paraId="56987CDA"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0.4</w:t>
            </w:r>
          </w:p>
        </w:tc>
        <w:tc>
          <w:tcPr>
            <w:tcW w:w="1600" w:type="dxa"/>
            <w:vAlign w:val="center"/>
          </w:tcPr>
          <w:p w14:paraId="32FAAB7C"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0.995</w:t>
            </w:r>
          </w:p>
        </w:tc>
      </w:tr>
      <w:tr w:rsidR="003A137B" w:rsidRPr="003E0CF1" w14:paraId="515D4C00" w14:textId="77777777">
        <w:trPr>
          <w:cantSplit/>
        </w:trPr>
        <w:tc>
          <w:tcPr>
            <w:tcW w:w="3026" w:type="dxa"/>
            <w:vAlign w:val="center"/>
          </w:tcPr>
          <w:p w14:paraId="4B731558"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rPr>
              <w:t>Water absorption (%)</w:t>
            </w:r>
          </w:p>
        </w:tc>
        <w:tc>
          <w:tcPr>
            <w:tcW w:w="1400" w:type="dxa"/>
            <w:vAlign w:val="center"/>
          </w:tcPr>
          <w:p w14:paraId="1906B05B"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20.6</w:t>
            </w:r>
          </w:p>
        </w:tc>
        <w:tc>
          <w:tcPr>
            <w:tcW w:w="1400" w:type="dxa"/>
            <w:vAlign w:val="center"/>
          </w:tcPr>
          <w:p w14:paraId="30A84F4D"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28.7</w:t>
            </w:r>
          </w:p>
        </w:tc>
        <w:tc>
          <w:tcPr>
            <w:tcW w:w="1600" w:type="dxa"/>
            <w:vAlign w:val="center"/>
          </w:tcPr>
          <w:p w14:paraId="43F7184F"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48.3</w:t>
            </w:r>
          </w:p>
        </w:tc>
        <w:tc>
          <w:tcPr>
            <w:tcW w:w="1600" w:type="dxa"/>
            <w:vAlign w:val="center"/>
          </w:tcPr>
          <w:p w14:paraId="796C78A5"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&lt;0.001</w:t>
            </w:r>
          </w:p>
        </w:tc>
      </w:tr>
      <w:tr w:rsidR="003A137B" w:rsidRPr="003E0CF1" w14:paraId="3418D089" w14:textId="77777777">
        <w:trPr>
          <w:cantSplit/>
        </w:trPr>
        <w:tc>
          <w:tcPr>
            <w:tcW w:w="3026" w:type="dxa"/>
            <w:vAlign w:val="center"/>
          </w:tcPr>
          <w:p w14:paraId="033971CC"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rPr>
              <w:t>Apparent porosity (%)</w:t>
            </w:r>
          </w:p>
        </w:tc>
        <w:tc>
          <w:tcPr>
            <w:tcW w:w="1400" w:type="dxa"/>
            <w:vAlign w:val="center"/>
          </w:tcPr>
          <w:p w14:paraId="4DCF51C3"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21.9</w:t>
            </w:r>
          </w:p>
        </w:tc>
        <w:tc>
          <w:tcPr>
            <w:tcW w:w="1400" w:type="dxa"/>
            <w:vAlign w:val="center"/>
          </w:tcPr>
          <w:p w14:paraId="25807797"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30.5</w:t>
            </w:r>
          </w:p>
        </w:tc>
        <w:tc>
          <w:tcPr>
            <w:tcW w:w="1600" w:type="dxa"/>
            <w:vAlign w:val="center"/>
          </w:tcPr>
          <w:p w14:paraId="4C78ACDA"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54.7</w:t>
            </w:r>
          </w:p>
        </w:tc>
        <w:tc>
          <w:tcPr>
            <w:tcW w:w="1600" w:type="dxa"/>
            <w:vAlign w:val="center"/>
          </w:tcPr>
          <w:p w14:paraId="4C8C0E99"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&lt;0.001</w:t>
            </w:r>
          </w:p>
        </w:tc>
      </w:tr>
      <w:tr w:rsidR="003A137B" w:rsidRPr="003E0CF1" w14:paraId="5D534D39" w14:textId="77777777">
        <w:trPr>
          <w:cantSplit/>
        </w:trPr>
        <w:tc>
          <w:tcPr>
            <w:tcW w:w="3026" w:type="dxa"/>
            <w:vAlign w:val="center"/>
          </w:tcPr>
          <w:p w14:paraId="3704E027" w14:textId="77777777" w:rsidR="003A137B" w:rsidRPr="003E0CF1" w:rsidRDefault="00000000" w:rsidP="00F9519E">
            <w:pPr>
              <w:jc w:val="both"/>
              <w:rPr>
                <w:rFonts w:ascii="Times New Roman" w:hAnsi="Times New Roman" w:cs="Times New Roman"/>
                <w:sz w:val="24"/>
                <w:szCs w:val="24"/>
              </w:rPr>
            </w:pPr>
            <w:proofErr w:type="spellStart"/>
            <w:r>
              <w:rPr>
                <w:rFonts w:ascii="Times New Roman" w:hAnsi="Times New Roman" w:cs="Times New Roman"/>
                <w:b/>
                <w:bCs/>
                <w:sz w:val="24"/>
                <w:szCs w:val="24"/>
              </w:rPr>
              <w:t>Sorptivity</w:t>
            </w:r>
            <w:proofErr w:type="spellEnd"/>
            <w:r>
              <w:rPr>
                <w:rFonts w:ascii="Times New Roman" w:hAnsi="Times New Roman" w:cs="Times New Roman"/>
                <w:b/>
                <w:bCs/>
                <w:sz w:val="24"/>
                <w:szCs w:val="24"/>
              </w:rPr>
              <w:t xml:space="preserve"> (mm/min</w:t>
            </w:r>
            <w:r>
              <w:rPr>
                <w:rFonts w:ascii="Times New Roman" w:hAnsi="Times New Roman" w:cs="Times New Roman"/>
                <w:b/>
                <w:bCs/>
                <w:sz w:val="24"/>
                <w:szCs w:val="24"/>
                <w:vertAlign w:val="superscript"/>
              </w:rPr>
              <w:t>0.5</w:t>
            </w:r>
            <w:r>
              <w:rPr>
                <w:rFonts w:ascii="Times New Roman" w:hAnsi="Times New Roman" w:cs="Times New Roman"/>
                <w:b/>
                <w:bCs/>
                <w:sz w:val="24"/>
                <w:szCs w:val="24"/>
              </w:rPr>
              <w:t>)</w:t>
            </w:r>
          </w:p>
        </w:tc>
        <w:tc>
          <w:tcPr>
            <w:tcW w:w="1400" w:type="dxa"/>
            <w:vAlign w:val="center"/>
          </w:tcPr>
          <w:p w14:paraId="5117FD7A"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38.5</w:t>
            </w:r>
          </w:p>
        </w:tc>
        <w:tc>
          <w:tcPr>
            <w:tcW w:w="1400" w:type="dxa"/>
            <w:vAlign w:val="center"/>
          </w:tcPr>
          <w:p w14:paraId="20640BD6"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53.7</w:t>
            </w:r>
          </w:p>
        </w:tc>
        <w:tc>
          <w:tcPr>
            <w:tcW w:w="1600" w:type="dxa"/>
            <w:vAlign w:val="center"/>
          </w:tcPr>
          <w:p w14:paraId="3926D467"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169.0</w:t>
            </w:r>
          </w:p>
        </w:tc>
        <w:tc>
          <w:tcPr>
            <w:tcW w:w="1600" w:type="dxa"/>
            <w:vAlign w:val="center"/>
          </w:tcPr>
          <w:p w14:paraId="21AF4E15"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&lt;0.001</w:t>
            </w:r>
          </w:p>
        </w:tc>
      </w:tr>
      <w:tr w:rsidR="003A137B" w:rsidRPr="003E0CF1" w14:paraId="22D54FFA" w14:textId="77777777">
        <w:trPr>
          <w:cantSplit/>
        </w:trPr>
        <w:tc>
          <w:tcPr>
            <w:tcW w:w="3026" w:type="dxa"/>
            <w:vAlign w:val="center"/>
          </w:tcPr>
          <w:p w14:paraId="5FC67C7D"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rPr>
              <w:t>Compressive strength (MPa)</w:t>
            </w:r>
          </w:p>
        </w:tc>
        <w:tc>
          <w:tcPr>
            <w:tcW w:w="1400" w:type="dxa"/>
            <w:vAlign w:val="center"/>
          </w:tcPr>
          <w:p w14:paraId="5CA2C01E"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12.7</w:t>
            </w:r>
          </w:p>
        </w:tc>
        <w:tc>
          <w:tcPr>
            <w:tcW w:w="1400" w:type="dxa"/>
            <w:vAlign w:val="center"/>
          </w:tcPr>
          <w:p w14:paraId="6AB130A3"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17.7</w:t>
            </w:r>
          </w:p>
        </w:tc>
        <w:tc>
          <w:tcPr>
            <w:tcW w:w="1600" w:type="dxa"/>
            <w:vAlign w:val="center"/>
          </w:tcPr>
          <w:p w14:paraId="2AA3D314"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18.5</w:t>
            </w:r>
          </w:p>
        </w:tc>
        <w:tc>
          <w:tcPr>
            <w:tcW w:w="1600" w:type="dxa"/>
            <w:vAlign w:val="center"/>
          </w:tcPr>
          <w:p w14:paraId="69E57563"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0.009</w:t>
            </w:r>
          </w:p>
        </w:tc>
      </w:tr>
      <w:tr w:rsidR="003A137B" w:rsidRPr="003E0CF1" w14:paraId="5256BCE5" w14:textId="77777777">
        <w:trPr>
          <w:cantSplit/>
        </w:trPr>
        <w:tc>
          <w:tcPr>
            <w:tcW w:w="3026" w:type="dxa"/>
            <w:vAlign w:val="center"/>
          </w:tcPr>
          <w:p w14:paraId="6C69EAB5"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rPr>
              <w:lastRenderedPageBreak/>
              <w:t>Flexural strength (MPa)</w:t>
            </w:r>
          </w:p>
        </w:tc>
        <w:tc>
          <w:tcPr>
            <w:tcW w:w="1400" w:type="dxa"/>
            <w:vAlign w:val="center"/>
          </w:tcPr>
          <w:p w14:paraId="365E0722"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14.4</w:t>
            </w:r>
          </w:p>
        </w:tc>
        <w:tc>
          <w:tcPr>
            <w:tcW w:w="1400" w:type="dxa"/>
            <w:vAlign w:val="center"/>
          </w:tcPr>
          <w:p w14:paraId="5044740C"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20.0</w:t>
            </w:r>
          </w:p>
        </w:tc>
        <w:tc>
          <w:tcPr>
            <w:tcW w:w="1600" w:type="dxa"/>
            <w:vAlign w:val="center"/>
          </w:tcPr>
          <w:p w14:paraId="6D24E23F"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23.5</w:t>
            </w:r>
          </w:p>
        </w:tc>
        <w:tc>
          <w:tcPr>
            <w:tcW w:w="1600" w:type="dxa"/>
            <w:vAlign w:val="center"/>
          </w:tcPr>
          <w:p w14:paraId="3B088EB0"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0.003</w:t>
            </w:r>
          </w:p>
        </w:tc>
      </w:tr>
      <w:tr w:rsidR="003A137B" w:rsidRPr="003E0CF1" w14:paraId="1D14DBC2" w14:textId="77777777">
        <w:trPr>
          <w:cantSplit/>
        </w:trPr>
        <w:tc>
          <w:tcPr>
            <w:tcW w:w="3026" w:type="dxa"/>
            <w:vAlign w:val="center"/>
          </w:tcPr>
          <w:p w14:paraId="6499778E"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rPr>
              <w:t>Splitting tensile strength (MPa)</w:t>
            </w:r>
          </w:p>
        </w:tc>
        <w:tc>
          <w:tcPr>
            <w:tcW w:w="1400" w:type="dxa"/>
            <w:vAlign w:val="center"/>
          </w:tcPr>
          <w:p w14:paraId="6E8C5EAC"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15.0</w:t>
            </w:r>
          </w:p>
        </w:tc>
        <w:tc>
          <w:tcPr>
            <w:tcW w:w="1400" w:type="dxa"/>
            <w:vAlign w:val="center"/>
          </w:tcPr>
          <w:p w14:paraId="1A18CF64"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20.9</w:t>
            </w:r>
          </w:p>
        </w:tc>
        <w:tc>
          <w:tcPr>
            <w:tcW w:w="1600" w:type="dxa"/>
            <w:vAlign w:val="center"/>
          </w:tcPr>
          <w:p w14:paraId="44D9002D"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25.7</w:t>
            </w:r>
          </w:p>
        </w:tc>
        <w:tc>
          <w:tcPr>
            <w:tcW w:w="1600" w:type="dxa"/>
            <w:vAlign w:val="center"/>
          </w:tcPr>
          <w:p w14:paraId="53E897D0"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0.002</w:t>
            </w:r>
          </w:p>
        </w:tc>
      </w:tr>
      <w:tr w:rsidR="003A137B" w:rsidRPr="003E0CF1" w14:paraId="53AD18BA" w14:textId="77777777">
        <w:trPr>
          <w:cantSplit/>
        </w:trPr>
        <w:tc>
          <w:tcPr>
            <w:tcW w:w="3026" w:type="dxa"/>
            <w:vAlign w:val="center"/>
          </w:tcPr>
          <w:p w14:paraId="443F691C"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rPr>
              <w:t>Fracture toughness (MPa·m</w:t>
            </w:r>
            <w:r>
              <w:rPr>
                <w:rFonts w:ascii="Times New Roman" w:hAnsi="Times New Roman" w:cs="Times New Roman"/>
                <w:b/>
                <w:bCs/>
                <w:sz w:val="24"/>
                <w:szCs w:val="24"/>
                <w:vertAlign w:val="superscript"/>
              </w:rPr>
              <w:t>0.5</w:t>
            </w:r>
            <w:r>
              <w:rPr>
                <w:rFonts w:ascii="Times New Roman" w:hAnsi="Times New Roman" w:cs="Times New Roman"/>
                <w:b/>
                <w:bCs/>
                <w:sz w:val="24"/>
                <w:szCs w:val="24"/>
              </w:rPr>
              <w:t>)</w:t>
            </w:r>
          </w:p>
        </w:tc>
        <w:tc>
          <w:tcPr>
            <w:tcW w:w="1400" w:type="dxa"/>
            <w:vAlign w:val="center"/>
          </w:tcPr>
          <w:p w14:paraId="4FB02386"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24.4</w:t>
            </w:r>
          </w:p>
        </w:tc>
        <w:tc>
          <w:tcPr>
            <w:tcW w:w="1400" w:type="dxa"/>
            <w:vAlign w:val="center"/>
          </w:tcPr>
          <w:p w14:paraId="334FA90B"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34.0</w:t>
            </w:r>
          </w:p>
        </w:tc>
        <w:tc>
          <w:tcPr>
            <w:tcW w:w="1600" w:type="dxa"/>
            <w:vAlign w:val="center"/>
          </w:tcPr>
          <w:p w14:paraId="1214CAEA"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67.7</w:t>
            </w:r>
          </w:p>
        </w:tc>
        <w:tc>
          <w:tcPr>
            <w:tcW w:w="1600" w:type="dxa"/>
            <w:vAlign w:val="center"/>
          </w:tcPr>
          <w:p w14:paraId="42B92429"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&lt;0.001</w:t>
            </w:r>
          </w:p>
        </w:tc>
      </w:tr>
      <w:tr w:rsidR="003A137B" w:rsidRPr="003E0CF1" w14:paraId="791D88E7" w14:textId="77777777">
        <w:trPr>
          <w:cantSplit/>
        </w:trPr>
        <w:tc>
          <w:tcPr>
            <w:tcW w:w="3026" w:type="dxa"/>
            <w:vAlign w:val="center"/>
          </w:tcPr>
          <w:p w14:paraId="329A7DA0"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b/>
                <w:bCs/>
                <w:sz w:val="24"/>
                <w:szCs w:val="24"/>
              </w:rPr>
              <w:t>Residual strength, 5% H</w:t>
            </w:r>
            <w:r>
              <w:rPr>
                <w:rFonts w:ascii="Times New Roman" w:hAnsi="Times New Roman" w:cs="Times New Roman"/>
                <w:b/>
                <w:bCs/>
                <w:sz w:val="24"/>
                <w:szCs w:val="24"/>
                <w:vertAlign w:val="subscript"/>
              </w:rPr>
              <w:t>2</w:t>
            </w:r>
            <w:r>
              <w:rPr>
                <w:rFonts w:ascii="Times New Roman" w:hAnsi="Times New Roman" w:cs="Times New Roman"/>
                <w:b/>
                <w:bCs/>
                <w:sz w:val="24"/>
                <w:szCs w:val="24"/>
              </w:rPr>
              <w:t>SO</w:t>
            </w:r>
            <w:r>
              <w:rPr>
                <w:rFonts w:ascii="Times New Roman" w:hAnsi="Times New Roman" w:cs="Times New Roman"/>
                <w:b/>
                <w:bCs/>
                <w:sz w:val="24"/>
                <w:szCs w:val="24"/>
                <w:vertAlign w:val="subscript"/>
              </w:rPr>
              <w:t>4</w:t>
            </w:r>
            <w:r>
              <w:rPr>
                <w:rFonts w:ascii="Times New Roman" w:hAnsi="Times New Roman" w:cs="Times New Roman"/>
                <w:b/>
                <w:bCs/>
                <w:sz w:val="24"/>
                <w:szCs w:val="24"/>
              </w:rPr>
              <w:t xml:space="preserve"> (%)</w:t>
            </w:r>
          </w:p>
        </w:tc>
        <w:tc>
          <w:tcPr>
            <w:tcW w:w="1400" w:type="dxa"/>
            <w:vAlign w:val="center"/>
          </w:tcPr>
          <w:p w14:paraId="6BD225BC"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9.1</w:t>
            </w:r>
          </w:p>
        </w:tc>
        <w:tc>
          <w:tcPr>
            <w:tcW w:w="1400" w:type="dxa"/>
            <w:vAlign w:val="center"/>
          </w:tcPr>
          <w:p w14:paraId="77FE897E"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12.7</w:t>
            </w:r>
          </w:p>
        </w:tc>
        <w:tc>
          <w:tcPr>
            <w:tcW w:w="1600" w:type="dxa"/>
            <w:vAlign w:val="center"/>
          </w:tcPr>
          <w:p w14:paraId="7AED8BB3"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9.5</w:t>
            </w:r>
          </w:p>
        </w:tc>
        <w:tc>
          <w:tcPr>
            <w:tcW w:w="1600" w:type="dxa"/>
            <w:vAlign w:val="center"/>
          </w:tcPr>
          <w:p w14:paraId="061545A5"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0.085</w:t>
            </w:r>
          </w:p>
        </w:tc>
      </w:tr>
    </w:tbl>
    <w:p w14:paraId="7D1A0E6F"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rPr>
        <w:t xml:space="preserve"> </w:t>
      </w:r>
    </w:p>
    <w:p w14:paraId="6BA8B6BA" w14:textId="77777777" w:rsidR="003A137B" w:rsidRPr="003E0CF1" w:rsidRDefault="00000000" w:rsidP="00F9519E">
      <w:pPr>
        <w:keepNext/>
        <w:jc w:val="both"/>
        <w:rPr>
          <w:rFonts w:ascii="Times New Roman" w:hAnsi="Times New Roman" w:cs="Times New Roman"/>
          <w:sz w:val="24"/>
          <w:szCs w:val="24"/>
        </w:rPr>
      </w:pPr>
      <w:r>
        <w:rPr>
          <w:rFonts w:ascii="Times New Roman" w:hAnsi="Times New Roman" w:cs="Times New Roman"/>
          <w:b/>
          <w:bCs/>
          <w:i/>
          <w:iCs/>
          <w:sz w:val="24"/>
          <w:szCs w:val="24"/>
        </w:rPr>
        <w:t>4.14.6 Assumptions and data required for inferential ANOVA</w:t>
      </w:r>
    </w:p>
    <w:p w14:paraId="4276E7E5"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The current summary dataset does not support confirmatory ANOVA because independent specimen-level observations, replicate counts and batch identifiers are not provided. Independence, residual normality and variance homogeneity therefore cannot be assessed. The reported regression and unreplicated two-way calculations are not used for inferential claims in this revision. A valid analysis should be run from original individual measurements using a model matched to the actual randomized design; if only one batch or one summary value exists per mixture, the results must remain descriptive.</w:t>
      </w:r>
    </w:p>
    <w:p w14:paraId="66AB0C70" w14:textId="77777777" w:rsidR="00F741DE" w:rsidRPr="003E0CF1" w:rsidRDefault="00E71383" w:rsidP="00F9519E">
      <w:pPr>
        <w:pStyle w:val="Heading1"/>
        <w:jc w:val="both"/>
        <w:rPr>
          <w:rFonts w:ascii="Times New Roman" w:hAnsi="Times New Roman" w:cs="Times New Roman"/>
          <w:color w:val="auto"/>
          <w:sz w:val="24"/>
          <w:szCs w:val="24"/>
        </w:rPr>
      </w:pPr>
      <w:r>
        <w:rPr>
          <w:rFonts w:ascii="Times New Roman" w:hAnsi="Times New Roman" w:cs="Times New Roman"/>
          <w:b/>
          <w:bCs/>
          <w:color w:val="auto"/>
          <w:sz w:val="24"/>
          <w:szCs w:val="24"/>
        </w:rPr>
        <w:t>5. Results and Discussion</w:t>
      </w:r>
    </w:p>
    <w:p w14:paraId="4B091322" w14:textId="77777777" w:rsidR="00F741DE" w:rsidRPr="003E0CF1" w:rsidRDefault="00E71383" w:rsidP="00F9519E">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5.1 Ancient material chemistry as a design reference</w:t>
      </w:r>
    </w:p>
    <w:p w14:paraId="362FCF27" w14:textId="77777777" w:rsidR="00F741DE" w:rsidRPr="003E0CF1" w:rsidRDefault="00B85D48" w:rsidP="00F9519E">
      <w:pPr>
        <w:jc w:val="both"/>
        <w:rPr>
          <w:rFonts w:ascii="Times New Roman" w:hAnsi="Times New Roman" w:cs="Times New Roman"/>
          <w:sz w:val="24"/>
          <w:szCs w:val="24"/>
        </w:rPr>
      </w:pPr>
      <w:r>
        <w:rPr>
          <w:rFonts w:ascii="Times New Roman" w:hAnsi="Times New Roman" w:cs="Times New Roman"/>
          <w:sz w:val="24"/>
          <w:szCs w:val="24"/>
          <w:highlight w:val="yellow"/>
        </w:rPr>
        <w:t>The XRF and XRD results characterize one historic mortar sample and provide a case-specific design reference. To establish whether this composition is representative of the wider temple or other historic mortars, future sampling should cover documented locations and account for repair history, weathering state and possible contamination. The present results are interpreted within the scope of the sampled material.</w:t>
      </w:r>
    </w:p>
    <w:p w14:paraId="632ACFCD" w14:textId="77777777" w:rsidR="00F741DE" w:rsidRPr="003E0CF1" w:rsidRDefault="00E71383" w:rsidP="00F9519E">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5.2 Mechanism linking composition, microstructure and mechanical performance</w:t>
      </w:r>
    </w:p>
    <w:p w14:paraId="7C72D3FF" w14:textId="77777777" w:rsidR="00DD6720" w:rsidRPr="003E0CF1" w:rsidRDefault="00DD6720" w:rsidP="00F9519E">
      <w:pPr>
        <w:jc w:val="both"/>
        <w:rPr>
          <w:rFonts w:ascii="Times New Roman" w:hAnsi="Times New Roman" w:cs="Times New Roman"/>
          <w:sz w:val="24"/>
          <w:szCs w:val="24"/>
        </w:rPr>
      </w:pPr>
      <w:r>
        <w:rPr>
          <w:rFonts w:ascii="Times New Roman" w:hAnsi="Times New Roman" w:cs="Times New Roman"/>
          <w:sz w:val="24"/>
          <w:szCs w:val="24"/>
        </w:rPr>
        <w:t>Mechanical Results (Table 4)</w:t>
      </w:r>
    </w:p>
    <w:p w14:paraId="5C3BC663" w14:textId="77777777" w:rsidR="00F741DE" w:rsidRPr="003E0CF1" w:rsidRDefault="00DD6720" w:rsidP="00F9519E">
      <w:pPr>
        <w:jc w:val="both"/>
        <w:rPr>
          <w:rFonts w:ascii="Times New Roman" w:hAnsi="Times New Roman" w:cs="Times New Roman"/>
          <w:sz w:val="24"/>
          <w:szCs w:val="24"/>
        </w:rPr>
      </w:pPr>
      <w:r>
        <w:rPr>
          <w:rFonts w:ascii="Times New Roman" w:hAnsi="Times New Roman" w:cs="Times New Roman"/>
          <w:sz w:val="24"/>
          <w:szCs w:val="24"/>
          <w:highlight w:val="yellow"/>
        </w:rPr>
        <w:t xml:space="preserve">The reported property patterns are compatible with several hypotheses, including particle packing, lime–metakaolin reactions and </w:t>
      </w:r>
      <w:proofErr w:type="spellStart"/>
      <w:r>
        <w:rPr>
          <w:rFonts w:ascii="Times New Roman" w:hAnsi="Times New Roman" w:cs="Times New Roman"/>
          <w:sz w:val="24"/>
          <w:szCs w:val="24"/>
          <w:highlight w:val="yellow"/>
        </w:rPr>
        <w:t>fibre</w:t>
      </w:r>
      <w:proofErr w:type="spellEnd"/>
      <w:r>
        <w:rPr>
          <w:rFonts w:ascii="Times New Roman" w:hAnsi="Times New Roman" w:cs="Times New Roman"/>
          <w:sz w:val="24"/>
          <w:szCs w:val="24"/>
          <w:highlight w:val="yellow"/>
        </w:rPr>
        <w:t xml:space="preserve"> bridging. The available XRF, XRD and qualitative SEM–EDS results do not directly quantify C–S–H/C–A–S–H phases or reaction kinetics, and the non-orthogonal mixture design does not isolate the effects of individual constituents. These mechanisms are therefore proposed interpretations rather than experimentally demonstrated causes. FTIR, TGA/DTG, quantitative XRD, solid-state NMR or suitable elemental mapping would be needed to test the phase-related hypotheses.</w:t>
      </w:r>
    </w:p>
    <w:p w14:paraId="7C369B67" w14:textId="77777777" w:rsidR="00FC26F6"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 xml:space="preserve">Across the listed mixtures, the reported physical and mechanical summaries show an inverse ordering between water-access indicators and strength-related indicators. One possible interpretation is that particle packing and binder composition reduced accessible pore space, while </w:t>
      </w:r>
      <w:proofErr w:type="spellStart"/>
      <w:r>
        <w:rPr>
          <w:rFonts w:ascii="Times New Roman" w:hAnsi="Times New Roman" w:cs="Times New Roman"/>
          <w:sz w:val="24"/>
          <w:szCs w:val="24"/>
          <w:highlight w:val="yellow"/>
        </w:rPr>
        <w:t>fibres</w:t>
      </w:r>
      <w:proofErr w:type="spellEnd"/>
      <w:r>
        <w:rPr>
          <w:rFonts w:ascii="Times New Roman" w:hAnsi="Times New Roman" w:cs="Times New Roman"/>
          <w:sz w:val="24"/>
          <w:szCs w:val="24"/>
          <w:highlight w:val="yellow"/>
        </w:rPr>
        <w:t xml:space="preserve"> may have contributed to crack control. These explanations remain hypotheses because the mixture series changes several constituents together, the historic reference is represented by one fragment, and SEM–EDS observations are qualitative. The results support selecting AT6 for a carefully replicated follow-up study rather than assigning a definitive mechanism.</w:t>
      </w:r>
    </w:p>
    <w:p w14:paraId="55F4BDA5"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 xml:space="preserve">The mixture ordering is consistent with hypotheses involving particle packing, lime–metakaolin reactions and </w:t>
      </w:r>
      <w:proofErr w:type="spellStart"/>
      <w:r>
        <w:rPr>
          <w:rFonts w:ascii="Times New Roman" w:hAnsi="Times New Roman" w:cs="Times New Roman"/>
          <w:sz w:val="24"/>
          <w:szCs w:val="24"/>
          <w:highlight w:val="yellow"/>
        </w:rPr>
        <w:t>fibre</w:t>
      </w:r>
      <w:proofErr w:type="spellEnd"/>
      <w:r>
        <w:rPr>
          <w:rFonts w:ascii="Times New Roman" w:hAnsi="Times New Roman" w:cs="Times New Roman"/>
          <w:sz w:val="24"/>
          <w:szCs w:val="24"/>
          <w:highlight w:val="yellow"/>
        </w:rPr>
        <w:t xml:space="preserve"> bridging. AT1–AT4 offer a limited within-series comparison in which </w:t>
      </w:r>
      <w:proofErr w:type="spellStart"/>
      <w:r>
        <w:rPr>
          <w:rFonts w:ascii="Times New Roman" w:hAnsi="Times New Roman" w:cs="Times New Roman"/>
          <w:sz w:val="24"/>
          <w:szCs w:val="24"/>
          <w:highlight w:val="yellow"/>
        </w:rPr>
        <w:t>fibre</w:t>
      </w:r>
      <w:proofErr w:type="spellEnd"/>
      <w:r>
        <w:rPr>
          <w:rFonts w:ascii="Times New Roman" w:hAnsi="Times New Roman" w:cs="Times New Roman"/>
          <w:sz w:val="24"/>
          <w:szCs w:val="24"/>
          <w:highlight w:val="yellow"/>
        </w:rPr>
        <w:t xml:space="preserve"> dosage increases while sand is adjusted to maintain mass balance; however, </w:t>
      </w:r>
      <w:proofErr w:type="spellStart"/>
      <w:r>
        <w:rPr>
          <w:rFonts w:ascii="Times New Roman" w:hAnsi="Times New Roman" w:cs="Times New Roman"/>
          <w:sz w:val="24"/>
          <w:szCs w:val="24"/>
          <w:highlight w:val="yellow"/>
        </w:rPr>
        <w:t>fibre</w:t>
      </w:r>
      <w:proofErr w:type="spellEnd"/>
      <w:r>
        <w:rPr>
          <w:rFonts w:ascii="Times New Roman" w:hAnsi="Times New Roman" w:cs="Times New Roman"/>
          <w:sz w:val="24"/>
          <w:szCs w:val="24"/>
          <w:highlight w:val="yellow"/>
        </w:rPr>
        <w:t xml:space="preserve"> dosage is not fully isolated from changes in packing and porosity. The present results therefore motivate, but do not confirm, a </w:t>
      </w:r>
      <w:proofErr w:type="spellStart"/>
      <w:r>
        <w:rPr>
          <w:rFonts w:ascii="Times New Roman" w:hAnsi="Times New Roman" w:cs="Times New Roman"/>
          <w:sz w:val="24"/>
          <w:szCs w:val="24"/>
          <w:highlight w:val="yellow"/>
        </w:rPr>
        <w:t>fibre</w:t>
      </w:r>
      <w:proofErr w:type="spellEnd"/>
      <w:r>
        <w:rPr>
          <w:rFonts w:ascii="Times New Roman" w:hAnsi="Times New Roman" w:cs="Times New Roman"/>
          <w:sz w:val="24"/>
          <w:szCs w:val="24"/>
          <w:highlight w:val="yellow"/>
        </w:rPr>
        <w:t xml:space="preserve">-bridging mechanism. Direct fracture-energy measurements, </w:t>
      </w:r>
      <w:proofErr w:type="spellStart"/>
      <w:r>
        <w:rPr>
          <w:rFonts w:ascii="Times New Roman" w:hAnsi="Times New Roman" w:cs="Times New Roman"/>
          <w:sz w:val="24"/>
          <w:szCs w:val="24"/>
          <w:highlight w:val="yellow"/>
        </w:rPr>
        <w:t>fibre</w:t>
      </w:r>
      <w:proofErr w:type="spellEnd"/>
      <w:r>
        <w:rPr>
          <w:rFonts w:ascii="Times New Roman" w:hAnsi="Times New Roman" w:cs="Times New Roman"/>
          <w:sz w:val="24"/>
          <w:szCs w:val="24"/>
          <w:highlight w:val="yellow"/>
        </w:rPr>
        <w:t xml:space="preserve"> geometry, interfacial properties and quantitative phase characterization would enable a more targeted assessment.</w:t>
      </w:r>
      <w:r>
        <w:rPr>
          <w:rFonts w:ascii="Times New Roman" w:hAnsi="Times New Roman" w:cs="Times New Roman"/>
          <w:sz w:val="24"/>
          <w:szCs w:val="24"/>
          <w:highlight w:val="cyan"/>
        </w:rPr>
        <w:t xml:space="preserve"> Figure 24 sketches the proposed matrix pathway and </w:t>
      </w:r>
      <w:proofErr w:type="spellStart"/>
      <w:r>
        <w:rPr>
          <w:rFonts w:ascii="Times New Roman" w:hAnsi="Times New Roman" w:cs="Times New Roman"/>
          <w:sz w:val="24"/>
          <w:szCs w:val="24"/>
          <w:highlight w:val="cyan"/>
        </w:rPr>
        <w:lastRenderedPageBreak/>
        <w:t>fibre</w:t>
      </w:r>
      <w:proofErr w:type="spellEnd"/>
      <w:r>
        <w:rPr>
          <w:rFonts w:ascii="Times New Roman" w:hAnsi="Times New Roman" w:cs="Times New Roman"/>
          <w:sz w:val="24"/>
          <w:szCs w:val="24"/>
          <w:highlight w:val="cyan"/>
        </w:rPr>
        <w:t xml:space="preserve"> bridging across a crack; it illustrates hypotheses only and does not depict measured quantities.</w:t>
      </w:r>
    </w:p>
    <w:p w14:paraId="291C4D44" w14:textId="77777777" w:rsidR="00B06580" w:rsidRPr="003E0CF1" w:rsidRDefault="00000000" w:rsidP="00F9519E">
      <w:pPr>
        <w:keepNext/>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21E5A9F" wp14:editId="4187825E">
            <wp:extent cx="5669280" cy="2662843"/>
            <wp:effectExtent l="0" t="0" r="0" b="0"/>
            <wp:docPr id="1005" name="Picture 1005" descr="Conceptual schematic of the matrix pathway and fibre brid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Picture 1005"/>
                    <pic:cNvPicPr/>
                  </pic:nvPicPr>
                  <pic:blipFill>
                    <a:blip r:embed="rId30"/>
                    <a:stretch>
                      <a:fillRect/>
                    </a:stretch>
                  </pic:blipFill>
                  <pic:spPr>
                    <a:xfrm>
                      <a:off x="0" y="0"/>
                      <a:ext cx="5669280" cy="2662843"/>
                    </a:xfrm>
                    <a:prstGeom prst="rect">
                      <a:avLst/>
                    </a:prstGeom>
                  </pic:spPr>
                </pic:pic>
              </a:graphicData>
            </a:graphic>
          </wp:inline>
        </w:drawing>
      </w:r>
    </w:p>
    <w:p w14:paraId="3DCCF9E0"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cyan"/>
        </w:rPr>
        <w:t xml:space="preserve">Figure 24. Conceptual schematic of (a) the proposed matrix pathway and (b) </w:t>
      </w:r>
      <w:proofErr w:type="spellStart"/>
      <w:r>
        <w:rPr>
          <w:rFonts w:ascii="Times New Roman" w:hAnsi="Times New Roman" w:cs="Times New Roman"/>
          <w:sz w:val="24"/>
          <w:szCs w:val="24"/>
          <w:highlight w:val="cyan"/>
        </w:rPr>
        <w:t>fibre</w:t>
      </w:r>
      <w:proofErr w:type="spellEnd"/>
      <w:r>
        <w:rPr>
          <w:rFonts w:ascii="Times New Roman" w:hAnsi="Times New Roman" w:cs="Times New Roman"/>
          <w:sz w:val="24"/>
          <w:szCs w:val="24"/>
          <w:highlight w:val="cyan"/>
        </w:rPr>
        <w:t xml:space="preserve"> bridging across a crack.</w:t>
      </w:r>
    </w:p>
    <w:p w14:paraId="7B9AEDD9" w14:textId="77777777" w:rsidR="00F741DE" w:rsidRPr="003E0CF1" w:rsidRDefault="00E71383" w:rsidP="00F9519E">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 xml:space="preserve">5.3 Durability and thermal </w:t>
      </w:r>
      <w:proofErr w:type="spellStart"/>
      <w:r>
        <w:rPr>
          <w:rFonts w:ascii="Times New Roman" w:hAnsi="Times New Roman" w:cs="Times New Roman"/>
          <w:b/>
          <w:bCs/>
          <w:color w:val="auto"/>
          <w:sz w:val="24"/>
          <w:szCs w:val="24"/>
        </w:rPr>
        <w:t>behaviour</w:t>
      </w:r>
      <w:proofErr w:type="spellEnd"/>
    </w:p>
    <w:p w14:paraId="01A3981E" w14:textId="77777777" w:rsidR="00024767" w:rsidRPr="003E0CF1" w:rsidRDefault="00024767" w:rsidP="00F9519E">
      <w:pPr>
        <w:jc w:val="both"/>
        <w:rPr>
          <w:rFonts w:ascii="Times New Roman" w:hAnsi="Times New Roman" w:cs="Times New Roman"/>
          <w:sz w:val="24"/>
          <w:szCs w:val="24"/>
        </w:rPr>
      </w:pPr>
      <w:r>
        <w:rPr>
          <w:rFonts w:ascii="Times New Roman" w:hAnsi="Times New Roman" w:cs="Times New Roman"/>
          <w:sz w:val="24"/>
          <w:szCs w:val="24"/>
          <w:highlight w:val="yellow"/>
        </w:rPr>
        <w:t>AT6 has the highest reported residual-strength ratios among the listed mixtures for the stated laboratory exposure endpoints. This is a descriptive result under the reported conditions, not proof of long-term durability or field service life. The 5% sulfate and 5% sulfuric-acid exposures are aggressive screening conditions and should not be generalized to typical environments without justification. Exposure temperatures, solution renewal, conditioning, replicate counts and complementary measures such as mass change, dimensional change, surface damage and cracking must be recovered from the laboratory records or identified as unavailable. Post-heating XRD/SEM or thermal analysis would be needed to evaluate proposed degradation mechanisms.</w:t>
      </w:r>
    </w:p>
    <w:p w14:paraId="7C0F7B28"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Using the implied dry density in Eq. (6), the reported thermal values are internally coherent to within about 6% (Table 16), while use of the listed density gives differences of approximately 3.7–9.5%. Thermal conductivity decreases by 18.5–42.6% relative to C0 (Table 13), although its positive association with apparent porosity across the seven mixtures (r = 0.998; Table 10) differs from the usual expectation when solid-phase composition and moisture are comparable. Since C0 and AT-MMC differ in binder chemistry and mineral composition, this correlation is interpreted as a mixture-level association rather than a causal relationship. Composition-controlled specimens, documented moisture conditioning, repeated thermal measurements and replicate porosity data would help clarify the trend.</w:t>
      </w:r>
    </w:p>
    <w:p w14:paraId="78F49993" w14:textId="77777777" w:rsidR="00F741DE" w:rsidRPr="003E0CF1" w:rsidRDefault="00E71383" w:rsidP="00F9519E">
      <w:pPr>
        <w:jc w:val="both"/>
        <w:rPr>
          <w:rFonts w:ascii="Times New Roman" w:hAnsi="Times New Roman" w:cs="Times New Roman"/>
          <w:sz w:val="24"/>
          <w:szCs w:val="24"/>
        </w:rPr>
      </w:pPr>
      <w:r>
        <w:rPr>
          <w:rFonts w:ascii="Times New Roman" w:hAnsi="Times New Roman" w:cs="Times New Roman"/>
          <w:sz w:val="24"/>
          <w:szCs w:val="24"/>
          <w:highlight w:val="yellow"/>
        </w:rPr>
        <w:t xml:space="preserve">Within the seven reported formulations and the selected criteria, the provisional desirability calculation ranks AT6 </w:t>
      </w:r>
      <w:proofErr w:type="spellStart"/>
      <w:r>
        <w:rPr>
          <w:rFonts w:ascii="Times New Roman" w:hAnsi="Times New Roman" w:cs="Times New Roman"/>
          <w:sz w:val="24"/>
          <w:szCs w:val="24"/>
          <w:highlight w:val="yellow"/>
        </w:rPr>
        <w:t>favourably</w:t>
      </w:r>
      <w:proofErr w:type="spellEnd"/>
      <w:r>
        <w:rPr>
          <w:rFonts w:ascii="Times New Roman" w:hAnsi="Times New Roman" w:cs="Times New Roman"/>
          <w:sz w:val="24"/>
          <w:szCs w:val="24"/>
          <w:highlight w:val="yellow"/>
        </w:rPr>
        <w:t>. Because the optimization model, its diagnostics and independent validation are not available for reproduction, this result is not treated as a validated optimum. The mixture should be called the highest-performing reported formulation within this limited set, not globally optimized.</w:t>
      </w:r>
    </w:p>
    <w:p w14:paraId="5AB4A54C" w14:textId="77777777" w:rsidR="00F741DE" w:rsidRPr="003E0CF1" w:rsidRDefault="004C3471" w:rsidP="00F9519E">
      <w:pPr>
        <w:jc w:val="both"/>
        <w:rPr>
          <w:rFonts w:ascii="Times New Roman" w:hAnsi="Times New Roman" w:cs="Times New Roman"/>
          <w:sz w:val="24"/>
          <w:szCs w:val="24"/>
        </w:rPr>
      </w:pPr>
      <w:r>
        <w:rPr>
          <w:rFonts w:ascii="Times New Roman" w:hAnsi="Times New Roman" w:cs="Times New Roman"/>
          <w:sz w:val="24"/>
          <w:szCs w:val="24"/>
          <w:highlight w:val="yellow"/>
        </w:rPr>
        <w:t xml:space="preserve">The reported desirability calculation ranks AT6 </w:t>
      </w:r>
      <w:proofErr w:type="spellStart"/>
      <w:r>
        <w:rPr>
          <w:rFonts w:ascii="Times New Roman" w:hAnsi="Times New Roman" w:cs="Times New Roman"/>
          <w:sz w:val="24"/>
          <w:szCs w:val="24"/>
          <w:highlight w:val="yellow"/>
        </w:rPr>
        <w:t>favourably</w:t>
      </w:r>
      <w:proofErr w:type="spellEnd"/>
      <w:r>
        <w:rPr>
          <w:rFonts w:ascii="Times New Roman" w:hAnsi="Times New Roman" w:cs="Times New Roman"/>
          <w:sz w:val="24"/>
          <w:szCs w:val="24"/>
          <w:highlight w:val="yellow"/>
        </w:rPr>
        <w:t xml:space="preserve"> within the seven listed formulations and selected criteria, but this ranking remains provisional until the original model equations, limits, weights, diagnostics and independent validation are provided. It should not be described as global optimization.</w:t>
      </w:r>
    </w:p>
    <w:p w14:paraId="5F36290D" w14:textId="77777777" w:rsidR="003A137B" w:rsidRPr="003E0CF1" w:rsidRDefault="00000000" w:rsidP="00F9519E">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5.4 Statistical interpretation and replicate design</w:t>
      </w:r>
    </w:p>
    <w:p w14:paraId="3BD1CCC3"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 xml:space="preserve">The summary values show a consistent ordering across several reported endpoints, but the existing ANOVA calculations do not provide valid replicate-based inference. The </w:t>
      </w:r>
      <w:proofErr w:type="spellStart"/>
      <w:r>
        <w:rPr>
          <w:rFonts w:ascii="Times New Roman" w:hAnsi="Times New Roman" w:cs="Times New Roman"/>
          <w:sz w:val="24"/>
          <w:szCs w:val="24"/>
          <w:highlight w:val="yellow"/>
        </w:rPr>
        <w:t>fibre</w:t>
      </w:r>
      <w:proofErr w:type="spellEnd"/>
      <w:r>
        <w:rPr>
          <w:rFonts w:ascii="Times New Roman" w:hAnsi="Times New Roman" w:cs="Times New Roman"/>
          <w:sz w:val="24"/>
          <w:szCs w:val="24"/>
          <w:highlight w:val="yellow"/>
        </w:rPr>
        <w:t xml:space="preserve">-dose </w:t>
      </w:r>
      <w:r>
        <w:rPr>
          <w:rFonts w:ascii="Times New Roman" w:hAnsi="Times New Roman" w:cs="Times New Roman"/>
          <w:sz w:val="24"/>
          <w:szCs w:val="24"/>
          <w:highlight w:val="yellow"/>
        </w:rPr>
        <w:lastRenderedPageBreak/>
        <w:t>trends and cross-exposure rankings are descriptive only. The current data do not establish statistical significance, independent constituent effects, or causal relationships.</w:t>
      </w:r>
    </w:p>
    <w:p w14:paraId="7AA92409" w14:textId="77777777" w:rsidR="003A137B"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The hypothetical replicate-precision analysis may help plan a future experiment, but its CV thresholds are not measured uncertainty estimates and cannot be used to claim that differences in the current dataset are significant. Future testing should report specimen-level values, means, standard deviations, confidence intervals and the number of independent batches.</w:t>
      </w:r>
    </w:p>
    <w:p w14:paraId="45D86D3F" w14:textId="77777777" w:rsidR="00F741DE" w:rsidRPr="003E0CF1" w:rsidRDefault="00E71383" w:rsidP="00F9519E">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5.5 Environmental performance and engineering implications</w:t>
      </w:r>
    </w:p>
    <w:p w14:paraId="1AE3ED05" w14:textId="77777777" w:rsidR="00F741DE" w:rsidRPr="003E0CF1" w:rsidRDefault="004D0243" w:rsidP="00F9519E">
      <w:pPr>
        <w:jc w:val="both"/>
        <w:rPr>
          <w:rFonts w:ascii="Times New Roman" w:hAnsi="Times New Roman" w:cs="Times New Roman"/>
          <w:sz w:val="24"/>
          <w:szCs w:val="24"/>
        </w:rPr>
      </w:pPr>
      <w:r>
        <w:rPr>
          <w:rFonts w:ascii="Times New Roman" w:hAnsi="Times New Roman" w:cs="Times New Roman"/>
          <w:sz w:val="24"/>
          <w:szCs w:val="24"/>
          <w:highlight w:val="yellow"/>
        </w:rPr>
        <w:t>The reported LCA table lists a lower GWP per kilogram for AT6 than for C0. This comparison remains provisional because the inventory, system boundary, transport and processing assumptions, waste-allocation rules and functional equivalence are not documented sufficiently for independent reproduction. Non-structural applications may be identified as areas for future evaluation; structural performance, code compliance, long-term durability and service-life suitability have not been established.</w:t>
      </w:r>
    </w:p>
    <w:p w14:paraId="35089835" w14:textId="77777777" w:rsidR="00B06580" w:rsidRPr="003E0CF1" w:rsidRDefault="00000000" w:rsidP="00F9519E">
      <w:pPr>
        <w:jc w:val="both"/>
        <w:rPr>
          <w:rFonts w:ascii="Times New Roman" w:hAnsi="Times New Roman" w:cs="Times New Roman"/>
          <w:sz w:val="24"/>
          <w:szCs w:val="24"/>
        </w:rPr>
      </w:pPr>
      <w:r>
        <w:rPr>
          <w:rFonts w:ascii="Times New Roman" w:hAnsi="Times New Roman" w:cs="Times New Roman"/>
          <w:sz w:val="24"/>
          <w:szCs w:val="24"/>
          <w:highlight w:val="yellow"/>
        </w:rPr>
        <w:t>The strength-per-GWP ratio is a screening indicator calculated from the reported strength and per-kilogram GWP values, not a functionally equivalent life-cycle comparison. It should not be used to claim a definitive environmental advantage until the LCA inventory and performance-based functional unit are verified.</w:t>
      </w:r>
    </w:p>
    <w:p w14:paraId="25C3F65B" w14:textId="77777777" w:rsidR="00F741DE" w:rsidRPr="003E0CF1" w:rsidRDefault="00E71383" w:rsidP="00F9519E">
      <w:pPr>
        <w:pStyle w:val="Heading2"/>
        <w:jc w:val="both"/>
        <w:rPr>
          <w:rFonts w:ascii="Times New Roman" w:hAnsi="Times New Roman" w:cs="Times New Roman"/>
          <w:color w:val="auto"/>
          <w:sz w:val="24"/>
          <w:szCs w:val="24"/>
        </w:rPr>
      </w:pPr>
      <w:r>
        <w:rPr>
          <w:rFonts w:ascii="Times New Roman" w:hAnsi="Times New Roman" w:cs="Times New Roman"/>
          <w:sz w:val="24"/>
          <w:szCs w:val="24"/>
        </w:rPr>
        <w:t xml:space="preserve">5.6 </w:t>
      </w:r>
      <w:r>
        <w:rPr>
          <w:rFonts w:ascii="Times New Roman" w:hAnsi="Times New Roman" w:cs="Times New Roman"/>
          <w:sz w:val="24"/>
          <w:szCs w:val="24"/>
          <w:highlight w:val="yellow"/>
        </w:rPr>
        <w:t>Future Scope</w:t>
      </w:r>
    </w:p>
    <w:p w14:paraId="69CED760" w14:textId="77777777" w:rsidR="00F741DE" w:rsidRPr="003E0CF1" w:rsidRDefault="009071A0" w:rsidP="00F9519E">
      <w:pPr>
        <w:jc w:val="both"/>
        <w:rPr>
          <w:rFonts w:ascii="Times New Roman" w:hAnsi="Times New Roman" w:cs="Times New Roman"/>
          <w:sz w:val="24"/>
          <w:szCs w:val="24"/>
        </w:rPr>
      </w:pPr>
      <w:r>
        <w:rPr>
          <w:rFonts w:ascii="Times New Roman" w:hAnsi="Times New Roman" w:cs="Times New Roman"/>
          <w:sz w:val="24"/>
          <w:szCs w:val="24"/>
          <w:highlight w:val="yellow"/>
        </w:rPr>
        <w:t>Future research should: (</w:t>
      </w:r>
      <w:proofErr w:type="spellStart"/>
      <w:r>
        <w:rPr>
          <w:rFonts w:ascii="Times New Roman" w:hAnsi="Times New Roman" w:cs="Times New Roman"/>
          <w:sz w:val="24"/>
          <w:szCs w:val="24"/>
          <w:highlight w:val="yellow"/>
        </w:rPr>
        <w:t>i</w:t>
      </w:r>
      <w:proofErr w:type="spellEnd"/>
      <w:r>
        <w:rPr>
          <w:rFonts w:ascii="Times New Roman" w:hAnsi="Times New Roman" w:cs="Times New Roman"/>
          <w:sz w:val="24"/>
          <w:szCs w:val="24"/>
          <w:highlight w:val="yellow"/>
        </w:rPr>
        <w:t xml:space="preserve">) publish specimen-level measurements, replicate counts, uncertainty estimates and complete load–deflection/load–CMOD curves where available; (ii) verify standards, instruments, loading rates, exposure protocols and sample provenance; (iii) expand historic-mortar sampling and use a structured mixture-design </w:t>
      </w:r>
      <w:proofErr w:type="spellStart"/>
      <w:r>
        <w:rPr>
          <w:rFonts w:ascii="Times New Roman" w:hAnsi="Times New Roman" w:cs="Times New Roman"/>
          <w:sz w:val="24"/>
          <w:szCs w:val="24"/>
          <w:highlight w:val="yellow"/>
        </w:rPr>
        <w:t>programme</w:t>
      </w:r>
      <w:proofErr w:type="spellEnd"/>
      <w:r>
        <w:rPr>
          <w:rFonts w:ascii="Times New Roman" w:hAnsi="Times New Roman" w:cs="Times New Roman"/>
          <w:sz w:val="24"/>
          <w:szCs w:val="24"/>
          <w:highlight w:val="yellow"/>
        </w:rPr>
        <w:t xml:space="preserve"> with independently prepared validation mixtures; (iv) reconcile the physical/thermal consistency checks and conduct phase-sensitive characterization; (v) repeat durability tests using documented, relevant protocols; and (vi) complete a transparent LCA with a functional unit, auditable inventory and sensitivity analysis. Reported values should be traceable to original records so that the final interpretation remains transparent and reproducible.</w:t>
      </w:r>
    </w:p>
    <w:p w14:paraId="3F29614E" w14:textId="77777777" w:rsidR="00F741DE" w:rsidRPr="003E0CF1" w:rsidRDefault="00E71383" w:rsidP="00F9519E">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5.7 AI/ML-assisted extension of this framework</w:t>
      </w:r>
    </w:p>
    <w:p w14:paraId="3186C89A" w14:textId="77777777" w:rsidR="00F741DE" w:rsidRPr="003E0CF1" w:rsidRDefault="004F720F" w:rsidP="00F9519E">
      <w:pPr>
        <w:jc w:val="both"/>
        <w:rPr>
          <w:rFonts w:ascii="Times New Roman" w:hAnsi="Times New Roman" w:cs="Times New Roman"/>
          <w:sz w:val="24"/>
          <w:szCs w:val="24"/>
        </w:rPr>
      </w:pPr>
      <w:r>
        <w:rPr>
          <w:rFonts w:ascii="Times New Roman" w:hAnsi="Times New Roman" w:cs="Times New Roman"/>
          <w:sz w:val="24"/>
          <w:szCs w:val="24"/>
          <w:highlight w:val="yellow"/>
        </w:rPr>
        <w:t xml:space="preserve">The seven-mixture dataset is best viewed as a starting point for planning a larger experimental </w:t>
      </w:r>
      <w:proofErr w:type="spellStart"/>
      <w:r>
        <w:rPr>
          <w:rFonts w:ascii="Times New Roman" w:hAnsi="Times New Roman" w:cs="Times New Roman"/>
          <w:sz w:val="24"/>
          <w:szCs w:val="24"/>
          <w:highlight w:val="yellow"/>
        </w:rPr>
        <w:t>programme</w:t>
      </w:r>
      <w:proofErr w:type="spellEnd"/>
      <w:r>
        <w:rPr>
          <w:rFonts w:ascii="Times New Roman" w:hAnsi="Times New Roman" w:cs="Times New Roman"/>
          <w:sz w:val="24"/>
          <w:szCs w:val="24"/>
          <w:highlight w:val="yellow"/>
        </w:rPr>
        <w:t xml:space="preserve"> rather than as a basis for training or validating a reliable AI/ML model. AI/ML-assisted prediction or </w:t>
      </w:r>
      <w:proofErr w:type="spellStart"/>
      <w:r>
        <w:rPr>
          <w:rFonts w:ascii="Times New Roman" w:hAnsi="Times New Roman" w:cs="Times New Roman"/>
          <w:sz w:val="24"/>
          <w:szCs w:val="24"/>
          <w:highlight w:val="yellow"/>
        </w:rPr>
        <w:t>optimisation</w:t>
      </w:r>
      <w:proofErr w:type="spellEnd"/>
      <w:r>
        <w:rPr>
          <w:rFonts w:ascii="Times New Roman" w:hAnsi="Times New Roman" w:cs="Times New Roman"/>
          <w:sz w:val="24"/>
          <w:szCs w:val="24"/>
          <w:highlight w:val="yellow"/>
        </w:rPr>
        <w:t xml:space="preserve"> would be more appropriately undertaken after assembling a larger, well-designed dataset containing specimen-level observations, uncertainty estimates, predefined training/validation/test partitions and independent experimental validation.</w:t>
      </w:r>
    </w:p>
    <w:p w14:paraId="1ACA7891" w14:textId="77777777" w:rsidR="00A032C0" w:rsidRPr="003E0CF1" w:rsidRDefault="00A032C0" w:rsidP="00F9519E">
      <w:pPr>
        <w:pStyle w:val="Heading2"/>
        <w:jc w:val="both"/>
        <w:rPr>
          <w:rFonts w:ascii="Times New Roman" w:hAnsi="Times New Roman" w:cs="Times New Roman"/>
          <w:color w:val="auto"/>
          <w:sz w:val="24"/>
          <w:szCs w:val="24"/>
        </w:rPr>
      </w:pPr>
      <w:r>
        <w:rPr>
          <w:rFonts w:ascii="Times New Roman" w:hAnsi="Times New Roman" w:cs="Times New Roman"/>
          <w:sz w:val="24"/>
          <w:szCs w:val="24"/>
          <w:highlight w:val="yellow"/>
        </w:rPr>
        <w:t>The response-surface and desirability results are not independently reproducible from the supplied manuscript and are therefore not treated as validated predictions. Unless the original model files, complete equations, coefficients, diagnostics, prediction intervals and independent validation experiments can be supplied, the response-surface claim and numerical desirability score should be removed from the final conclusions.</w:t>
      </w:r>
    </w:p>
    <w:p w14:paraId="64800420" w14:textId="77777777" w:rsidR="00F741DE" w:rsidRPr="003E0CF1" w:rsidRDefault="00E71383" w:rsidP="00F9519E">
      <w:pPr>
        <w:pStyle w:val="Heading1"/>
        <w:jc w:val="both"/>
        <w:rPr>
          <w:rFonts w:ascii="Times New Roman" w:hAnsi="Times New Roman" w:cs="Times New Roman"/>
          <w:color w:val="auto"/>
          <w:sz w:val="24"/>
          <w:szCs w:val="24"/>
        </w:rPr>
      </w:pPr>
      <w:r>
        <w:rPr>
          <w:rFonts w:ascii="Times New Roman" w:hAnsi="Times New Roman" w:cs="Times New Roman"/>
          <w:b/>
          <w:bCs/>
          <w:color w:val="auto"/>
          <w:sz w:val="24"/>
          <w:szCs w:val="24"/>
        </w:rPr>
        <w:t>6. Conclusions</w:t>
      </w:r>
    </w:p>
    <w:p w14:paraId="1E2B3B56" w14:textId="77777777" w:rsidR="009935E4" w:rsidRPr="003E0CF1" w:rsidRDefault="00CB7B9B" w:rsidP="00F9519E">
      <w:pPr>
        <w:jc w:val="both"/>
        <w:rPr>
          <w:rFonts w:ascii="Times New Roman" w:hAnsi="Times New Roman" w:cs="Times New Roman"/>
          <w:sz w:val="24"/>
          <w:szCs w:val="24"/>
        </w:rPr>
      </w:pPr>
      <w:r>
        <w:rPr>
          <w:rFonts w:ascii="Times New Roman" w:hAnsi="Times New Roman" w:cs="Times New Roman"/>
          <w:sz w:val="24"/>
          <w:szCs w:val="24"/>
          <w:highlight w:val="yellow"/>
        </w:rPr>
        <w:t xml:space="preserve">This study characterizes one detached, non-load-bearing mortar sample from a 12th-century granite temple and descriptively compares one OPC control with six exploratory AT-MMC formulations. Within the supplied summary tables, AT6 has the highest listed 28-day mechanical-property values and the lowest listed water absorption and apparent porosity among the seven formulations. These are rankings of reported summaries, not evidence of a globally optimized mixture or statistically significant differences. The non-orthogonal mixture design, lack of specimen-level data and absence of documented uncertainty prevent independent attribution of effects to individual constituents. The proposed lime–metakaolin reaction products and </w:t>
      </w:r>
      <w:proofErr w:type="spellStart"/>
      <w:r>
        <w:rPr>
          <w:rFonts w:ascii="Times New Roman" w:hAnsi="Times New Roman" w:cs="Times New Roman"/>
          <w:sz w:val="24"/>
          <w:szCs w:val="24"/>
          <w:highlight w:val="yellow"/>
        </w:rPr>
        <w:t>fibre</w:t>
      </w:r>
      <w:proofErr w:type="spellEnd"/>
      <w:r>
        <w:rPr>
          <w:rFonts w:ascii="Times New Roman" w:hAnsi="Times New Roman" w:cs="Times New Roman"/>
          <w:sz w:val="24"/>
          <w:szCs w:val="24"/>
          <w:highlight w:val="yellow"/>
        </w:rPr>
        <w:t xml:space="preserve">-bridging mechanisms remain hypotheses requiring direct phase and interface evidence. Durability findings are limited to the stated laboratory endpoints; long-term field performance is not established. The reported desirability and LCA indicators remain </w:t>
      </w:r>
      <w:r>
        <w:rPr>
          <w:rFonts w:ascii="Times New Roman" w:hAnsi="Times New Roman" w:cs="Times New Roman"/>
          <w:sz w:val="24"/>
          <w:szCs w:val="24"/>
          <w:highlight w:val="yellow"/>
        </w:rPr>
        <w:lastRenderedPageBreak/>
        <w:t>provisional until the underlying calculations and inventory are independently reproducible. Future work should provide verified batch records, individual test results, replicate counts, standards, exposure protocols, thermal conditions, complete load–CMOD data, and a structured experimental design with independent validation.</w:t>
      </w:r>
    </w:p>
    <w:p w14:paraId="7B900172" w14:textId="2F59987D" w:rsidR="00933843" w:rsidRPr="003E0CF1" w:rsidRDefault="00933843" w:rsidP="00F9519E">
      <w:pPr>
        <w:jc w:val="both"/>
        <w:rPr>
          <w:rFonts w:ascii="Times New Roman" w:hAnsi="Times New Roman" w:cs="Times New Roman"/>
          <w:bCs/>
          <w:sz w:val="24"/>
          <w:szCs w:val="24"/>
        </w:rPr>
      </w:pPr>
      <w:r>
        <w:rPr>
          <w:rFonts w:ascii="Times New Roman" w:hAnsi="Times New Roman" w:cs="Times New Roman"/>
          <w:sz w:val="24"/>
          <w:szCs w:val="24"/>
          <w:highlight w:val="yellow"/>
        </w:rPr>
        <w:t xml:space="preserve">Data Availability Statement: The manuscript identifies https://github.com/GirirajMannayee/AT-MMC as the intended repository. </w:t>
      </w:r>
    </w:p>
    <w:p w14:paraId="5E945CE3" w14:textId="77777777" w:rsidR="00933843" w:rsidRPr="003E0CF1" w:rsidRDefault="00933843" w:rsidP="00F9519E">
      <w:pPr>
        <w:jc w:val="both"/>
        <w:rPr>
          <w:rFonts w:ascii="Times New Roman" w:hAnsi="Times New Roman" w:cs="Times New Roman"/>
          <w:bCs/>
          <w:sz w:val="24"/>
          <w:szCs w:val="24"/>
        </w:rPr>
      </w:pPr>
      <w:r>
        <w:rPr>
          <w:rFonts w:ascii="Times New Roman" w:hAnsi="Times New Roman" w:cs="Times New Roman"/>
          <w:sz w:val="24"/>
          <w:szCs w:val="24"/>
          <w:highlight w:val="yellow"/>
        </w:rPr>
        <w:t>Conflicts of Interest: The author declares no conflict of interest.</w:t>
      </w:r>
    </w:p>
    <w:p w14:paraId="7CBC4EA5" w14:textId="77777777" w:rsidR="00933843" w:rsidRPr="003E0CF1" w:rsidRDefault="00933843" w:rsidP="00F9519E">
      <w:pPr>
        <w:jc w:val="both"/>
        <w:rPr>
          <w:rFonts w:ascii="Times New Roman" w:hAnsi="Times New Roman" w:cs="Times New Roman"/>
          <w:bCs/>
          <w:sz w:val="24"/>
          <w:szCs w:val="24"/>
        </w:rPr>
      </w:pPr>
      <w:r>
        <w:rPr>
          <w:rFonts w:ascii="Times New Roman" w:hAnsi="Times New Roman" w:cs="Times New Roman"/>
          <w:b/>
          <w:bCs/>
          <w:sz w:val="24"/>
          <w:szCs w:val="24"/>
        </w:rPr>
        <w:t>Funding Declaration:</w:t>
      </w:r>
      <w:r>
        <w:rPr>
          <w:rFonts w:ascii="Times New Roman" w:hAnsi="Times New Roman" w:cs="Times New Roman"/>
          <w:bCs/>
          <w:sz w:val="24"/>
          <w:szCs w:val="24"/>
        </w:rPr>
        <w:t xml:space="preserve"> This research received no external funding.</w:t>
      </w:r>
    </w:p>
    <w:p w14:paraId="5F221C81" w14:textId="77777777" w:rsidR="00946A91" w:rsidRPr="003E0CF1" w:rsidRDefault="00933843" w:rsidP="00F9519E">
      <w:pPr>
        <w:jc w:val="both"/>
        <w:rPr>
          <w:rFonts w:ascii="Times New Roman" w:hAnsi="Times New Roman" w:cs="Times New Roman"/>
          <w:bCs/>
          <w:sz w:val="24"/>
          <w:szCs w:val="24"/>
        </w:rPr>
      </w:pPr>
      <w:r>
        <w:rPr>
          <w:rFonts w:ascii="Times New Roman" w:hAnsi="Times New Roman" w:cs="Times New Roman"/>
          <w:b/>
          <w:bCs/>
          <w:sz w:val="24"/>
          <w:szCs w:val="24"/>
        </w:rPr>
        <w:t>Ethics Declaration:</w:t>
      </w:r>
      <w:r>
        <w:rPr>
          <w:rFonts w:ascii="Times New Roman" w:hAnsi="Times New Roman" w:cs="Times New Roman"/>
          <w:bCs/>
          <w:sz w:val="24"/>
          <w:szCs w:val="24"/>
        </w:rPr>
        <w:t xml:space="preserve"> Not applicable.</w:t>
      </w:r>
    </w:p>
    <w:p w14:paraId="3AAC77C6" w14:textId="77777777" w:rsidR="005E43F7" w:rsidRPr="003E0CF1" w:rsidRDefault="005E43F7" w:rsidP="00F9519E">
      <w:pPr>
        <w:jc w:val="both"/>
        <w:rPr>
          <w:rFonts w:ascii="Times New Roman" w:hAnsi="Times New Roman" w:cs="Times New Roman"/>
          <w:bCs/>
          <w:sz w:val="24"/>
          <w:szCs w:val="24"/>
        </w:rPr>
      </w:pPr>
      <w:r>
        <w:rPr>
          <w:rFonts w:ascii="Times New Roman" w:hAnsi="Times New Roman" w:cs="Times New Roman"/>
          <w:b/>
          <w:bCs/>
          <w:sz w:val="24"/>
          <w:szCs w:val="24"/>
        </w:rPr>
        <w:t>Consent to Publish declaration:</w:t>
      </w:r>
      <w:r>
        <w:rPr>
          <w:rFonts w:ascii="Times New Roman" w:hAnsi="Times New Roman" w:cs="Times New Roman"/>
          <w:bCs/>
          <w:sz w:val="24"/>
          <w:szCs w:val="24"/>
        </w:rPr>
        <w:t xml:space="preserve"> not applicable.</w:t>
      </w:r>
    </w:p>
    <w:p w14:paraId="057BCAE3" w14:textId="77777777" w:rsidR="005468BF" w:rsidRPr="003E0CF1" w:rsidRDefault="005E43F7" w:rsidP="00F9519E">
      <w:pPr>
        <w:jc w:val="both"/>
        <w:rPr>
          <w:rFonts w:ascii="Times New Roman" w:hAnsi="Times New Roman" w:cs="Times New Roman"/>
          <w:sz w:val="24"/>
          <w:szCs w:val="24"/>
        </w:rPr>
      </w:pPr>
      <w:r>
        <w:rPr>
          <w:rFonts w:ascii="Times New Roman" w:hAnsi="Times New Roman" w:cs="Times New Roman"/>
          <w:b/>
          <w:sz w:val="24"/>
          <w:szCs w:val="24"/>
        </w:rPr>
        <w:t>Consent to Participate declaration:</w:t>
      </w:r>
      <w:r>
        <w:rPr>
          <w:rFonts w:ascii="Times New Roman" w:hAnsi="Times New Roman" w:cs="Times New Roman"/>
          <w:sz w:val="24"/>
          <w:szCs w:val="24"/>
        </w:rPr>
        <w:t xml:space="preserve"> not applicable.</w:t>
      </w:r>
    </w:p>
    <w:p w14:paraId="792325C7" w14:textId="77777777" w:rsidR="005468BF" w:rsidRPr="003E0CF1" w:rsidRDefault="005468BF" w:rsidP="00F9519E">
      <w:pPr>
        <w:jc w:val="both"/>
        <w:rPr>
          <w:rFonts w:ascii="Times New Roman" w:hAnsi="Times New Roman" w:cs="Times New Roman"/>
          <w:sz w:val="24"/>
          <w:szCs w:val="24"/>
        </w:rPr>
      </w:pPr>
      <w:r>
        <w:rPr>
          <w:rFonts w:ascii="Times New Roman" w:hAnsi="Times New Roman" w:cs="Times New Roman"/>
          <w:b/>
          <w:bCs/>
          <w:sz w:val="24"/>
          <w:szCs w:val="24"/>
        </w:rPr>
        <w:t>Ethics Approval and Consent to Participate:</w:t>
      </w:r>
      <w:r>
        <w:rPr>
          <w:rFonts w:ascii="Times New Roman" w:hAnsi="Times New Roman" w:cs="Times New Roman"/>
          <w:sz w:val="24"/>
          <w:szCs w:val="24"/>
        </w:rPr>
        <w:t xml:space="preserve"> Not applicable. This study did not involve human participants or human-derived data.</w:t>
      </w:r>
    </w:p>
    <w:p w14:paraId="546D2FCA" w14:textId="77777777" w:rsidR="005468BF" w:rsidRPr="003E0CF1" w:rsidRDefault="005468BF" w:rsidP="00F9519E">
      <w:pPr>
        <w:jc w:val="both"/>
        <w:rPr>
          <w:rFonts w:ascii="Times New Roman" w:hAnsi="Times New Roman" w:cs="Times New Roman"/>
          <w:sz w:val="24"/>
          <w:szCs w:val="24"/>
        </w:rPr>
      </w:pPr>
      <w:r>
        <w:rPr>
          <w:rFonts w:ascii="Times New Roman" w:hAnsi="Times New Roman" w:cs="Times New Roman"/>
          <w:b/>
          <w:bCs/>
          <w:sz w:val="24"/>
          <w:szCs w:val="24"/>
        </w:rPr>
        <w:t>Consent for Publication:</w:t>
      </w:r>
      <w:r>
        <w:rPr>
          <w:rFonts w:ascii="Times New Roman" w:hAnsi="Times New Roman" w:cs="Times New Roman"/>
          <w:sz w:val="24"/>
          <w:szCs w:val="24"/>
        </w:rPr>
        <w:t xml:space="preserve"> Not applicable.</w:t>
      </w:r>
    </w:p>
    <w:p w14:paraId="7BCF32D1" w14:textId="77777777" w:rsidR="005468BF" w:rsidRPr="003E0CF1" w:rsidRDefault="005468BF" w:rsidP="00F9519E">
      <w:pPr>
        <w:jc w:val="both"/>
        <w:rPr>
          <w:rFonts w:ascii="Times New Roman" w:hAnsi="Times New Roman" w:cs="Times New Roman"/>
          <w:bCs/>
          <w:sz w:val="24"/>
          <w:szCs w:val="24"/>
        </w:rPr>
      </w:pPr>
      <w:r>
        <w:rPr>
          <w:rFonts w:ascii="Times New Roman" w:hAnsi="Times New Roman" w:cs="Times New Roman"/>
          <w:sz w:val="24"/>
          <w:szCs w:val="24"/>
          <w:highlight w:val="yellow"/>
        </w:rPr>
        <w:t>Data provenance statement: The author reports that no secondary data were used for material characterization or experimental analysis. This statement applies only if all measurements, images and derived values originate from the study's own records; any reused, adapted or externally sourced material should be identified and cited explicitly.</w:t>
      </w:r>
    </w:p>
    <w:p w14:paraId="56DD8558" w14:textId="77777777" w:rsidR="00986C0E" w:rsidRPr="003E0CF1" w:rsidRDefault="00986C0E" w:rsidP="00F9519E">
      <w:pPr>
        <w:pStyle w:val="Heading2"/>
        <w:shd w:val="clear" w:color="auto" w:fill="FFFFFF"/>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Author Contributions Statement: </w:t>
      </w:r>
      <w:r>
        <w:rPr>
          <w:rFonts w:ascii="Times New Roman" w:hAnsi="Times New Roman" w:cs="Times New Roman"/>
          <w:bCs/>
          <w:color w:val="auto"/>
          <w:sz w:val="24"/>
          <w:szCs w:val="24"/>
        </w:rPr>
        <w:t>The author conceived the study, developed the methodology, conducted the analysis, performed the experiments, interpreted the results, prepared the figures and tables, wrote, reviewed, and approved the final manuscript.</w:t>
      </w:r>
    </w:p>
    <w:p w14:paraId="0B515FE8" w14:textId="77777777" w:rsidR="005E43F7" w:rsidRPr="003E0CF1" w:rsidRDefault="005E43F7" w:rsidP="00F9519E">
      <w:pPr>
        <w:jc w:val="both"/>
        <w:rPr>
          <w:rFonts w:ascii="Times New Roman" w:hAnsi="Times New Roman" w:cs="Times New Roman"/>
          <w:b/>
          <w:bCs/>
          <w:sz w:val="24"/>
          <w:szCs w:val="24"/>
        </w:rPr>
      </w:pPr>
      <w:r>
        <w:rPr>
          <w:rFonts w:ascii="Times New Roman" w:hAnsi="Times New Roman" w:cs="Times New Roman"/>
          <w:b/>
          <w:bCs/>
          <w:sz w:val="24"/>
          <w:szCs w:val="24"/>
        </w:rPr>
        <w:t>References</w:t>
      </w:r>
    </w:p>
    <w:p w14:paraId="4BD90014" w14:textId="77777777" w:rsidR="005E43F7" w:rsidRPr="003E0CF1" w:rsidRDefault="005E43F7" w:rsidP="00F9519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shd w:val="clear" w:color="auto" w:fill="FFFFFF"/>
        </w:rPr>
        <w:t>Hou, D., Zhang, G., Pant, R.R., Shen, J.S., Liu, M. and Luo, H., 2016. Nanoindentation characterization of a ternary clay-based composite used in ancient Chinese construction. </w:t>
      </w:r>
      <w:r>
        <w:rPr>
          <w:rFonts w:ascii="Times New Roman" w:hAnsi="Times New Roman" w:cs="Times New Roman"/>
          <w:i/>
          <w:iCs/>
          <w:sz w:val="24"/>
          <w:szCs w:val="24"/>
          <w:shd w:val="clear" w:color="auto" w:fill="FFFFFF"/>
        </w:rPr>
        <w:t>Materials</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9</w:t>
      </w:r>
      <w:r>
        <w:rPr>
          <w:rFonts w:ascii="Times New Roman" w:hAnsi="Times New Roman" w:cs="Times New Roman"/>
          <w:sz w:val="24"/>
          <w:szCs w:val="24"/>
          <w:shd w:val="clear" w:color="auto" w:fill="FFFFFF"/>
        </w:rPr>
        <w:t>(11), p.866.</w:t>
      </w:r>
    </w:p>
    <w:p w14:paraId="5EE4CCF7" w14:textId="77777777" w:rsidR="005E43F7" w:rsidRPr="003E0CF1" w:rsidRDefault="005E43F7" w:rsidP="00F9519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shd w:val="clear" w:color="auto" w:fill="FFFFFF"/>
        </w:rPr>
        <w:t xml:space="preserve">Wilson, W., </w:t>
      </w:r>
      <w:proofErr w:type="spellStart"/>
      <w:r>
        <w:rPr>
          <w:rFonts w:ascii="Times New Roman" w:hAnsi="Times New Roman" w:cs="Times New Roman"/>
          <w:sz w:val="24"/>
          <w:szCs w:val="24"/>
          <w:shd w:val="clear" w:color="auto" w:fill="FFFFFF"/>
        </w:rPr>
        <w:t>Sorelli</w:t>
      </w:r>
      <w:proofErr w:type="spellEnd"/>
      <w:r>
        <w:rPr>
          <w:rFonts w:ascii="Times New Roman" w:hAnsi="Times New Roman" w:cs="Times New Roman"/>
          <w:sz w:val="24"/>
          <w:szCs w:val="24"/>
          <w:shd w:val="clear" w:color="auto" w:fill="FFFFFF"/>
        </w:rPr>
        <w:t xml:space="preserve">, L., Krishnan, S., Bishnoi, S. and Tagnit-Hamou, A., 2017. Micro-chemo-mechanical characterization of a limestone-calcinated-clay cement paste by statistical nanoindentation and quantitative SEM-EDS. In: </w:t>
      </w:r>
      <w:r>
        <w:rPr>
          <w:rFonts w:ascii="Times New Roman" w:hAnsi="Times New Roman" w:cs="Times New Roman"/>
          <w:i/>
          <w:iCs/>
          <w:sz w:val="24"/>
          <w:szCs w:val="24"/>
          <w:shd w:val="clear" w:color="auto" w:fill="FFFFFF"/>
        </w:rPr>
        <w:t>Calcined Clays for Sustainable Concrete: Proceedings of the 2nd International Conference on Calcined Clays for Sustainable Concrete</w:t>
      </w:r>
      <w:r>
        <w:rPr>
          <w:rFonts w:ascii="Times New Roman" w:hAnsi="Times New Roman" w:cs="Times New Roman"/>
          <w:sz w:val="24"/>
          <w:szCs w:val="24"/>
          <w:shd w:val="clear" w:color="auto" w:fill="FFFFFF"/>
        </w:rPr>
        <w:t>. Dordrecht: Springer Netherlands, pp.494–499.</w:t>
      </w:r>
    </w:p>
    <w:p w14:paraId="0A98076F" w14:textId="77777777" w:rsidR="005E43F7" w:rsidRPr="003E0CF1" w:rsidRDefault="005E43F7" w:rsidP="00F9519E">
      <w:pPr>
        <w:pStyle w:val="ListParagraph"/>
        <w:numPr>
          <w:ilvl w:val="0"/>
          <w:numId w:val="2"/>
        </w:numPr>
        <w:jc w:val="both"/>
        <w:rPr>
          <w:rFonts w:ascii="Times New Roman" w:hAnsi="Times New Roman" w:cs="Times New Roman"/>
          <w:sz w:val="24"/>
          <w:szCs w:val="24"/>
        </w:rPr>
      </w:pPr>
      <w:proofErr w:type="spellStart"/>
      <w:r>
        <w:rPr>
          <w:rFonts w:ascii="Times New Roman" w:hAnsi="Times New Roman" w:cs="Times New Roman"/>
          <w:sz w:val="24"/>
          <w:szCs w:val="24"/>
          <w:shd w:val="clear" w:color="auto" w:fill="FFFFFF"/>
        </w:rPr>
        <w:t>Bekrine</w:t>
      </w:r>
      <w:proofErr w:type="spellEnd"/>
      <w:r>
        <w:rPr>
          <w:rFonts w:ascii="Times New Roman" w:hAnsi="Times New Roman" w:cs="Times New Roman"/>
          <w:sz w:val="24"/>
          <w:szCs w:val="24"/>
          <w:shd w:val="clear" w:color="auto" w:fill="FFFFFF"/>
        </w:rPr>
        <w:t xml:space="preserve">, I., </w:t>
      </w:r>
      <w:proofErr w:type="spellStart"/>
      <w:r>
        <w:rPr>
          <w:rFonts w:ascii="Times New Roman" w:hAnsi="Times New Roman" w:cs="Times New Roman"/>
          <w:sz w:val="24"/>
          <w:szCs w:val="24"/>
          <w:shd w:val="clear" w:color="auto" w:fill="FFFFFF"/>
        </w:rPr>
        <w:t>Hilloulin</w:t>
      </w:r>
      <w:proofErr w:type="spellEnd"/>
      <w:r>
        <w:rPr>
          <w:rFonts w:ascii="Times New Roman" w:hAnsi="Times New Roman" w:cs="Times New Roman"/>
          <w:sz w:val="24"/>
          <w:szCs w:val="24"/>
          <w:shd w:val="clear" w:color="auto" w:fill="FFFFFF"/>
        </w:rPr>
        <w:t>, B. and Loukili, A., 2023. Multiscale investigation of cement pastes with low and high-grade calcined clays and slag at early and advanced ages. </w:t>
      </w:r>
      <w:r>
        <w:rPr>
          <w:rFonts w:ascii="Times New Roman" w:hAnsi="Times New Roman" w:cs="Times New Roman"/>
          <w:i/>
          <w:iCs/>
          <w:sz w:val="24"/>
          <w:szCs w:val="24"/>
          <w:shd w:val="clear" w:color="auto" w:fill="FFFFFF"/>
        </w:rPr>
        <w:t>Journal of Building Engineering</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78</w:t>
      </w:r>
      <w:r>
        <w:rPr>
          <w:rFonts w:ascii="Times New Roman" w:hAnsi="Times New Roman" w:cs="Times New Roman"/>
          <w:sz w:val="24"/>
          <w:szCs w:val="24"/>
          <w:shd w:val="clear" w:color="auto" w:fill="FFFFFF"/>
        </w:rPr>
        <w:t>, p.107570.</w:t>
      </w:r>
    </w:p>
    <w:p w14:paraId="0561EFCA" w14:textId="77777777" w:rsidR="005E43F7" w:rsidRPr="003E0CF1" w:rsidRDefault="005E43F7" w:rsidP="00F9519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shd w:val="clear" w:color="auto" w:fill="FFFFFF"/>
        </w:rPr>
        <w:t>Wu, J., Liu, S., Deng, Y., Zhang, G. and Zhan, L., 2022. Microscopic phase identification of cement-stabilized clay by nanoindentation and statistical analytics. </w:t>
      </w:r>
      <w:r>
        <w:rPr>
          <w:rFonts w:ascii="Times New Roman" w:hAnsi="Times New Roman" w:cs="Times New Roman"/>
          <w:i/>
          <w:iCs/>
          <w:sz w:val="24"/>
          <w:szCs w:val="24"/>
          <w:shd w:val="clear" w:color="auto" w:fill="FFFFFF"/>
        </w:rPr>
        <w:t>Applied Clay Science</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224</w:t>
      </w:r>
      <w:r>
        <w:rPr>
          <w:rFonts w:ascii="Times New Roman" w:hAnsi="Times New Roman" w:cs="Times New Roman"/>
          <w:sz w:val="24"/>
          <w:szCs w:val="24"/>
          <w:shd w:val="clear" w:color="auto" w:fill="FFFFFF"/>
        </w:rPr>
        <w:t>, p.106531.</w:t>
      </w:r>
    </w:p>
    <w:p w14:paraId="1938D048" w14:textId="77777777" w:rsidR="005E43F7" w:rsidRPr="003E0CF1" w:rsidRDefault="005E43F7" w:rsidP="00F9519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shd w:val="clear" w:color="auto" w:fill="FFFFFF"/>
        </w:rPr>
        <w:t>Gao, Y., Zhang, Y., Hu, C. and Li, Z., 2012. Nanomechanical properties of individual phases in cement mortar analyzed using nanoindentation coupled with scanning electron microscopy. </w:t>
      </w:r>
      <w:r>
        <w:rPr>
          <w:rFonts w:ascii="Times New Roman" w:hAnsi="Times New Roman" w:cs="Times New Roman"/>
          <w:i/>
          <w:iCs/>
          <w:sz w:val="24"/>
          <w:szCs w:val="24"/>
          <w:shd w:val="clear" w:color="auto" w:fill="FFFFFF"/>
        </w:rPr>
        <w:t>Journal of The Chinese Ceramic Society</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40</w:t>
      </w:r>
      <w:r>
        <w:rPr>
          <w:rFonts w:ascii="Times New Roman" w:hAnsi="Times New Roman" w:cs="Times New Roman"/>
          <w:sz w:val="24"/>
          <w:szCs w:val="24"/>
          <w:shd w:val="clear" w:color="auto" w:fill="FFFFFF"/>
        </w:rPr>
        <w:t>(11), pp.1559–1563.</w:t>
      </w:r>
    </w:p>
    <w:p w14:paraId="339B20F7" w14:textId="77777777" w:rsidR="005E43F7" w:rsidRPr="003E0CF1" w:rsidRDefault="005E43F7" w:rsidP="00F9519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shd w:val="clear" w:color="auto" w:fill="FFFFFF"/>
        </w:rPr>
        <w:t>Hu, C., 2015. Nanoindentation as a tool to measure and map mechanical properties of hardened cement pastes. </w:t>
      </w:r>
      <w:r>
        <w:rPr>
          <w:rFonts w:ascii="Times New Roman" w:hAnsi="Times New Roman" w:cs="Times New Roman"/>
          <w:i/>
          <w:iCs/>
          <w:sz w:val="24"/>
          <w:szCs w:val="24"/>
          <w:shd w:val="clear" w:color="auto" w:fill="FFFFFF"/>
        </w:rPr>
        <w:t>MRS Communications</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5</w:t>
      </w:r>
      <w:r>
        <w:rPr>
          <w:rFonts w:ascii="Times New Roman" w:hAnsi="Times New Roman" w:cs="Times New Roman"/>
          <w:sz w:val="24"/>
          <w:szCs w:val="24"/>
          <w:shd w:val="clear" w:color="auto" w:fill="FFFFFF"/>
        </w:rPr>
        <w:t>(1), pp.83-87.</w:t>
      </w:r>
    </w:p>
    <w:p w14:paraId="614C7028" w14:textId="77777777" w:rsidR="005E43F7" w:rsidRPr="003E0CF1" w:rsidRDefault="005E43F7" w:rsidP="00F9519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shd w:val="clear" w:color="auto" w:fill="FFFFFF"/>
        </w:rPr>
        <w:t xml:space="preserve">Zakira, U., Bajpayee, A., Pharr, M., Banerjee, S. and Birgisson, B., 2022. Grid nanoindentation on calcium </w:t>
      </w:r>
      <w:proofErr w:type="spellStart"/>
      <w:r>
        <w:rPr>
          <w:rFonts w:ascii="Times New Roman" w:hAnsi="Times New Roman" w:cs="Times New Roman"/>
          <w:sz w:val="24"/>
          <w:szCs w:val="24"/>
          <w:shd w:val="clear" w:color="auto" w:fill="FFFFFF"/>
        </w:rPr>
        <w:t>sulfoaluminate</w:t>
      </w:r>
      <w:proofErr w:type="spellEnd"/>
      <w:r>
        <w:rPr>
          <w:rFonts w:ascii="Times New Roman" w:hAnsi="Times New Roman" w:cs="Times New Roman"/>
          <w:sz w:val="24"/>
          <w:szCs w:val="24"/>
          <w:shd w:val="clear" w:color="auto" w:fill="FFFFFF"/>
        </w:rPr>
        <w:t xml:space="preserve"> (CSA)-Kaolinite pastes. </w:t>
      </w:r>
      <w:r>
        <w:rPr>
          <w:rFonts w:ascii="Times New Roman" w:hAnsi="Times New Roman" w:cs="Times New Roman"/>
          <w:i/>
          <w:iCs/>
          <w:sz w:val="24"/>
          <w:szCs w:val="24"/>
          <w:shd w:val="clear" w:color="auto" w:fill="FFFFFF"/>
        </w:rPr>
        <w:t>Construction and Building Materials</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335</w:t>
      </w:r>
      <w:r>
        <w:rPr>
          <w:rFonts w:ascii="Times New Roman" w:hAnsi="Times New Roman" w:cs="Times New Roman"/>
          <w:sz w:val="24"/>
          <w:szCs w:val="24"/>
          <w:shd w:val="clear" w:color="auto" w:fill="FFFFFF"/>
        </w:rPr>
        <w:t>, p.127523.</w:t>
      </w:r>
    </w:p>
    <w:p w14:paraId="4C7792DC" w14:textId="77777777" w:rsidR="005E43F7" w:rsidRPr="003E0CF1" w:rsidRDefault="005E43F7" w:rsidP="00F9519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shd w:val="clear" w:color="auto" w:fill="FFFFFF"/>
        </w:rPr>
        <w:t>Li, Y., Lu, Y., Liu, L., Luo, S., He, L., Deng, Y. and Zhang, G., 2022. Big data nanoindentation characterization of cross-scale mechanical properties of oilwell cement-elastomer composites. </w:t>
      </w:r>
      <w:r>
        <w:rPr>
          <w:rFonts w:ascii="Times New Roman" w:hAnsi="Times New Roman" w:cs="Times New Roman"/>
          <w:i/>
          <w:iCs/>
          <w:sz w:val="24"/>
          <w:szCs w:val="24"/>
          <w:shd w:val="clear" w:color="auto" w:fill="FFFFFF"/>
        </w:rPr>
        <w:t>Construction and Building Materials</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354</w:t>
      </w:r>
      <w:r>
        <w:rPr>
          <w:rFonts w:ascii="Times New Roman" w:hAnsi="Times New Roman" w:cs="Times New Roman"/>
          <w:sz w:val="24"/>
          <w:szCs w:val="24"/>
          <w:shd w:val="clear" w:color="auto" w:fill="FFFFFF"/>
        </w:rPr>
        <w:t>, p.129190.</w:t>
      </w:r>
    </w:p>
    <w:p w14:paraId="2249E414" w14:textId="77777777" w:rsidR="005E43F7" w:rsidRPr="003E0CF1" w:rsidRDefault="005E43F7" w:rsidP="00F9519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shd w:val="clear" w:color="auto" w:fill="FFFFFF"/>
        </w:rPr>
        <w:t>Liu, L., Li, Y., Wu, Y., Luo, S., Peng, J., Deng, Y. and Zhang, G., 2022. Strengthening mechanisms in cement-stabilized kaolinite revealed by cross-scale nanoindentation. </w:t>
      </w:r>
      <w:r>
        <w:rPr>
          <w:rFonts w:ascii="Times New Roman" w:hAnsi="Times New Roman" w:cs="Times New Roman"/>
          <w:i/>
          <w:iCs/>
          <w:sz w:val="24"/>
          <w:szCs w:val="24"/>
          <w:shd w:val="clear" w:color="auto" w:fill="FFFFFF"/>
        </w:rPr>
        <w:t xml:space="preserve">Acta </w:t>
      </w:r>
      <w:proofErr w:type="spellStart"/>
      <w:r>
        <w:rPr>
          <w:rFonts w:ascii="Times New Roman" w:hAnsi="Times New Roman" w:cs="Times New Roman"/>
          <w:i/>
          <w:iCs/>
          <w:sz w:val="24"/>
          <w:szCs w:val="24"/>
          <w:shd w:val="clear" w:color="auto" w:fill="FFFFFF"/>
        </w:rPr>
        <w:t>Geotechnica</w:t>
      </w:r>
      <w:proofErr w:type="spellEnd"/>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17</w:t>
      </w:r>
      <w:r>
        <w:rPr>
          <w:rFonts w:ascii="Times New Roman" w:hAnsi="Times New Roman" w:cs="Times New Roman"/>
          <w:sz w:val="24"/>
          <w:szCs w:val="24"/>
          <w:shd w:val="clear" w:color="auto" w:fill="FFFFFF"/>
        </w:rPr>
        <w:t>(11), pp.5113-5132.</w:t>
      </w:r>
    </w:p>
    <w:p w14:paraId="07BFAB29" w14:textId="77777777" w:rsidR="005E43F7" w:rsidRPr="003E0CF1" w:rsidRDefault="005E43F7" w:rsidP="00F9519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shd w:val="clear" w:color="auto" w:fill="FFFFFF"/>
        </w:rPr>
        <w:lastRenderedPageBreak/>
        <w:t>Huang, X., Guan, P., Zhang, L., Shu, B., Pu, S. and Wu, J., 2025. Multiscale characterization of the interactions between hydration products and clay minerals. </w:t>
      </w:r>
      <w:r>
        <w:rPr>
          <w:rFonts w:ascii="Times New Roman" w:hAnsi="Times New Roman" w:cs="Times New Roman"/>
          <w:i/>
          <w:iCs/>
          <w:sz w:val="24"/>
          <w:szCs w:val="24"/>
          <w:shd w:val="clear" w:color="auto" w:fill="FFFFFF"/>
        </w:rPr>
        <w:t>Construction and Building Materials</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498</w:t>
      </w:r>
      <w:r>
        <w:rPr>
          <w:rFonts w:ascii="Times New Roman" w:hAnsi="Times New Roman" w:cs="Times New Roman"/>
          <w:sz w:val="24"/>
          <w:szCs w:val="24"/>
          <w:shd w:val="clear" w:color="auto" w:fill="FFFFFF"/>
        </w:rPr>
        <w:t>, p.143958.</w:t>
      </w:r>
    </w:p>
    <w:p w14:paraId="5F15F9D7" w14:textId="77777777" w:rsidR="005E43F7" w:rsidRPr="003E0CF1" w:rsidRDefault="005E43F7" w:rsidP="00F9519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shd w:val="clear" w:color="auto" w:fill="FFFFFF"/>
        </w:rPr>
        <w:t>Hu, C. and Li, Z., 2015. A review on the mechanical properties of cement-based materials measured by nanoindentation. </w:t>
      </w:r>
      <w:r>
        <w:rPr>
          <w:rFonts w:ascii="Times New Roman" w:hAnsi="Times New Roman" w:cs="Times New Roman"/>
          <w:i/>
          <w:iCs/>
          <w:sz w:val="24"/>
          <w:szCs w:val="24"/>
          <w:shd w:val="clear" w:color="auto" w:fill="FFFFFF"/>
        </w:rPr>
        <w:t>Construction and Building Materials</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90</w:t>
      </w:r>
      <w:r>
        <w:rPr>
          <w:rFonts w:ascii="Times New Roman" w:hAnsi="Times New Roman" w:cs="Times New Roman"/>
          <w:sz w:val="24"/>
          <w:szCs w:val="24"/>
          <w:shd w:val="clear" w:color="auto" w:fill="FFFFFF"/>
        </w:rPr>
        <w:t>, pp.80-90.</w:t>
      </w:r>
    </w:p>
    <w:p w14:paraId="691EA4EA" w14:textId="77777777" w:rsidR="005E43F7" w:rsidRPr="003E0CF1" w:rsidRDefault="005E43F7" w:rsidP="00F9519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shd w:val="clear" w:color="auto" w:fill="FFFFFF"/>
        </w:rPr>
        <w:t xml:space="preserve">Gautham, S. and </w:t>
      </w:r>
      <w:proofErr w:type="spellStart"/>
      <w:r>
        <w:rPr>
          <w:rFonts w:ascii="Times New Roman" w:hAnsi="Times New Roman" w:cs="Times New Roman"/>
          <w:sz w:val="24"/>
          <w:szCs w:val="24"/>
          <w:shd w:val="clear" w:color="auto" w:fill="FFFFFF"/>
        </w:rPr>
        <w:t>Sasmal</w:t>
      </w:r>
      <w:proofErr w:type="spellEnd"/>
      <w:r>
        <w:rPr>
          <w:rFonts w:ascii="Times New Roman" w:hAnsi="Times New Roman" w:cs="Times New Roman"/>
          <w:sz w:val="24"/>
          <w:szCs w:val="24"/>
          <w:shd w:val="clear" w:color="auto" w:fill="FFFFFF"/>
        </w:rPr>
        <w:t>, S., 2023. Constitutive relations of nanoscale hydration products present in engineered cementitious composites from machine learning assisted experimental nanoindentation. </w:t>
      </w:r>
      <w:r>
        <w:rPr>
          <w:rFonts w:ascii="Times New Roman" w:hAnsi="Times New Roman" w:cs="Times New Roman"/>
          <w:i/>
          <w:iCs/>
          <w:sz w:val="24"/>
          <w:szCs w:val="24"/>
          <w:shd w:val="clear" w:color="auto" w:fill="FFFFFF"/>
        </w:rPr>
        <w:t>Journal of Building Engineering</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75</w:t>
      </w:r>
      <w:r>
        <w:rPr>
          <w:rFonts w:ascii="Times New Roman" w:hAnsi="Times New Roman" w:cs="Times New Roman"/>
          <w:sz w:val="24"/>
          <w:szCs w:val="24"/>
          <w:shd w:val="clear" w:color="auto" w:fill="FFFFFF"/>
        </w:rPr>
        <w:t>, p.106912.</w:t>
      </w:r>
    </w:p>
    <w:p w14:paraId="57A98FDB" w14:textId="77777777" w:rsidR="005E43F7" w:rsidRPr="003E0CF1" w:rsidRDefault="005E43F7" w:rsidP="00F9519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shd w:val="clear" w:color="auto" w:fill="FFFFFF"/>
        </w:rPr>
        <w:t xml:space="preserve">He, Z.H., Han, X.D., Shi, J.Y., Aslani, F., </w:t>
      </w:r>
      <w:proofErr w:type="spellStart"/>
      <w:r>
        <w:rPr>
          <w:rFonts w:ascii="Times New Roman" w:hAnsi="Times New Roman" w:cs="Times New Roman"/>
          <w:sz w:val="24"/>
          <w:szCs w:val="24"/>
          <w:shd w:val="clear" w:color="auto" w:fill="FFFFFF"/>
        </w:rPr>
        <w:t>Gencel</w:t>
      </w:r>
      <w:proofErr w:type="spellEnd"/>
      <w:r>
        <w:rPr>
          <w:rFonts w:ascii="Times New Roman" w:hAnsi="Times New Roman" w:cs="Times New Roman"/>
          <w:sz w:val="24"/>
          <w:szCs w:val="24"/>
          <w:shd w:val="clear" w:color="auto" w:fill="FFFFFF"/>
        </w:rPr>
        <w:t>, O. and Du, S.G., 2022. Multi-scale characteristics of eco-friendly marine binder using coral waste. </w:t>
      </w:r>
      <w:r>
        <w:rPr>
          <w:rFonts w:ascii="Times New Roman" w:hAnsi="Times New Roman" w:cs="Times New Roman"/>
          <w:i/>
          <w:iCs/>
          <w:sz w:val="24"/>
          <w:szCs w:val="24"/>
          <w:shd w:val="clear" w:color="auto" w:fill="FFFFFF"/>
        </w:rPr>
        <w:t>Powder Technology</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403</w:t>
      </w:r>
      <w:r>
        <w:rPr>
          <w:rFonts w:ascii="Times New Roman" w:hAnsi="Times New Roman" w:cs="Times New Roman"/>
          <w:sz w:val="24"/>
          <w:szCs w:val="24"/>
          <w:shd w:val="clear" w:color="auto" w:fill="FFFFFF"/>
        </w:rPr>
        <w:t>, p.117395.</w:t>
      </w:r>
    </w:p>
    <w:p w14:paraId="1F009F26" w14:textId="77777777" w:rsidR="005E43F7" w:rsidRPr="003E0CF1" w:rsidRDefault="005E43F7" w:rsidP="00F9519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shd w:val="clear" w:color="auto" w:fill="FFFFFF"/>
        </w:rPr>
        <w:t>Hu, C. and Li, Z., 2015. Property investigation of individual phases in cementitious composites containing silica fume and fly ash. </w:t>
      </w:r>
      <w:r>
        <w:rPr>
          <w:rFonts w:ascii="Times New Roman" w:hAnsi="Times New Roman" w:cs="Times New Roman"/>
          <w:i/>
          <w:iCs/>
          <w:sz w:val="24"/>
          <w:szCs w:val="24"/>
          <w:shd w:val="clear" w:color="auto" w:fill="FFFFFF"/>
        </w:rPr>
        <w:t>Cement and Concrete Composites</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57</w:t>
      </w:r>
      <w:r>
        <w:rPr>
          <w:rFonts w:ascii="Times New Roman" w:hAnsi="Times New Roman" w:cs="Times New Roman"/>
          <w:sz w:val="24"/>
          <w:szCs w:val="24"/>
          <w:shd w:val="clear" w:color="auto" w:fill="FFFFFF"/>
        </w:rPr>
        <w:t>, pp.17-26.</w:t>
      </w:r>
    </w:p>
    <w:p w14:paraId="75E63F6E" w14:textId="77777777" w:rsidR="005E43F7" w:rsidRPr="003E0CF1" w:rsidRDefault="005E43F7" w:rsidP="00F9519E">
      <w:pPr>
        <w:pStyle w:val="ListParagraph"/>
        <w:numPr>
          <w:ilvl w:val="0"/>
          <w:numId w:val="2"/>
        </w:numPr>
        <w:jc w:val="both"/>
        <w:rPr>
          <w:rFonts w:ascii="Times New Roman" w:hAnsi="Times New Roman" w:cs="Times New Roman"/>
          <w:sz w:val="24"/>
          <w:szCs w:val="24"/>
        </w:rPr>
      </w:pPr>
      <w:proofErr w:type="spellStart"/>
      <w:r>
        <w:rPr>
          <w:rFonts w:ascii="Times New Roman" w:hAnsi="Times New Roman" w:cs="Times New Roman"/>
          <w:sz w:val="24"/>
          <w:szCs w:val="24"/>
          <w:shd w:val="clear" w:color="auto" w:fill="FFFFFF"/>
        </w:rPr>
        <w:t>Vafaeenezhad</w:t>
      </w:r>
      <w:proofErr w:type="spellEnd"/>
      <w:r>
        <w:rPr>
          <w:rFonts w:ascii="Times New Roman" w:hAnsi="Times New Roman" w:cs="Times New Roman"/>
          <w:sz w:val="24"/>
          <w:szCs w:val="24"/>
          <w:shd w:val="clear" w:color="auto" w:fill="FFFFFF"/>
        </w:rPr>
        <w:t>, H. and Eslami-</w:t>
      </w:r>
      <w:proofErr w:type="spellStart"/>
      <w:r>
        <w:rPr>
          <w:rFonts w:ascii="Times New Roman" w:hAnsi="Times New Roman" w:cs="Times New Roman"/>
          <w:sz w:val="24"/>
          <w:szCs w:val="24"/>
          <w:shd w:val="clear" w:color="auto" w:fill="FFFFFF"/>
        </w:rPr>
        <w:t>Farsani</w:t>
      </w:r>
      <w:proofErr w:type="spellEnd"/>
      <w:r>
        <w:rPr>
          <w:rFonts w:ascii="Times New Roman" w:hAnsi="Times New Roman" w:cs="Times New Roman"/>
          <w:sz w:val="24"/>
          <w:szCs w:val="24"/>
          <w:shd w:val="clear" w:color="auto" w:fill="FFFFFF"/>
        </w:rPr>
        <w:t>, R., 2026. Computational Modeling, Challenges, and Future Directions of Self-Healing Basalt Fiber Composites. </w:t>
      </w:r>
      <w:r>
        <w:rPr>
          <w:rFonts w:ascii="Times New Roman" w:hAnsi="Times New Roman" w:cs="Times New Roman"/>
          <w:i/>
          <w:iCs/>
          <w:sz w:val="24"/>
          <w:szCs w:val="24"/>
          <w:shd w:val="clear" w:color="auto" w:fill="FFFFFF"/>
        </w:rPr>
        <w:t>Advances in Basalt Fibers and Their Composites</w:t>
      </w:r>
      <w:r>
        <w:rPr>
          <w:rFonts w:ascii="Times New Roman" w:hAnsi="Times New Roman" w:cs="Times New Roman"/>
          <w:sz w:val="24"/>
          <w:szCs w:val="24"/>
          <w:shd w:val="clear" w:color="auto" w:fill="FFFFFF"/>
        </w:rPr>
        <w:t>, pp.205-242.</w:t>
      </w:r>
    </w:p>
    <w:p w14:paraId="1D1C5BDE" w14:textId="77777777" w:rsidR="005E43F7" w:rsidRPr="003E0CF1" w:rsidRDefault="005E43F7" w:rsidP="00F9519E">
      <w:pPr>
        <w:pStyle w:val="ListParagraph"/>
        <w:numPr>
          <w:ilvl w:val="0"/>
          <w:numId w:val="2"/>
        </w:numPr>
        <w:jc w:val="both"/>
        <w:rPr>
          <w:rFonts w:ascii="Times New Roman" w:hAnsi="Times New Roman" w:cs="Times New Roman"/>
          <w:sz w:val="24"/>
          <w:szCs w:val="24"/>
        </w:rPr>
      </w:pPr>
      <w:proofErr w:type="spellStart"/>
      <w:r>
        <w:rPr>
          <w:rFonts w:ascii="Times New Roman" w:hAnsi="Times New Roman" w:cs="Times New Roman"/>
          <w:sz w:val="24"/>
          <w:szCs w:val="24"/>
        </w:rPr>
        <w:t>Krzywanski</w:t>
      </w:r>
      <w:proofErr w:type="spellEnd"/>
      <w:r>
        <w:rPr>
          <w:rFonts w:ascii="Times New Roman" w:hAnsi="Times New Roman" w:cs="Times New Roman"/>
          <w:sz w:val="24"/>
          <w:szCs w:val="24"/>
        </w:rPr>
        <w:t>, J., Sosnowski, M., Grabowska, K., Zylka, A., Lasek, L. and Kijo-</w:t>
      </w:r>
      <w:proofErr w:type="spellStart"/>
      <w:r>
        <w:rPr>
          <w:rFonts w:ascii="Times New Roman" w:hAnsi="Times New Roman" w:cs="Times New Roman"/>
          <w:sz w:val="24"/>
          <w:szCs w:val="24"/>
        </w:rPr>
        <w:t>Kleczkowska</w:t>
      </w:r>
      <w:proofErr w:type="spellEnd"/>
      <w:r>
        <w:rPr>
          <w:rFonts w:ascii="Times New Roman" w:hAnsi="Times New Roman" w:cs="Times New Roman"/>
          <w:sz w:val="24"/>
          <w:szCs w:val="24"/>
        </w:rPr>
        <w:t xml:space="preserve">, A., 2024. Advanced computational methods for modeling, prediction and </w:t>
      </w:r>
      <w:proofErr w:type="spellStart"/>
      <w:r>
        <w:rPr>
          <w:rFonts w:ascii="Times New Roman" w:hAnsi="Times New Roman" w:cs="Times New Roman"/>
          <w:sz w:val="24"/>
          <w:szCs w:val="24"/>
          <w:highlight w:val="yellow"/>
        </w:rPr>
        <w:t>optimisation</w:t>
      </w:r>
      <w:proofErr w:type="spellEnd"/>
      <w:r>
        <w:rPr>
          <w:rFonts w:ascii="Times New Roman" w:hAnsi="Times New Roman" w:cs="Times New Roman"/>
          <w:sz w:val="24"/>
          <w:szCs w:val="24"/>
        </w:rPr>
        <w:t xml:space="preserve"> review. </w:t>
      </w:r>
      <w:r>
        <w:rPr>
          <w:rFonts w:ascii="Times New Roman" w:hAnsi="Times New Roman" w:cs="Times New Roman"/>
          <w:i/>
          <w:iCs/>
          <w:sz w:val="24"/>
          <w:szCs w:val="24"/>
        </w:rPr>
        <w:t>Materials</w:t>
      </w:r>
      <w:r>
        <w:rPr>
          <w:rFonts w:ascii="Times New Roman" w:hAnsi="Times New Roman" w:cs="Times New Roman"/>
          <w:sz w:val="24"/>
          <w:szCs w:val="24"/>
        </w:rPr>
        <w:t xml:space="preserve">, </w:t>
      </w:r>
      <w:r>
        <w:rPr>
          <w:rFonts w:ascii="Times New Roman" w:hAnsi="Times New Roman" w:cs="Times New Roman"/>
          <w:i/>
          <w:iCs/>
          <w:sz w:val="24"/>
          <w:szCs w:val="24"/>
        </w:rPr>
        <w:t>17</w:t>
      </w:r>
      <w:r>
        <w:rPr>
          <w:rFonts w:ascii="Times New Roman" w:hAnsi="Times New Roman" w:cs="Times New Roman"/>
          <w:sz w:val="24"/>
          <w:szCs w:val="24"/>
        </w:rPr>
        <w:t>(14), p.3521.</w:t>
      </w:r>
    </w:p>
    <w:p w14:paraId="63FD25B1" w14:textId="77777777" w:rsidR="005E43F7" w:rsidRPr="003E0CF1" w:rsidRDefault="005E43F7" w:rsidP="00F9519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shd w:val="clear" w:color="auto" w:fill="FFFFFF"/>
        </w:rPr>
        <w:t xml:space="preserve">Baten, B., Iqbal, M.A., Ament, S., Kusuma, J. and Garg, N., 2026. </w:t>
      </w:r>
      <w:proofErr w:type="spellStart"/>
      <w:r>
        <w:rPr>
          <w:rFonts w:ascii="Times New Roman" w:hAnsi="Times New Roman" w:cs="Times New Roman"/>
          <w:sz w:val="24"/>
          <w:szCs w:val="24"/>
          <w:shd w:val="clear" w:color="auto" w:fill="FFFFFF"/>
        </w:rPr>
        <w:t>BOxCrete</w:t>
      </w:r>
      <w:proofErr w:type="spellEnd"/>
      <w:r>
        <w:rPr>
          <w:rFonts w:ascii="Times New Roman" w:hAnsi="Times New Roman" w:cs="Times New Roman"/>
          <w:sz w:val="24"/>
          <w:szCs w:val="24"/>
          <w:shd w:val="clear" w:color="auto" w:fill="FFFFFF"/>
        </w:rPr>
        <w:t>: A Bayesian Optimization Open-Source AI Model for Concrete Strength Forecasting and Mix Optimization. </w:t>
      </w:r>
      <w:proofErr w:type="spellStart"/>
      <w:r>
        <w:rPr>
          <w:rFonts w:ascii="Times New Roman" w:hAnsi="Times New Roman" w:cs="Times New Roman"/>
          <w:i/>
          <w:iCs/>
          <w:sz w:val="24"/>
          <w:szCs w:val="24"/>
          <w:shd w:val="clear" w:color="auto" w:fill="FFFFFF"/>
        </w:rPr>
        <w:t>arXiv</w:t>
      </w:r>
      <w:proofErr w:type="spellEnd"/>
      <w:r>
        <w:rPr>
          <w:rFonts w:ascii="Times New Roman" w:hAnsi="Times New Roman" w:cs="Times New Roman"/>
          <w:i/>
          <w:iCs/>
          <w:sz w:val="24"/>
          <w:szCs w:val="24"/>
          <w:shd w:val="clear" w:color="auto" w:fill="FFFFFF"/>
        </w:rPr>
        <w:t xml:space="preserve"> preprint arXiv:2603.21525</w:t>
      </w:r>
      <w:r>
        <w:rPr>
          <w:rFonts w:ascii="Times New Roman" w:hAnsi="Times New Roman" w:cs="Times New Roman"/>
          <w:sz w:val="24"/>
          <w:szCs w:val="24"/>
          <w:shd w:val="clear" w:color="auto" w:fill="FFFFFF"/>
        </w:rPr>
        <w:t>.</w:t>
      </w:r>
    </w:p>
    <w:p w14:paraId="019BF389" w14:textId="77777777" w:rsidR="000F63F4" w:rsidRPr="003E0CF1" w:rsidRDefault="000F63F4" w:rsidP="00F9519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Chauhan, R.G.S., Mothe, Y. and Gupta, C., 2026. AI-augmented multi-objective structural </w:t>
      </w:r>
      <w:proofErr w:type="spellStart"/>
      <w:r>
        <w:rPr>
          <w:rFonts w:ascii="Times New Roman" w:hAnsi="Times New Roman" w:cs="Times New Roman"/>
          <w:sz w:val="24"/>
          <w:szCs w:val="24"/>
          <w:highlight w:val="yellow"/>
        </w:rPr>
        <w:t>optimisation</w:t>
      </w:r>
      <w:proofErr w:type="spellEnd"/>
      <w:r>
        <w:rPr>
          <w:rFonts w:ascii="Times New Roman" w:hAnsi="Times New Roman" w:cs="Times New Roman"/>
          <w:sz w:val="24"/>
          <w:szCs w:val="24"/>
        </w:rPr>
        <w:t xml:space="preserve"> and statistical evaluation of flat slab systems with and without shear walls in high-rise RCC buildings under seismic loads. </w:t>
      </w:r>
      <w:r>
        <w:rPr>
          <w:rFonts w:ascii="Times New Roman" w:hAnsi="Times New Roman" w:cs="Times New Roman"/>
          <w:i/>
          <w:iCs/>
          <w:sz w:val="24"/>
          <w:szCs w:val="24"/>
        </w:rPr>
        <w:t>Asian Journal of Civil Engineering</w:t>
      </w:r>
      <w:r>
        <w:rPr>
          <w:rFonts w:ascii="Times New Roman" w:hAnsi="Times New Roman" w:cs="Times New Roman"/>
          <w:sz w:val="24"/>
          <w:szCs w:val="24"/>
        </w:rPr>
        <w:t>, pp.1–22.</w:t>
      </w:r>
    </w:p>
    <w:p w14:paraId="56DA8863" w14:textId="77777777" w:rsidR="000F63F4" w:rsidRPr="003E0CF1" w:rsidRDefault="000F63F4" w:rsidP="00F9519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shd w:val="clear" w:color="auto" w:fill="FFFFFF"/>
        </w:rPr>
        <w:t xml:space="preserve">Hamzah, M.K., El Shafie, H. and </w:t>
      </w:r>
      <w:proofErr w:type="spellStart"/>
      <w:r>
        <w:rPr>
          <w:rFonts w:ascii="Times New Roman" w:hAnsi="Times New Roman" w:cs="Times New Roman"/>
          <w:sz w:val="24"/>
          <w:szCs w:val="24"/>
          <w:shd w:val="clear" w:color="auto" w:fill="FFFFFF"/>
        </w:rPr>
        <w:t>Althobaiti</w:t>
      </w:r>
      <w:proofErr w:type="spellEnd"/>
      <w:r>
        <w:rPr>
          <w:rFonts w:ascii="Times New Roman" w:hAnsi="Times New Roman" w:cs="Times New Roman"/>
          <w:sz w:val="24"/>
          <w:szCs w:val="24"/>
          <w:shd w:val="clear" w:color="auto" w:fill="FFFFFF"/>
        </w:rPr>
        <w:t>, M., 2026. Artificial Intelligence for Energy Optimization in Educational Buildings in Saudi Arabia: A Systematic Review of Design Variables and Decision-Support Approaches in Hot-Arid Climates. </w:t>
      </w:r>
      <w:r>
        <w:rPr>
          <w:rFonts w:ascii="Times New Roman" w:hAnsi="Times New Roman" w:cs="Times New Roman"/>
          <w:i/>
          <w:iCs/>
          <w:sz w:val="24"/>
          <w:szCs w:val="24"/>
          <w:shd w:val="clear" w:color="auto" w:fill="FFFFFF"/>
        </w:rPr>
        <w:t>Sustainability</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18</w:t>
      </w:r>
      <w:r>
        <w:rPr>
          <w:rFonts w:ascii="Times New Roman" w:hAnsi="Times New Roman" w:cs="Times New Roman"/>
          <w:sz w:val="24"/>
          <w:szCs w:val="24"/>
          <w:shd w:val="clear" w:color="auto" w:fill="FFFFFF"/>
        </w:rPr>
        <w:t>(10), p.5067.</w:t>
      </w:r>
    </w:p>
    <w:p w14:paraId="18AF31F5" w14:textId="77777777" w:rsidR="000F63F4" w:rsidRPr="003E0CF1" w:rsidRDefault="000F63F4" w:rsidP="00F9519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shd w:val="clear" w:color="auto" w:fill="FFFFFF"/>
        </w:rPr>
        <w:t>Wang, X.Q., Chen, P., Chow, C.L. and Lau, D., 2023. Artificial-intelligence-led revolution of construction materials: From molecules to Industry 4.0. </w:t>
      </w:r>
      <w:r>
        <w:rPr>
          <w:rFonts w:ascii="Times New Roman" w:hAnsi="Times New Roman" w:cs="Times New Roman"/>
          <w:i/>
          <w:iCs/>
          <w:sz w:val="24"/>
          <w:szCs w:val="24"/>
          <w:shd w:val="clear" w:color="auto" w:fill="FFFFFF"/>
        </w:rPr>
        <w:t>Matter</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6</w:t>
      </w:r>
      <w:r>
        <w:rPr>
          <w:rFonts w:ascii="Times New Roman" w:hAnsi="Times New Roman" w:cs="Times New Roman"/>
          <w:sz w:val="24"/>
          <w:szCs w:val="24"/>
          <w:shd w:val="clear" w:color="auto" w:fill="FFFFFF"/>
        </w:rPr>
        <w:t>(6), pp.1831-1859.</w:t>
      </w:r>
    </w:p>
    <w:p w14:paraId="141C49D7" w14:textId="77777777" w:rsidR="000F63F4" w:rsidRPr="003E0CF1" w:rsidRDefault="000F63F4" w:rsidP="00F9519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shd w:val="clear" w:color="auto" w:fill="FFFFFF"/>
        </w:rPr>
        <w:t>Xu, T., Wei, T., Ge, Y., Peng, B., Li, Y., Wang, M., Wen, P., Yang, C. and Wei, Y., 2026. Sustainable Materials Design With Multi‐Modal Artificial Intelligence. </w:t>
      </w:r>
      <w:r>
        <w:rPr>
          <w:rFonts w:ascii="Times New Roman" w:hAnsi="Times New Roman" w:cs="Times New Roman"/>
          <w:i/>
          <w:iCs/>
          <w:sz w:val="24"/>
          <w:szCs w:val="24"/>
          <w:shd w:val="clear" w:color="auto" w:fill="FFFFFF"/>
        </w:rPr>
        <w:t>Advanced Science</w:t>
      </w:r>
      <w:r>
        <w:rPr>
          <w:rFonts w:ascii="Times New Roman" w:hAnsi="Times New Roman" w:cs="Times New Roman"/>
          <w:sz w:val="24"/>
          <w:szCs w:val="24"/>
          <w:shd w:val="clear" w:color="auto" w:fill="FFFFFF"/>
        </w:rPr>
        <w:t>, p.e24273.</w:t>
      </w:r>
    </w:p>
    <w:p w14:paraId="1C497BAC" w14:textId="77777777" w:rsidR="00B06580" w:rsidRPr="003E0CF1" w:rsidRDefault="00000000" w:rsidP="00F9519E">
      <w:pPr>
        <w:pStyle w:val="ListParagraph"/>
        <w:numPr>
          <w:ilvl w:val="0"/>
          <w:numId w:val="2"/>
        </w:numPr>
        <w:jc w:val="both"/>
        <w:rPr>
          <w:rFonts w:ascii="Times New Roman" w:hAnsi="Times New Roman" w:cs="Times New Roman"/>
          <w:sz w:val="24"/>
          <w:szCs w:val="24"/>
        </w:rPr>
      </w:pPr>
      <w:proofErr w:type="spellStart"/>
      <w:r>
        <w:rPr>
          <w:rFonts w:ascii="Times New Roman" w:hAnsi="Times New Roman" w:cs="Times New Roman"/>
          <w:sz w:val="24"/>
          <w:szCs w:val="24"/>
          <w:highlight w:val="green"/>
        </w:rPr>
        <w:t>Ryshkewitch</w:t>
      </w:r>
      <w:proofErr w:type="spellEnd"/>
      <w:r>
        <w:rPr>
          <w:rFonts w:ascii="Times New Roman" w:hAnsi="Times New Roman" w:cs="Times New Roman"/>
          <w:sz w:val="24"/>
          <w:szCs w:val="24"/>
          <w:highlight w:val="green"/>
        </w:rPr>
        <w:t xml:space="preserve">, E., 1953. Compression strength of porous sintered alumina and zirconia. </w:t>
      </w:r>
      <w:r>
        <w:rPr>
          <w:rFonts w:ascii="Times New Roman" w:hAnsi="Times New Roman" w:cs="Times New Roman"/>
          <w:i/>
          <w:iCs/>
          <w:sz w:val="24"/>
          <w:szCs w:val="24"/>
          <w:highlight w:val="green"/>
        </w:rPr>
        <w:t>Journal of the American Ceramic Society</w:t>
      </w:r>
      <w:r>
        <w:rPr>
          <w:rFonts w:ascii="Times New Roman" w:hAnsi="Times New Roman" w:cs="Times New Roman"/>
          <w:sz w:val="24"/>
          <w:szCs w:val="24"/>
          <w:highlight w:val="green"/>
        </w:rPr>
        <w:t xml:space="preserve">, </w:t>
      </w:r>
      <w:r>
        <w:rPr>
          <w:rFonts w:ascii="Times New Roman" w:hAnsi="Times New Roman" w:cs="Times New Roman"/>
          <w:i/>
          <w:iCs/>
          <w:sz w:val="24"/>
          <w:szCs w:val="24"/>
          <w:highlight w:val="green"/>
        </w:rPr>
        <w:t>36</w:t>
      </w:r>
      <w:r>
        <w:rPr>
          <w:rFonts w:ascii="Times New Roman" w:hAnsi="Times New Roman" w:cs="Times New Roman"/>
          <w:sz w:val="24"/>
          <w:szCs w:val="24"/>
          <w:highlight w:val="green"/>
        </w:rPr>
        <w:t>(2), pp.65–68.</w:t>
      </w:r>
    </w:p>
    <w:p w14:paraId="4A1A42A9" w14:textId="77777777" w:rsidR="00B06580" w:rsidRPr="003E0CF1" w:rsidRDefault="00000000" w:rsidP="00F9519E">
      <w:pPr>
        <w:pStyle w:val="ListParagraph"/>
        <w:numPr>
          <w:ilvl w:val="0"/>
          <w:numId w:val="2"/>
        </w:numPr>
        <w:jc w:val="both"/>
        <w:rPr>
          <w:rFonts w:ascii="Times New Roman" w:hAnsi="Times New Roman" w:cs="Times New Roman"/>
          <w:sz w:val="24"/>
          <w:szCs w:val="24"/>
        </w:rPr>
      </w:pPr>
      <w:proofErr w:type="spellStart"/>
      <w:r>
        <w:rPr>
          <w:rFonts w:ascii="Times New Roman" w:hAnsi="Times New Roman" w:cs="Times New Roman"/>
          <w:sz w:val="24"/>
          <w:szCs w:val="24"/>
          <w:highlight w:val="green"/>
        </w:rPr>
        <w:t>Hillerborg</w:t>
      </w:r>
      <w:proofErr w:type="spellEnd"/>
      <w:r>
        <w:rPr>
          <w:rFonts w:ascii="Times New Roman" w:hAnsi="Times New Roman" w:cs="Times New Roman"/>
          <w:sz w:val="24"/>
          <w:szCs w:val="24"/>
          <w:highlight w:val="green"/>
        </w:rPr>
        <w:t xml:space="preserve">, A., </w:t>
      </w:r>
      <w:proofErr w:type="spellStart"/>
      <w:r>
        <w:rPr>
          <w:rFonts w:ascii="Times New Roman" w:hAnsi="Times New Roman" w:cs="Times New Roman"/>
          <w:sz w:val="24"/>
          <w:szCs w:val="24"/>
          <w:highlight w:val="green"/>
        </w:rPr>
        <w:t>Modéer</w:t>
      </w:r>
      <w:proofErr w:type="spellEnd"/>
      <w:r>
        <w:rPr>
          <w:rFonts w:ascii="Times New Roman" w:hAnsi="Times New Roman" w:cs="Times New Roman"/>
          <w:sz w:val="24"/>
          <w:szCs w:val="24"/>
          <w:highlight w:val="green"/>
        </w:rPr>
        <w:t xml:space="preserve">, M. and Petersson, P.-E., 1976. Analysis of crack formation and crack growth in concrete by means of fracture mechanics and finite elements. </w:t>
      </w:r>
      <w:r>
        <w:rPr>
          <w:rFonts w:ascii="Times New Roman" w:hAnsi="Times New Roman" w:cs="Times New Roman"/>
          <w:i/>
          <w:iCs/>
          <w:sz w:val="24"/>
          <w:szCs w:val="24"/>
          <w:highlight w:val="green"/>
        </w:rPr>
        <w:t>Cement and Concrete Research</w:t>
      </w:r>
      <w:r>
        <w:rPr>
          <w:rFonts w:ascii="Times New Roman" w:hAnsi="Times New Roman" w:cs="Times New Roman"/>
          <w:sz w:val="24"/>
          <w:szCs w:val="24"/>
          <w:highlight w:val="green"/>
        </w:rPr>
        <w:t xml:space="preserve">, </w:t>
      </w:r>
      <w:r>
        <w:rPr>
          <w:rFonts w:ascii="Times New Roman" w:hAnsi="Times New Roman" w:cs="Times New Roman"/>
          <w:i/>
          <w:iCs/>
          <w:sz w:val="24"/>
          <w:szCs w:val="24"/>
          <w:highlight w:val="green"/>
        </w:rPr>
        <w:t>6</w:t>
      </w:r>
      <w:r>
        <w:rPr>
          <w:rFonts w:ascii="Times New Roman" w:hAnsi="Times New Roman" w:cs="Times New Roman"/>
          <w:sz w:val="24"/>
          <w:szCs w:val="24"/>
          <w:highlight w:val="green"/>
        </w:rPr>
        <w:t>(6), pp.773–781.</w:t>
      </w:r>
    </w:p>
    <w:p w14:paraId="6C7C2AAE" w14:textId="77777777" w:rsidR="00B06580" w:rsidRPr="003E0CF1" w:rsidRDefault="00000000" w:rsidP="00F9519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highlight w:val="green"/>
        </w:rPr>
        <w:t xml:space="preserve">Kelly, A. and Tyson, W.R., 1965. Tensile properties of </w:t>
      </w:r>
      <w:proofErr w:type="spellStart"/>
      <w:r>
        <w:rPr>
          <w:rFonts w:ascii="Times New Roman" w:hAnsi="Times New Roman" w:cs="Times New Roman"/>
          <w:sz w:val="24"/>
          <w:szCs w:val="24"/>
          <w:highlight w:val="green"/>
        </w:rPr>
        <w:t>fibre</w:t>
      </w:r>
      <w:proofErr w:type="spellEnd"/>
      <w:r>
        <w:rPr>
          <w:rFonts w:ascii="Times New Roman" w:hAnsi="Times New Roman" w:cs="Times New Roman"/>
          <w:sz w:val="24"/>
          <w:szCs w:val="24"/>
          <w:highlight w:val="green"/>
        </w:rPr>
        <w:t xml:space="preserve">-reinforced metals: copper/tungsten and copper/molybdenum. </w:t>
      </w:r>
      <w:r>
        <w:rPr>
          <w:rFonts w:ascii="Times New Roman" w:hAnsi="Times New Roman" w:cs="Times New Roman"/>
          <w:i/>
          <w:iCs/>
          <w:sz w:val="24"/>
          <w:szCs w:val="24"/>
          <w:highlight w:val="green"/>
        </w:rPr>
        <w:t>Journal of the Mechanics and Physics of Solids</w:t>
      </w:r>
      <w:r>
        <w:rPr>
          <w:rFonts w:ascii="Times New Roman" w:hAnsi="Times New Roman" w:cs="Times New Roman"/>
          <w:sz w:val="24"/>
          <w:szCs w:val="24"/>
          <w:highlight w:val="green"/>
        </w:rPr>
        <w:t xml:space="preserve">, </w:t>
      </w:r>
      <w:r>
        <w:rPr>
          <w:rFonts w:ascii="Times New Roman" w:hAnsi="Times New Roman" w:cs="Times New Roman"/>
          <w:i/>
          <w:iCs/>
          <w:sz w:val="24"/>
          <w:szCs w:val="24"/>
          <w:highlight w:val="green"/>
        </w:rPr>
        <w:t>13</w:t>
      </w:r>
      <w:r>
        <w:rPr>
          <w:rFonts w:ascii="Times New Roman" w:hAnsi="Times New Roman" w:cs="Times New Roman"/>
          <w:sz w:val="24"/>
          <w:szCs w:val="24"/>
          <w:highlight w:val="green"/>
        </w:rPr>
        <w:t>(6), pp.329–350.</w:t>
      </w:r>
    </w:p>
    <w:p w14:paraId="727E3484" w14:textId="77777777" w:rsidR="00B06580" w:rsidRPr="003E0CF1" w:rsidRDefault="00000000" w:rsidP="00F9519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highlight w:val="green"/>
        </w:rPr>
        <w:t xml:space="preserve">Derringer, G. and Suich, R., 1980. Simultaneous optimization of several response variables. </w:t>
      </w:r>
      <w:r>
        <w:rPr>
          <w:rFonts w:ascii="Times New Roman" w:hAnsi="Times New Roman" w:cs="Times New Roman"/>
          <w:i/>
          <w:iCs/>
          <w:sz w:val="24"/>
          <w:szCs w:val="24"/>
          <w:highlight w:val="green"/>
        </w:rPr>
        <w:t>Journal of Quality Technology</w:t>
      </w:r>
      <w:r>
        <w:rPr>
          <w:rFonts w:ascii="Times New Roman" w:hAnsi="Times New Roman" w:cs="Times New Roman"/>
          <w:sz w:val="24"/>
          <w:szCs w:val="24"/>
          <w:highlight w:val="green"/>
        </w:rPr>
        <w:t xml:space="preserve">, </w:t>
      </w:r>
      <w:r>
        <w:rPr>
          <w:rFonts w:ascii="Times New Roman" w:hAnsi="Times New Roman" w:cs="Times New Roman"/>
          <w:i/>
          <w:iCs/>
          <w:sz w:val="24"/>
          <w:szCs w:val="24"/>
          <w:highlight w:val="green"/>
        </w:rPr>
        <w:t>12</w:t>
      </w:r>
      <w:r>
        <w:rPr>
          <w:rFonts w:ascii="Times New Roman" w:hAnsi="Times New Roman" w:cs="Times New Roman"/>
          <w:sz w:val="24"/>
          <w:szCs w:val="24"/>
          <w:highlight w:val="green"/>
        </w:rPr>
        <w:t>(4), pp.214–219.</w:t>
      </w:r>
    </w:p>
    <w:p w14:paraId="6EB1ADF4" w14:textId="77777777" w:rsidR="003A137B" w:rsidRPr="003E0CF1" w:rsidRDefault="00000000" w:rsidP="00F9519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Tukey, J.W., 1949. One degree of freedom for non-additivity. </w:t>
      </w:r>
      <w:r>
        <w:rPr>
          <w:rFonts w:ascii="Times New Roman" w:hAnsi="Times New Roman" w:cs="Times New Roman"/>
          <w:i/>
          <w:iCs/>
          <w:sz w:val="24"/>
          <w:szCs w:val="24"/>
        </w:rPr>
        <w:t>Biometrics</w:t>
      </w:r>
      <w:r>
        <w:rPr>
          <w:rFonts w:ascii="Times New Roman" w:hAnsi="Times New Roman" w:cs="Times New Roman"/>
          <w:sz w:val="24"/>
          <w:szCs w:val="24"/>
        </w:rPr>
        <w:t xml:space="preserve">, </w:t>
      </w:r>
      <w:r>
        <w:rPr>
          <w:rFonts w:ascii="Times New Roman" w:hAnsi="Times New Roman" w:cs="Times New Roman"/>
          <w:i/>
          <w:iCs/>
          <w:sz w:val="24"/>
          <w:szCs w:val="24"/>
        </w:rPr>
        <w:t>5</w:t>
      </w:r>
      <w:r>
        <w:rPr>
          <w:rFonts w:ascii="Times New Roman" w:hAnsi="Times New Roman" w:cs="Times New Roman"/>
          <w:sz w:val="24"/>
          <w:szCs w:val="24"/>
        </w:rPr>
        <w:t>(3), pp.232–242.</w:t>
      </w:r>
    </w:p>
    <w:p w14:paraId="316B492D" w14:textId="77777777" w:rsidR="003A137B" w:rsidRPr="003E0CF1" w:rsidRDefault="00000000" w:rsidP="00F9519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Friedman, M., 1937. The use of ranks to avoid the assumption of normality implicit in the analysis of variance. </w:t>
      </w:r>
      <w:r>
        <w:rPr>
          <w:rFonts w:ascii="Times New Roman" w:hAnsi="Times New Roman" w:cs="Times New Roman"/>
          <w:i/>
          <w:iCs/>
          <w:sz w:val="24"/>
          <w:szCs w:val="24"/>
        </w:rPr>
        <w:t>Journal of the American Statistical Association</w:t>
      </w:r>
      <w:r>
        <w:rPr>
          <w:rFonts w:ascii="Times New Roman" w:hAnsi="Times New Roman" w:cs="Times New Roman"/>
          <w:sz w:val="24"/>
          <w:szCs w:val="24"/>
        </w:rPr>
        <w:t xml:space="preserve">, </w:t>
      </w:r>
      <w:r>
        <w:rPr>
          <w:rFonts w:ascii="Times New Roman" w:hAnsi="Times New Roman" w:cs="Times New Roman"/>
          <w:i/>
          <w:iCs/>
          <w:sz w:val="24"/>
          <w:szCs w:val="24"/>
        </w:rPr>
        <w:t>32</w:t>
      </w:r>
      <w:r>
        <w:rPr>
          <w:rFonts w:ascii="Times New Roman" w:hAnsi="Times New Roman" w:cs="Times New Roman"/>
          <w:sz w:val="24"/>
          <w:szCs w:val="24"/>
        </w:rPr>
        <w:t>(200), pp.675–701.</w:t>
      </w:r>
    </w:p>
    <w:p w14:paraId="7BE30D99" w14:textId="77777777" w:rsidR="003A137B" w:rsidRPr="003E0CF1" w:rsidRDefault="00000000" w:rsidP="00F9519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Cohen, J., 1988. </w:t>
      </w:r>
      <w:r>
        <w:rPr>
          <w:rFonts w:ascii="Times New Roman" w:hAnsi="Times New Roman" w:cs="Times New Roman"/>
          <w:i/>
          <w:iCs/>
          <w:sz w:val="24"/>
          <w:szCs w:val="24"/>
        </w:rPr>
        <w:t>Statistical Power Analysis for the Behavioral Sciences</w:t>
      </w:r>
      <w:r>
        <w:rPr>
          <w:rFonts w:ascii="Times New Roman" w:hAnsi="Times New Roman" w:cs="Times New Roman"/>
          <w:sz w:val="24"/>
          <w:szCs w:val="24"/>
        </w:rPr>
        <w:t>. 2nd ed. Hillsdale, NJ: Lawrence Erlbaum Associates.</w:t>
      </w:r>
    </w:p>
    <w:p w14:paraId="508DA702" w14:textId="77777777" w:rsidR="003A137B" w:rsidRPr="003E0CF1" w:rsidRDefault="00000000" w:rsidP="00F9519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Montgomery, D.C., 2017. </w:t>
      </w:r>
      <w:r>
        <w:rPr>
          <w:rFonts w:ascii="Times New Roman" w:hAnsi="Times New Roman" w:cs="Times New Roman"/>
          <w:i/>
          <w:iCs/>
          <w:sz w:val="24"/>
          <w:szCs w:val="24"/>
        </w:rPr>
        <w:t>Design and Analysis of Experiments</w:t>
      </w:r>
      <w:r>
        <w:rPr>
          <w:rFonts w:ascii="Times New Roman" w:hAnsi="Times New Roman" w:cs="Times New Roman"/>
          <w:sz w:val="24"/>
          <w:szCs w:val="24"/>
        </w:rPr>
        <w:t>. 9th ed. Hoboken, NJ: Wiley.</w:t>
      </w:r>
    </w:p>
    <w:p w14:paraId="654CDE74" w14:textId="77777777" w:rsidR="005E43F7" w:rsidRPr="003E0CF1" w:rsidRDefault="005E43F7" w:rsidP="00F9519E">
      <w:pPr>
        <w:jc w:val="both"/>
        <w:rPr>
          <w:rFonts w:ascii="Times New Roman" w:hAnsi="Times New Roman" w:cs="Times New Roman"/>
          <w:sz w:val="24"/>
          <w:szCs w:val="24"/>
        </w:rPr>
      </w:pPr>
    </w:p>
    <w:p w14:paraId="50FEE31A" w14:textId="77777777" w:rsidR="00BE01B7" w:rsidRPr="003E0CF1" w:rsidRDefault="00BE01B7" w:rsidP="00F9519E">
      <w:pPr>
        <w:jc w:val="both"/>
        <w:rPr>
          <w:rFonts w:ascii="Times New Roman" w:hAnsi="Times New Roman" w:cs="Times New Roman"/>
          <w:sz w:val="24"/>
          <w:szCs w:val="24"/>
        </w:rPr>
      </w:pPr>
    </w:p>
    <w:p w14:paraId="5D5B49EA" w14:textId="55AE5041" w:rsidR="00C6366D" w:rsidRPr="003E0CF1" w:rsidRDefault="00C6366D" w:rsidP="00F9519E">
      <w:pPr>
        <w:jc w:val="both"/>
        <w:rPr>
          <w:rFonts w:ascii="Times New Roman" w:hAnsi="Times New Roman" w:cs="Times New Roman"/>
          <w:sz w:val="24"/>
          <w:szCs w:val="24"/>
        </w:rPr>
      </w:pPr>
    </w:p>
    <w:sectPr w:rsidR="00C6366D" w:rsidRPr="003E0CF1">
      <w:pgSz w:w="11908" w:h="16833"/>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601EA"/>
    <w:multiLevelType w:val="hybridMultilevel"/>
    <w:tmpl w:val="370AC52C"/>
    <w:lvl w:ilvl="0" w:tplc="A684A65C">
      <w:start w:val="1"/>
      <w:numFmt w:val="decimal"/>
      <w:lvlText w:val="%1."/>
      <w:lvlJc w:val="left"/>
      <w:pPr>
        <w:ind w:left="720" w:hanging="360"/>
      </w:pPr>
      <w:rPr>
        <w:rFonts w:ascii="Calibri" w:eastAsia="Calibr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D5068E"/>
    <w:multiLevelType w:val="hybridMultilevel"/>
    <w:tmpl w:val="6B88B666"/>
    <w:lvl w:ilvl="0" w:tplc="E730B306">
      <w:start w:val="1"/>
      <w:numFmt w:val="bullet"/>
      <w:lvlText w:val="●"/>
      <w:lvlJc w:val="left"/>
      <w:pPr>
        <w:ind w:left="720" w:hanging="360"/>
      </w:pPr>
    </w:lvl>
    <w:lvl w:ilvl="1" w:tplc="72BC1BB2">
      <w:start w:val="1"/>
      <w:numFmt w:val="bullet"/>
      <w:lvlText w:val="○"/>
      <w:lvlJc w:val="left"/>
      <w:pPr>
        <w:ind w:left="1440" w:hanging="360"/>
      </w:pPr>
    </w:lvl>
    <w:lvl w:ilvl="2" w:tplc="C19E3C3E">
      <w:start w:val="1"/>
      <w:numFmt w:val="bullet"/>
      <w:lvlText w:val="■"/>
      <w:lvlJc w:val="left"/>
      <w:pPr>
        <w:ind w:left="2160" w:hanging="360"/>
      </w:pPr>
    </w:lvl>
    <w:lvl w:ilvl="3" w:tplc="8432E5C0">
      <w:start w:val="1"/>
      <w:numFmt w:val="bullet"/>
      <w:lvlText w:val="●"/>
      <w:lvlJc w:val="left"/>
      <w:pPr>
        <w:ind w:left="2880" w:hanging="360"/>
      </w:pPr>
    </w:lvl>
    <w:lvl w:ilvl="4" w:tplc="9E000462">
      <w:start w:val="1"/>
      <w:numFmt w:val="bullet"/>
      <w:lvlText w:val="○"/>
      <w:lvlJc w:val="left"/>
      <w:pPr>
        <w:ind w:left="3600" w:hanging="360"/>
      </w:pPr>
    </w:lvl>
    <w:lvl w:ilvl="5" w:tplc="8DA46AEE">
      <w:start w:val="1"/>
      <w:numFmt w:val="bullet"/>
      <w:lvlText w:val="■"/>
      <w:lvlJc w:val="left"/>
      <w:pPr>
        <w:ind w:left="4320" w:hanging="360"/>
      </w:pPr>
    </w:lvl>
    <w:lvl w:ilvl="6" w:tplc="AD6A6B62">
      <w:start w:val="1"/>
      <w:numFmt w:val="bullet"/>
      <w:lvlText w:val="●"/>
      <w:lvlJc w:val="left"/>
      <w:pPr>
        <w:ind w:left="5040" w:hanging="360"/>
      </w:pPr>
    </w:lvl>
    <w:lvl w:ilvl="7" w:tplc="F3ACBDBA">
      <w:start w:val="1"/>
      <w:numFmt w:val="bullet"/>
      <w:lvlText w:val="●"/>
      <w:lvlJc w:val="left"/>
      <w:pPr>
        <w:ind w:left="5760" w:hanging="360"/>
      </w:pPr>
    </w:lvl>
    <w:lvl w:ilvl="8" w:tplc="2C7AB852">
      <w:start w:val="1"/>
      <w:numFmt w:val="bullet"/>
      <w:lvlText w:val="●"/>
      <w:lvlJc w:val="left"/>
      <w:pPr>
        <w:ind w:left="6480" w:hanging="360"/>
      </w:pPr>
    </w:lvl>
  </w:abstractNum>
  <w:num w:numId="1" w16cid:durableId="1559785413">
    <w:abstractNumId w:val="1"/>
    <w:lvlOverride w:ilvl="0">
      <w:startOverride w:val="1"/>
    </w:lvlOverride>
  </w:num>
  <w:num w:numId="2" w16cid:durableId="1017195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1DE"/>
    <w:rsid w:val="00024414"/>
    <w:rsid w:val="00024767"/>
    <w:rsid w:val="00076EAD"/>
    <w:rsid w:val="00077C44"/>
    <w:rsid w:val="0009100D"/>
    <w:rsid w:val="000B06B4"/>
    <w:rsid w:val="000C0887"/>
    <w:rsid w:val="000C3235"/>
    <w:rsid w:val="000D4488"/>
    <w:rsid w:val="000D6176"/>
    <w:rsid w:val="000F63F4"/>
    <w:rsid w:val="000F7D3F"/>
    <w:rsid w:val="00120596"/>
    <w:rsid w:val="0013306E"/>
    <w:rsid w:val="00147605"/>
    <w:rsid w:val="0015735E"/>
    <w:rsid w:val="00157FE3"/>
    <w:rsid w:val="001627CA"/>
    <w:rsid w:val="001C7533"/>
    <w:rsid w:val="001D6D5B"/>
    <w:rsid w:val="001F1914"/>
    <w:rsid w:val="0020052D"/>
    <w:rsid w:val="00203AB8"/>
    <w:rsid w:val="002324CB"/>
    <w:rsid w:val="00241F5A"/>
    <w:rsid w:val="0025693B"/>
    <w:rsid w:val="00264833"/>
    <w:rsid w:val="00295223"/>
    <w:rsid w:val="002960A4"/>
    <w:rsid w:val="002C50CD"/>
    <w:rsid w:val="002D7FD0"/>
    <w:rsid w:val="00316937"/>
    <w:rsid w:val="00316B14"/>
    <w:rsid w:val="003239FF"/>
    <w:rsid w:val="003362AB"/>
    <w:rsid w:val="00362BD0"/>
    <w:rsid w:val="0036343A"/>
    <w:rsid w:val="00363DF1"/>
    <w:rsid w:val="00366C3D"/>
    <w:rsid w:val="00367D96"/>
    <w:rsid w:val="003719DA"/>
    <w:rsid w:val="003760D2"/>
    <w:rsid w:val="0038021B"/>
    <w:rsid w:val="00380E0D"/>
    <w:rsid w:val="00397FC6"/>
    <w:rsid w:val="003A0E20"/>
    <w:rsid w:val="003A137B"/>
    <w:rsid w:val="003A35A0"/>
    <w:rsid w:val="003A79DE"/>
    <w:rsid w:val="003B77E8"/>
    <w:rsid w:val="003E0CF1"/>
    <w:rsid w:val="003E5C12"/>
    <w:rsid w:val="003F2BCB"/>
    <w:rsid w:val="004238E6"/>
    <w:rsid w:val="004436C8"/>
    <w:rsid w:val="00456BE5"/>
    <w:rsid w:val="00461DA7"/>
    <w:rsid w:val="00466739"/>
    <w:rsid w:val="00495C85"/>
    <w:rsid w:val="004974D5"/>
    <w:rsid w:val="004A44CB"/>
    <w:rsid w:val="004C33A9"/>
    <w:rsid w:val="004C3471"/>
    <w:rsid w:val="004D0243"/>
    <w:rsid w:val="004E1879"/>
    <w:rsid w:val="004F720F"/>
    <w:rsid w:val="005468BF"/>
    <w:rsid w:val="00560B47"/>
    <w:rsid w:val="0057243E"/>
    <w:rsid w:val="005B3751"/>
    <w:rsid w:val="005E43F7"/>
    <w:rsid w:val="005F21AB"/>
    <w:rsid w:val="00620A24"/>
    <w:rsid w:val="0064502D"/>
    <w:rsid w:val="00647B2E"/>
    <w:rsid w:val="00654E38"/>
    <w:rsid w:val="006730F9"/>
    <w:rsid w:val="00687105"/>
    <w:rsid w:val="006E5CB5"/>
    <w:rsid w:val="006F5113"/>
    <w:rsid w:val="00717F9E"/>
    <w:rsid w:val="00726F6A"/>
    <w:rsid w:val="0073359E"/>
    <w:rsid w:val="007376C4"/>
    <w:rsid w:val="007B4391"/>
    <w:rsid w:val="007C71E7"/>
    <w:rsid w:val="007C7A9F"/>
    <w:rsid w:val="007F6138"/>
    <w:rsid w:val="00826D67"/>
    <w:rsid w:val="00832748"/>
    <w:rsid w:val="00835A18"/>
    <w:rsid w:val="00840973"/>
    <w:rsid w:val="00855B4A"/>
    <w:rsid w:val="008775F0"/>
    <w:rsid w:val="00893B1C"/>
    <w:rsid w:val="008979BC"/>
    <w:rsid w:val="008A62E8"/>
    <w:rsid w:val="008B5C89"/>
    <w:rsid w:val="008C31D5"/>
    <w:rsid w:val="008F7C3F"/>
    <w:rsid w:val="009071A0"/>
    <w:rsid w:val="00914338"/>
    <w:rsid w:val="00931364"/>
    <w:rsid w:val="00933843"/>
    <w:rsid w:val="00946A91"/>
    <w:rsid w:val="00952AAE"/>
    <w:rsid w:val="009575AA"/>
    <w:rsid w:val="00986C0E"/>
    <w:rsid w:val="009874A1"/>
    <w:rsid w:val="009935E4"/>
    <w:rsid w:val="009B490A"/>
    <w:rsid w:val="00A032C0"/>
    <w:rsid w:val="00A16F45"/>
    <w:rsid w:val="00A3466D"/>
    <w:rsid w:val="00A44C10"/>
    <w:rsid w:val="00A60526"/>
    <w:rsid w:val="00A669F8"/>
    <w:rsid w:val="00A7324D"/>
    <w:rsid w:val="00A85665"/>
    <w:rsid w:val="00AA6991"/>
    <w:rsid w:val="00AC1F3E"/>
    <w:rsid w:val="00AD26B8"/>
    <w:rsid w:val="00AE396C"/>
    <w:rsid w:val="00AE63E2"/>
    <w:rsid w:val="00B06580"/>
    <w:rsid w:val="00B13905"/>
    <w:rsid w:val="00B400B5"/>
    <w:rsid w:val="00B624AB"/>
    <w:rsid w:val="00B6729A"/>
    <w:rsid w:val="00B67F32"/>
    <w:rsid w:val="00B85D48"/>
    <w:rsid w:val="00B91705"/>
    <w:rsid w:val="00BA0E9E"/>
    <w:rsid w:val="00BA3180"/>
    <w:rsid w:val="00BB02F2"/>
    <w:rsid w:val="00BB2363"/>
    <w:rsid w:val="00BD7667"/>
    <w:rsid w:val="00BE01B7"/>
    <w:rsid w:val="00BE256E"/>
    <w:rsid w:val="00BF10A9"/>
    <w:rsid w:val="00BF26B5"/>
    <w:rsid w:val="00BF3B0E"/>
    <w:rsid w:val="00C0373F"/>
    <w:rsid w:val="00C12361"/>
    <w:rsid w:val="00C40A5A"/>
    <w:rsid w:val="00C45F9D"/>
    <w:rsid w:val="00C474C4"/>
    <w:rsid w:val="00C51BAB"/>
    <w:rsid w:val="00C53A63"/>
    <w:rsid w:val="00C6366D"/>
    <w:rsid w:val="00C91A49"/>
    <w:rsid w:val="00CA5FDA"/>
    <w:rsid w:val="00CB7B9B"/>
    <w:rsid w:val="00CF1CF5"/>
    <w:rsid w:val="00D20428"/>
    <w:rsid w:val="00D41F3F"/>
    <w:rsid w:val="00D531CC"/>
    <w:rsid w:val="00D60C18"/>
    <w:rsid w:val="00D64C0D"/>
    <w:rsid w:val="00D96BEF"/>
    <w:rsid w:val="00DD6720"/>
    <w:rsid w:val="00E15EAC"/>
    <w:rsid w:val="00E2004D"/>
    <w:rsid w:val="00E2775F"/>
    <w:rsid w:val="00E3117C"/>
    <w:rsid w:val="00E402F6"/>
    <w:rsid w:val="00E445AC"/>
    <w:rsid w:val="00E556BD"/>
    <w:rsid w:val="00E71383"/>
    <w:rsid w:val="00E80256"/>
    <w:rsid w:val="00EA0628"/>
    <w:rsid w:val="00EA3B2E"/>
    <w:rsid w:val="00EB5305"/>
    <w:rsid w:val="00EC4183"/>
    <w:rsid w:val="00EE4761"/>
    <w:rsid w:val="00F12F77"/>
    <w:rsid w:val="00F13852"/>
    <w:rsid w:val="00F66CAA"/>
    <w:rsid w:val="00F741DE"/>
    <w:rsid w:val="00F83A57"/>
    <w:rsid w:val="00F9519E"/>
    <w:rsid w:val="00FA0D79"/>
    <w:rsid w:val="00FA6986"/>
    <w:rsid w:val="00FB0AE9"/>
    <w:rsid w:val="00FB59B8"/>
    <w:rsid w:val="00FB5AB2"/>
    <w:rsid w:val="00FC26F6"/>
    <w:rsid w:val="00FE1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5FF92"/>
  <w15:docId w15:val="{F78FDF60-11BB-4644-BCE7-31C93F3C1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13306E"/>
    <w:rPr>
      <w:rFonts w:ascii="Tahoma" w:hAnsi="Tahoma" w:cs="Tahoma"/>
      <w:sz w:val="16"/>
      <w:szCs w:val="16"/>
    </w:rPr>
  </w:style>
  <w:style w:type="character" w:customStyle="1" w:styleId="BalloonTextChar">
    <w:name w:val="Balloon Text Char"/>
    <w:basedOn w:val="DefaultParagraphFont"/>
    <w:link w:val="BalloonText"/>
    <w:uiPriority w:val="99"/>
    <w:semiHidden/>
    <w:rsid w:val="0013306E"/>
    <w:rPr>
      <w:rFonts w:ascii="Tahoma" w:hAnsi="Tahoma" w:cs="Tahoma"/>
      <w:sz w:val="16"/>
      <w:szCs w:val="16"/>
    </w:rPr>
  </w:style>
  <w:style w:type="table" w:styleId="TableGrid">
    <w:name w:val="Table Grid"/>
    <w:basedOn w:val="TableNormal"/>
    <w:uiPriority w:val="59"/>
    <w:rsid w:val="00495C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5468B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468BF"/>
    <w:rPr>
      <w:b/>
      <w:bCs/>
    </w:rPr>
  </w:style>
  <w:style w:type="paragraph" w:styleId="NormalWeb">
    <w:name w:val="Normal (Web)"/>
    <w:basedOn w:val="Normal"/>
    <w:uiPriority w:val="99"/>
    <w:semiHidden/>
    <w:unhideWhenUsed/>
    <w:rsid w:val="005468BF"/>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150093">
      <w:bodyDiv w:val="1"/>
      <w:marLeft w:val="0"/>
      <w:marRight w:val="0"/>
      <w:marTop w:val="0"/>
      <w:marBottom w:val="0"/>
      <w:divBdr>
        <w:top w:val="none" w:sz="0" w:space="0" w:color="auto"/>
        <w:left w:val="none" w:sz="0" w:space="0" w:color="auto"/>
        <w:bottom w:val="none" w:sz="0" w:space="0" w:color="auto"/>
        <w:right w:val="none" w:sz="0" w:space="0" w:color="auto"/>
      </w:divBdr>
    </w:div>
    <w:div w:id="14079228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FF18C7-637D-4988-B0ED-5C10255EA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37</Pages>
  <Words>12811</Words>
  <Characters>73023</Characters>
  <Application>Microsoft Office Word</Application>
  <DocSecurity>0</DocSecurity>
  <Lines>608</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giriraj mannayee</dc:creator>
  <cp:lastModifiedBy>Giriraj  M</cp:lastModifiedBy>
  <cp:revision>6</cp:revision>
  <dcterms:created xsi:type="dcterms:W3CDTF">2026-10-29T08:26:00Z</dcterms:created>
  <dcterms:modified xsi:type="dcterms:W3CDTF">2026-10-29T15:23:00Z</dcterms:modified>
</cp:coreProperties>
</file>