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2A069" w14:textId="77777777" w:rsidR="00AD2F90" w:rsidRPr="00AD2F90" w:rsidRDefault="00AD2F90" w:rsidP="00AD2F90">
      <w:pPr>
        <w:jc w:val="center"/>
        <w:rPr>
          <w:rFonts w:ascii="Times New Roman" w:hAnsi="Times New Roman" w:cs="Times New Roman"/>
          <w:b/>
          <w:bCs/>
          <w:lang w:val="en-IN"/>
        </w:rPr>
      </w:pPr>
      <w:r w:rsidRPr="00AD2F90">
        <w:rPr>
          <w:rFonts w:ascii="Times New Roman" w:hAnsi="Times New Roman" w:cs="Times New Roman"/>
          <w:b/>
          <w:bCs/>
          <w:lang w:val="en-IN"/>
        </w:rPr>
        <w:t>Executive Summary</w:t>
      </w:r>
    </w:p>
    <w:p w14:paraId="764028A3" w14:textId="2359D1A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HHS Unaccompanied Alien Children (UAC) Program plays a vital role in providing care and protection to unaccompanied minors entering the United States. This analysis evaluates the operational performance of the system using a dataset comprising 720 days of time-series observations. The dataset includes key indicators such as apprehensions, transfers, discharges, system load, backlog accumulation, and efficiency ratios. The objective of this executive summary is to present critical insights, highlight systemic challenges, and provide strategic recommendations for policymakers and government stakeholders.</w:t>
      </w:r>
    </w:p>
    <w:p w14:paraId="11ECFFD7" w14:textId="77777777" w:rsidR="00AD2F90" w:rsidRPr="00AD2F90" w:rsidRDefault="00AD2F90" w:rsidP="00AD2F90">
      <w:pPr>
        <w:rPr>
          <w:rFonts w:ascii="Times New Roman" w:hAnsi="Times New Roman" w:cs="Times New Roman"/>
          <w:lang w:val="en-IN"/>
        </w:rPr>
      </w:pPr>
    </w:p>
    <w:p w14:paraId="1663EA41"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1. Overview of System Performance</w:t>
      </w:r>
    </w:p>
    <w:p w14:paraId="121E8EF7"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analysis reveals that the system operates under highly dynamic conditions, with significant fluctuations in intake and processing capacity. The number of children apprehended and entering the system varies considerably over time, creating periods of both manageable load and acute strain. During high-intake periods, the system experiences a rapid increase in total care load, often exceeding its operational capacity.</w:t>
      </w:r>
    </w:p>
    <w:p w14:paraId="395F5AEB"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A key performance concern is the imbalance between intake and discharge rates. Ideally, the number of children discharged from the system should keep pace with or exceed intake to maintain equilibrium. However, the data indicates that this balance is not consistently achieved. As a result, the system frequently accumulates backlog, leading to increased occupancy levels and extended stays for children in care.</w:t>
      </w:r>
    </w:p>
    <w:p w14:paraId="1A2FC443"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system also demonstrates cyclical patterns, alternating between phases of overload and recovery. During overload phases, backlog and system load rise sharply, while recovery phases are characterized by increased discharge activity and gradual stabilization. This cyclical behavior suggests that the system is reactive in nature, responding to stress after it occurs rather than anticipating and mitigating it in advance.</w:t>
      </w:r>
    </w:p>
    <w:p w14:paraId="3588FE7B"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pict w14:anchorId="18BA2304">
          <v:rect id="_x0000_i1132" style="width:0;height:1.5pt" o:hralign="center" o:hrstd="t" o:hr="t" fillcolor="#a0a0a0" stroked="f"/>
        </w:pict>
      </w:r>
    </w:p>
    <w:p w14:paraId="63977ABD"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2. Key Operational Challenges</w:t>
      </w:r>
    </w:p>
    <w:p w14:paraId="454C9E7E"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2.1 Capacity Constraints and Backlog Formation</w:t>
      </w:r>
    </w:p>
    <w:p w14:paraId="27692EF4"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One of the most significant challenges identified is the presence of capacity constraints, particularly during periods of high intake. When the inflow of children exceeds the system’s ability to transfer and discharge them efficiently, backlog accumulates. This backlog represents not only a logistical challenge but also a humanitarian concern, as it may lead to overcrowding and reduced quality of care.</w:t>
      </w:r>
    </w:p>
    <w:p w14:paraId="093AFEB1"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backlog accumulation rate varies significantly across the dataset, indicating inconsistent system performance. In some periods, the system is able to reduce backlog effectively, while in others, backlog continues to grow unchecked. This inconsistency highlights the need for better capacity planning and resource allocation.</w:t>
      </w:r>
    </w:p>
    <w:p w14:paraId="37497AAF" w14:textId="5D3EEB0D" w:rsidR="00AD2F90" w:rsidRPr="00AD2F90" w:rsidRDefault="00AD2F90" w:rsidP="00AD2F90">
      <w:pPr>
        <w:rPr>
          <w:rFonts w:ascii="Times New Roman" w:hAnsi="Times New Roman" w:cs="Times New Roman"/>
          <w:lang w:val="en-IN"/>
        </w:rPr>
      </w:pPr>
    </w:p>
    <w:p w14:paraId="18F44FC3"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lastRenderedPageBreak/>
        <w:t>2.2 Inefficiencies in Transfer and Discharge Processes</w:t>
      </w:r>
    </w:p>
    <w:p w14:paraId="6FA4AA8D"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transfer of children from CBP custody to HHS care, as well as the discharge process from HHS facilities, are critical components of the system. The analysis suggests that inefficiencies in these processes contribute significantly to overall system congestion.</w:t>
      </w:r>
    </w:p>
    <w:p w14:paraId="1B2FE4B4"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Transfer delays can result in prolonged stays in initial custody, while inconsistent discharge rates lead to bottlenecks within HHS facilities. The discharge offset ratio, which measures the relationship between discharges and intake, shows high variability, indicating that discharge processes lack standardization and predictability.</w:t>
      </w:r>
    </w:p>
    <w:p w14:paraId="17657C13" w14:textId="50C7566E" w:rsidR="00AD2F90" w:rsidRPr="00AD2F90" w:rsidRDefault="00AD2F90" w:rsidP="00AD2F90">
      <w:pPr>
        <w:rPr>
          <w:rFonts w:ascii="Times New Roman" w:hAnsi="Times New Roman" w:cs="Times New Roman"/>
          <w:lang w:val="en-IN"/>
        </w:rPr>
      </w:pPr>
    </w:p>
    <w:p w14:paraId="2B559E99"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2.3 Demand-Capacity Mismatch</w:t>
      </w:r>
    </w:p>
    <w:p w14:paraId="0EB2282E"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dataset highlights a recurring mismatch between demand (intake) and system capacity (processing and discharge). Sudden surges in intake are not adequately matched by corresponding increases in capacity, leading to system strain. This mismatch is particularly problematic during peak periods, when resources are stretched thin.</w:t>
      </w:r>
    </w:p>
    <w:p w14:paraId="63BC22F5"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Without adequate forecasting and planning mechanisms, the system is unable to respond effectively to these surges. This results in reactive decision-making, which may not be sufficient to prevent backlog accumulation or ensure optimal care conditions.</w:t>
      </w:r>
    </w:p>
    <w:p w14:paraId="4395FE53" w14:textId="1EB11C59" w:rsidR="00AD2F90" w:rsidRPr="00AD2F90" w:rsidRDefault="00AD2F90" w:rsidP="00AD2F90">
      <w:pPr>
        <w:rPr>
          <w:rFonts w:ascii="Times New Roman" w:hAnsi="Times New Roman" w:cs="Times New Roman"/>
          <w:lang w:val="en-IN"/>
        </w:rPr>
      </w:pPr>
    </w:p>
    <w:p w14:paraId="6C4A9083"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2.4 Data Variability and Quality Concerns</w:t>
      </w:r>
    </w:p>
    <w:p w14:paraId="0396F40B"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presence of extreme values and outliers in certain metrics raises concerns about data consistency and reporting practices. For example, unusually high discharge ratios may indicate bulk processing events or delays in reporting. While such events may reflect operational realities, they also complicate the analysis and interpretation of trends.</w:t>
      </w:r>
    </w:p>
    <w:p w14:paraId="511D069D"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Reliable and consistent data is essential for effective decision-making. Any inconsistencies or inaccuracies in reporting can undermine the ability of stakeholders to assess system performance and implement appropriate interventions.</w:t>
      </w:r>
    </w:p>
    <w:p w14:paraId="61938CD9" w14:textId="62E999A2" w:rsidR="00AD2F90" w:rsidRPr="00AD2F90" w:rsidRDefault="00AD2F90" w:rsidP="00AD2F90">
      <w:pPr>
        <w:rPr>
          <w:rFonts w:ascii="Times New Roman" w:hAnsi="Times New Roman" w:cs="Times New Roman"/>
          <w:lang w:val="en-IN"/>
        </w:rPr>
      </w:pPr>
    </w:p>
    <w:p w14:paraId="456B034D" w14:textId="0198BB8F" w:rsidR="00AD2F90" w:rsidRPr="00AD2F90" w:rsidRDefault="00AD2F90" w:rsidP="00AD2F90">
      <w:pPr>
        <w:rPr>
          <w:rFonts w:ascii="Times New Roman" w:hAnsi="Times New Roman" w:cs="Times New Roman"/>
          <w:lang w:val="en-IN"/>
        </w:rPr>
      </w:pPr>
      <w:r w:rsidRPr="00AD2F90">
        <w:rPr>
          <w:lang w:val="en-IN"/>
        </w:rPr>
        <w:pict w14:anchorId="453E498F">
          <v:rect id="_x0000_i1145" style="width:0;height:1.5pt" o:hralign="center" o:hrstd="t" o:hr="t" fillcolor="#a0a0a0" stroked="f"/>
        </w:pict>
      </w:r>
    </w:p>
    <w:p w14:paraId="534F1434" w14:textId="77777777" w:rsidR="00AD2F90" w:rsidRPr="00AD2F90" w:rsidRDefault="00AD2F90" w:rsidP="00AD2F90">
      <w:pPr>
        <w:rPr>
          <w:rFonts w:ascii="Times New Roman" w:hAnsi="Times New Roman" w:cs="Times New Roman"/>
          <w:lang w:val="en-IN"/>
        </w:rPr>
      </w:pPr>
    </w:p>
    <w:p w14:paraId="748F5C89"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3. Implications for Policy and Governance</w:t>
      </w:r>
    </w:p>
    <w:p w14:paraId="3ADDEFB4"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findings of this analysis have important implications for policymakers and government stakeholders. The presence of capacity constraints and backlog accumulation indicates a need for improved infrastructure and resource planning. Ensuring that facilities have sufficient capacity to handle peak demand is critical for maintaining system stability.</w:t>
      </w:r>
    </w:p>
    <w:p w14:paraId="6F4190A6"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lastRenderedPageBreak/>
        <w:t>From a governance perspective, the lack of synchronization between intake, transfer, and discharge processes suggests a need for better coordination among agencies. Streamlining these processes can significantly reduce delays and improve overall efficiency.</w:t>
      </w:r>
    </w:p>
    <w:p w14:paraId="41571C5A"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humanitarian implications are also significant. Prolonged stays in care due to backlog can impact the well-being of children, making it essential to address inefficiencies promptly. Policymakers must prioritize strategies that not only improve operational efficiency but also enhance the quality of care provided.</w:t>
      </w:r>
    </w:p>
    <w:p w14:paraId="45E77FD6" w14:textId="23C91D0F" w:rsidR="00AD2F90" w:rsidRDefault="00AD2F90" w:rsidP="00AD2F90">
      <w:pPr>
        <w:rPr>
          <w:rFonts w:ascii="Times New Roman" w:hAnsi="Times New Roman" w:cs="Times New Roman"/>
          <w:lang w:val="en-IN"/>
        </w:rPr>
      </w:pPr>
    </w:p>
    <w:p w14:paraId="0F7156A1" w14:textId="63EF12F4" w:rsidR="00AD2F90" w:rsidRPr="00AD2F90" w:rsidRDefault="00AD2F90" w:rsidP="00AD2F90">
      <w:pPr>
        <w:rPr>
          <w:rFonts w:ascii="Times New Roman" w:hAnsi="Times New Roman" w:cs="Times New Roman"/>
          <w:lang w:val="en-IN"/>
        </w:rPr>
      </w:pPr>
      <w:r w:rsidRPr="00AD2F90">
        <w:rPr>
          <w:lang w:val="en-IN"/>
        </w:rPr>
        <w:pict w14:anchorId="0A150860">
          <v:rect id="_x0000_i1146" style="width:0;height:1.5pt" o:hralign="center" o:hrstd="t" o:hr="t" fillcolor="#a0a0a0" stroked="f"/>
        </w:pict>
      </w:r>
    </w:p>
    <w:p w14:paraId="5D201818"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4. Strategic Recommendations</w:t>
      </w:r>
    </w:p>
    <w:p w14:paraId="33494B61"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4.1 Strengthening Operational Efficiency</w:t>
      </w:r>
    </w:p>
    <w:p w14:paraId="1DDD88FB"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Standardizing discharge procedures is essential for ensuring consistent throughput. Establishing clear timelines and performance benchmarks can help reduce variability and improve predictability. Additionally, increasing transfer capacity from CBP to HHS facilities can alleviate bottlenecks at the initial stages of the process.</w:t>
      </w:r>
    </w:p>
    <w:p w14:paraId="56DCB643" w14:textId="75FD8AC8" w:rsidR="00AD2F90" w:rsidRPr="00AD2F90" w:rsidRDefault="00AD2F90" w:rsidP="00AD2F90">
      <w:pPr>
        <w:rPr>
          <w:rFonts w:ascii="Times New Roman" w:hAnsi="Times New Roman" w:cs="Times New Roman"/>
          <w:lang w:val="en-IN"/>
        </w:rPr>
      </w:pPr>
    </w:p>
    <w:p w14:paraId="6C490134"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4.2 Implementing Predictive Analytics</w:t>
      </w:r>
    </w:p>
    <w:p w14:paraId="47C01210" w14:textId="34CA7D34"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use of predictive analytics can enable the system to anticipate demand surges and prepare accordingly. By analy</w:t>
      </w:r>
      <w:r w:rsidRPr="00AD2F90">
        <w:rPr>
          <w:rFonts w:ascii="Times New Roman" w:hAnsi="Times New Roman" w:cs="Times New Roman"/>
          <w:lang w:val="en-IN"/>
        </w:rPr>
        <w:t>si</w:t>
      </w:r>
      <w:r w:rsidRPr="00AD2F90">
        <w:rPr>
          <w:rFonts w:ascii="Times New Roman" w:hAnsi="Times New Roman" w:cs="Times New Roman"/>
          <w:lang w:val="en-IN"/>
        </w:rPr>
        <w:t>ng historical trends, stakeholders can forecast periods of high intake and allocate resources in advance. This proactive approach can significantly reduce the impact of demand fluctuations.</w:t>
      </w:r>
    </w:p>
    <w:p w14:paraId="2E81D87D" w14:textId="6C8234CD" w:rsidR="00AD2F90" w:rsidRPr="00AD2F90" w:rsidRDefault="00AD2F90" w:rsidP="00AD2F90">
      <w:pPr>
        <w:rPr>
          <w:rFonts w:ascii="Times New Roman" w:hAnsi="Times New Roman" w:cs="Times New Roman"/>
          <w:lang w:val="en-IN"/>
        </w:rPr>
      </w:pPr>
    </w:p>
    <w:p w14:paraId="465B03BC"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4.3 Enhancing Monitoring and Decision-Making</w:t>
      </w:r>
    </w:p>
    <w:p w14:paraId="2CAB1259"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The implementation of real-time monitoring systems and dashboards can provide stakeholders with up-to-date insights into system performance. Establishing threshold-based alerts for backlog and system load can facilitate timely interventions and prevent escalation.</w:t>
      </w:r>
    </w:p>
    <w:p w14:paraId="39EBAC03" w14:textId="3FE4656A" w:rsidR="00AD2F90" w:rsidRPr="00AD2F90" w:rsidRDefault="00AD2F90" w:rsidP="00AD2F90">
      <w:pPr>
        <w:rPr>
          <w:rFonts w:ascii="Times New Roman" w:hAnsi="Times New Roman" w:cs="Times New Roman"/>
          <w:lang w:val="en-IN"/>
        </w:rPr>
      </w:pPr>
    </w:p>
    <w:p w14:paraId="2132B41A"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4.4 Improving Data Quality and Reporting</w:t>
      </w:r>
    </w:p>
    <w:p w14:paraId="31340816"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Ensuring data consistency and accuracy is critical for effective analysis and decision-making. Standardizing reporting practices and implementing robust validation mechanisms can enhance data reliability. This, in turn, will support better policy formulation and evaluation.</w:t>
      </w:r>
    </w:p>
    <w:p w14:paraId="34270823" w14:textId="3E3BA16E" w:rsidR="00AD2F90" w:rsidRPr="00AD2F90" w:rsidRDefault="00AD2F90" w:rsidP="00AD2F90">
      <w:pPr>
        <w:rPr>
          <w:rFonts w:ascii="Times New Roman" w:hAnsi="Times New Roman" w:cs="Times New Roman"/>
          <w:lang w:val="en-IN"/>
        </w:rPr>
      </w:pPr>
    </w:p>
    <w:p w14:paraId="586FFFE1"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4.5 Building System Resilience</w:t>
      </w:r>
    </w:p>
    <w:p w14:paraId="5BB83A6C"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lastRenderedPageBreak/>
        <w:t>Maintaining buffer capacity and flexible resource allocation strategies can help the system absorb sudden surges in demand. Investing in infrastructure and workforce development will further strengthen the system’s ability to respond to changing conditions.</w:t>
      </w:r>
    </w:p>
    <w:p w14:paraId="45A6195A"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pict w14:anchorId="52FF33D6">
          <v:rect id="_x0000_i1114" style="width:0;height:1.5pt" o:hralign="center" o:hrstd="t" o:hr="t" fillcolor="#a0a0a0" stroked="f"/>
        </w:pict>
      </w:r>
    </w:p>
    <w:p w14:paraId="10275C8D" w14:textId="77777777" w:rsidR="00AD2F90" w:rsidRPr="00AD2F90" w:rsidRDefault="00AD2F90" w:rsidP="00AD2F90">
      <w:pPr>
        <w:rPr>
          <w:rFonts w:ascii="Times New Roman" w:hAnsi="Times New Roman" w:cs="Times New Roman"/>
          <w:b/>
          <w:bCs/>
          <w:lang w:val="en-IN"/>
        </w:rPr>
      </w:pPr>
      <w:r w:rsidRPr="00AD2F90">
        <w:rPr>
          <w:rFonts w:ascii="Times New Roman" w:hAnsi="Times New Roman" w:cs="Times New Roman"/>
          <w:b/>
          <w:bCs/>
          <w:lang w:val="en-IN"/>
        </w:rPr>
        <w:t>5. Conclusion</w:t>
      </w:r>
    </w:p>
    <w:p w14:paraId="5116524E"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This analysis underscores the importance of adopting a proactive, data-driven approach to managing the HHS Unaccompanied Alien Children Program. While the system demonstrates the ability to recover from periods of strain, its reactive nature limits overall efficiency and effectiveness. Addressing capacity constraints, improving process synchronization, and leveraging predictive analytics are key to enhancing system performance.</w:t>
      </w:r>
    </w:p>
    <w:p w14:paraId="6060664E" w14:textId="77777777" w:rsidR="00AD2F90" w:rsidRPr="00AD2F90" w:rsidRDefault="00AD2F90" w:rsidP="00AD2F90">
      <w:pPr>
        <w:rPr>
          <w:rFonts w:ascii="Times New Roman" w:hAnsi="Times New Roman" w:cs="Times New Roman"/>
          <w:lang w:val="en-IN"/>
        </w:rPr>
      </w:pPr>
      <w:r w:rsidRPr="00AD2F90">
        <w:rPr>
          <w:rFonts w:ascii="Times New Roman" w:hAnsi="Times New Roman" w:cs="Times New Roman"/>
          <w:lang w:val="en-IN"/>
        </w:rPr>
        <w:t>By implementing the recommended strategies, government stakeholders can create a more resilient, efficient, and humane system. Such improvements will not only optimize resource utilization but also ensure better outcomes for the children served by the program.</w:t>
      </w:r>
    </w:p>
    <w:p w14:paraId="6D41B4B8" w14:textId="00357B17" w:rsidR="00AD2F90" w:rsidRPr="00AD2F90" w:rsidRDefault="00AD2F90" w:rsidP="00AD2F90">
      <w:pPr>
        <w:rPr>
          <w:rFonts w:ascii="Times New Roman" w:hAnsi="Times New Roman" w:cs="Times New Roman"/>
          <w:lang w:val="en-IN"/>
        </w:rPr>
      </w:pPr>
    </w:p>
    <w:p w14:paraId="126B0F3A" w14:textId="77777777" w:rsidR="00A634E8" w:rsidRDefault="00A634E8"/>
    <w:sectPr w:rsidR="00A634E8" w:rsidSect="00AD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90"/>
    <w:rsid w:val="003B45E7"/>
    <w:rsid w:val="005A307D"/>
    <w:rsid w:val="009D2F6C"/>
    <w:rsid w:val="00A634E8"/>
    <w:rsid w:val="00AD2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1D77"/>
  <w15:chartTrackingRefBased/>
  <w15:docId w15:val="{1D21EAAD-BB27-476B-9937-7B391446E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F90"/>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D2F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F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F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F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F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F90"/>
    <w:rPr>
      <w:rFonts w:eastAsiaTheme="majorEastAsia" w:cstheme="majorBidi"/>
      <w:color w:val="272727" w:themeColor="text1" w:themeTint="D8"/>
    </w:rPr>
  </w:style>
  <w:style w:type="paragraph" w:styleId="Title">
    <w:name w:val="Title"/>
    <w:basedOn w:val="Normal"/>
    <w:next w:val="Normal"/>
    <w:link w:val="TitleChar"/>
    <w:uiPriority w:val="10"/>
    <w:qFormat/>
    <w:rsid w:val="00AD2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F90"/>
    <w:pPr>
      <w:spacing w:before="160"/>
      <w:jc w:val="center"/>
    </w:pPr>
    <w:rPr>
      <w:i/>
      <w:iCs/>
      <w:color w:val="404040" w:themeColor="text1" w:themeTint="BF"/>
    </w:rPr>
  </w:style>
  <w:style w:type="character" w:customStyle="1" w:styleId="QuoteChar">
    <w:name w:val="Quote Char"/>
    <w:basedOn w:val="DefaultParagraphFont"/>
    <w:link w:val="Quote"/>
    <w:uiPriority w:val="29"/>
    <w:rsid w:val="00AD2F90"/>
    <w:rPr>
      <w:i/>
      <w:iCs/>
      <w:color w:val="404040" w:themeColor="text1" w:themeTint="BF"/>
    </w:rPr>
  </w:style>
  <w:style w:type="paragraph" w:styleId="ListParagraph">
    <w:name w:val="List Paragraph"/>
    <w:basedOn w:val="Normal"/>
    <w:uiPriority w:val="34"/>
    <w:qFormat/>
    <w:rsid w:val="00AD2F90"/>
    <w:pPr>
      <w:ind w:left="720"/>
      <w:contextualSpacing/>
    </w:pPr>
  </w:style>
  <w:style w:type="character" w:styleId="IntenseEmphasis">
    <w:name w:val="Intense Emphasis"/>
    <w:basedOn w:val="DefaultParagraphFont"/>
    <w:uiPriority w:val="21"/>
    <w:qFormat/>
    <w:rsid w:val="00AD2F90"/>
    <w:rPr>
      <w:i/>
      <w:iCs/>
      <w:color w:val="2F5496" w:themeColor="accent1" w:themeShade="BF"/>
    </w:rPr>
  </w:style>
  <w:style w:type="paragraph" w:styleId="IntenseQuote">
    <w:name w:val="Intense Quote"/>
    <w:basedOn w:val="Normal"/>
    <w:next w:val="Normal"/>
    <w:link w:val="IntenseQuoteChar"/>
    <w:uiPriority w:val="30"/>
    <w:qFormat/>
    <w:rsid w:val="00AD2F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F90"/>
    <w:rPr>
      <w:i/>
      <w:iCs/>
      <w:color w:val="2F5496" w:themeColor="accent1" w:themeShade="BF"/>
    </w:rPr>
  </w:style>
  <w:style w:type="character" w:styleId="IntenseReference">
    <w:name w:val="Intense Reference"/>
    <w:basedOn w:val="DefaultParagraphFont"/>
    <w:uiPriority w:val="32"/>
    <w:qFormat/>
    <w:rsid w:val="00AD2F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D0E6C-5F46-4805-B3C0-A14F4D58D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1192</Words>
  <Characters>6797</Characters>
  <Application>Microsoft Office Word</Application>
  <DocSecurity>0</DocSecurity>
  <Lines>56</Lines>
  <Paragraphs>15</Paragraphs>
  <ScaleCrop>false</ScaleCrop>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Giriranjan Jadhav</dc:creator>
  <cp:keywords/>
  <dc:description/>
  <cp:lastModifiedBy>Giriranjan Jadhav</cp:lastModifiedBy>
  <cp:revision>1</cp:revision>
  <dcterms:created xsi:type="dcterms:W3CDTF">2026-03-31T05:19:00Z</dcterms:created>
  <dcterms:modified xsi:type="dcterms:W3CDTF">2026-03-31T05:23:00Z</dcterms:modified>
</cp:coreProperties>
</file>