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F172A"/>
          <w:sz w:val="32"/>
          <w:szCs w:val="32"/>
        </w:rPr>
        <w:t xml:space="preserve">Springfield Senior Secondary School</w:t>
      </w:r>
    </w:p>
    <w:p>
      <w:pPr>
        <w:spacing w:after="8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475569"/>
          <w:sz w:val="24"/>
          <w:szCs w:val="24"/>
        </w:rPr>
        <w:t xml:space="preserve">Class 12 | Physics</w:t>
      </w:r>
    </w:p>
    <w:p>
      <w:pPr>
        <w:spacing w:after="14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475569"/>
          <w:sz w:val="24"/>
          <w:szCs w:val="24"/>
        </w:rPr>
        <w:t xml:space="preserve">Chapter / Topic: Photoelectric Effect</w:t>
      </w:r>
    </w:p>
    <w:p>
      <w:pPr>
        <w:pBdr>
          <w:bottom w:val="single" w:color="D7DEE8" w:sz="6" w:space="1"/>
        </w:pBdr>
        <w:spacing w:after="220"/>
      </w:pPr>
    </w:p>
    <w:p>
      <w:pPr>
        <w:spacing w:after="80" w:before="120"/>
        <w:jc w:val="center"/>
      </w:pPr>
      <w:r>
        <w:drawing>
          <wp:inline distT="0" distB="0" distL="0" distR="0">
            <wp:extent cx="4953000" cy="2009775"/>
            <wp:effectExtent t="0" r="0" b="0" l="0"/>
            <wp:docPr id="1" name="Photoelectric effect flowchart" descr="Energy transfer flow from incident light to emitted electr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color w:val="64748B"/>
          <w:sz w:val="20"/>
          <w:szCs w:val="20"/>
        </w:rPr>
        <w:t xml:space="preserve">Energy transfer flow from incident light to emitted electrons.</w:t>
      </w:r>
    </w:p>
    <w:p>
      <w:pPr>
        <w:pStyle w:val="ListParagraph"/>
        <w:numPr>
          <w:ilvl w:val="0"/>
          <w:numId w:val="1"/>
        </w:numPr>
        <w:spacing w:after="90" w:line="36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Threshold frequency decides whether emission occurs.</w:t>
      </w:r>
    </w:p>
    <w:p>
      <w:pPr>
        <w:pStyle w:val="ListParagraph"/>
        <w:numPr>
          <w:ilvl w:val="0"/>
          <w:numId w:val="1"/>
        </w:numPr>
        <w:spacing w:after="90" w:line="360"/>
      </w:pPr>
      <w:r>
        <w:rPr>
          <w:rFonts w:ascii="Times New Roman" w:cs="Times New Roman" w:eastAsia="Times New Roman" w:hAnsi="Times New Roman"/>
          <w:color w:val="0F172A"/>
          <w:sz w:val="22"/>
          <w:szCs w:val="22"/>
        </w:rPr>
        <w:t xml:space="preserve">Maximum kinetic energy depends on frequency, not intensity.</w:t>
      </w:r>
    </w:p>
    <w:sectPr>
      <w:footerReference w:type="default" r:id="rId7"/>
      <w:pgSz w:w="11906" w:h="16838" w:orient="portrait"/>
      <w:pgMar w:top="1080" w:right="900" w:bottom="1080" w:left="900" w:header="42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120"/>
      <w:jc w:val="center"/>
    </w:pP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Eduforge AI | Page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64748B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593f520a711dcd897131d71eedfa6ad814978c7.svg"/><Relationship Id="rId9" Type="http://schemas.openxmlformats.org/officeDocument/2006/relationships/image" Target="media/bb27cd4c60e30c3e702754f98a65966735af2f1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Cheatsheet</dc:title>
  <dc:creator>Eduforge-AI</dc:creator>
  <dc:description>Cheatsheet generated by Eduforge-AI</dc:description>
  <cp:lastModifiedBy>Un-named</cp:lastModifiedBy>
  <cp:revision>1</cp:revision>
  <dcterms:created xsi:type="dcterms:W3CDTF">2026-04-30T16:37:34.180Z</dcterms:created>
  <dcterms:modified xsi:type="dcterms:W3CDTF">2026-04-30T16:37:34.180Z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