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60"/>
        <w:jc w:val="center"/>
      </w:pPr>
      <w:r>
        <w:rPr>
          <w:rFonts w:ascii="Arial" w:cs="Arial" w:eastAsia="Arial" w:hAnsi="Arial"/>
          <w:b/>
          <w:bCs/>
          <w:color w:val="1E3A5F"/>
          <w:sz w:val="40"/>
          <w:szCs w:val="40"/>
        </w:rPr>
        <w:t xml:space="preserve">EduPro Online Learning Platform</w:t>
      </w:r>
    </w:p>
    <w:p>
      <w:pPr>
        <w:spacing w:after="320"/>
        <w:jc w:val="center"/>
      </w:pPr>
      <w:r>
        <w:rPr>
          <w:rFonts w:ascii="Arial" w:cs="Arial" w:eastAsia="Arial" w:hAnsi="Arial"/>
          <w:b/>
          <w:bCs/>
          <w:color w:val="2196F3"/>
          <w:sz w:val="32"/>
          <w:szCs w:val="32"/>
        </w:rPr>
        <w:t xml:space="preserve">Predictive Modeling for Course Demand &amp; Revenue Forecasting</w:t>
      </w:r>
    </w:p>
    <w:p>
      <w:pPr>
        <w:pBdr>
          <w:bottom w:val="single" w:color="2196F3" w:sz="4" w:space="1"/>
        </w:pBdr>
        <w:spacing w:after="160"/>
      </w:pPr>
      <w:r>
        <w:t xml:space="preserve"/>
      </w:r>
    </w:p>
    <w:p>
      <w:pPr>
        <w:spacing w:after="200"/>
      </w:pPr>
      <w:r>
        <w:t xml:space="preserve"/>
      </w:r>
    </w:p>
    <w:p>
      <w:pPr>
        <w:jc w:val="center"/>
      </w:pPr>
      <w:r>
        <w:rPr>
          <w:i/>
          <w:iCs/>
          <w:color w:val="555555"/>
          <w:sz w:val="24"/>
          <w:szCs w:val="24"/>
        </w:rPr>
        <w:t xml:space="preserve">Research Paper — Data Science &amp; Machine Learning Project</w:t>
      </w:r>
    </w:p>
    <w:p>
      <w:pPr>
        <w:spacing w:after="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b/>
                <w:bCs/>
                <w:sz w:val="22"/>
                <w:szCs w:val="22"/>
              </w:rPr>
              <w:t xml:space="preserve">Project Type:</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sz w:val="22"/>
                <w:szCs w:val="22"/>
              </w:rPr>
              <w:t xml:space="preserve">Predictive Analytics</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b/>
                <w:bCs/>
                <w:sz w:val="22"/>
                <w:szCs w:val="22"/>
              </w:rPr>
              <w:t xml:space="preserve">Domain:</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sz w:val="22"/>
                <w:szCs w:val="22"/>
              </w:rPr>
              <w:t xml:space="preserve">EdTech / Online Education</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b/>
                <w:bCs/>
                <w:sz w:val="22"/>
                <w:szCs w:val="22"/>
              </w:rPr>
              <w:t xml:space="preserve">Organization:</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sz w:val="22"/>
                <w:szCs w:val="22"/>
              </w:rPr>
              <w:t xml:space="preserve">Unified Mentor</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b/>
                <w:bCs/>
                <w:sz w:val="22"/>
                <w:szCs w:val="22"/>
              </w:rPr>
              <w:t xml:space="preserve">Year:</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sz w:val="22"/>
                <w:szCs w:val="22"/>
              </w:rPr>
              <w:t xml:space="preserve">2025</w:t>
            </w:r>
          </w:p>
        </w:tc>
      </w:tr>
    </w:tbl>
    <w:p>
      <w:pPr>
        <w:spacing w:after="600"/>
      </w:pPr>
      <w:r>
        <w:t xml:space="preserve"/>
      </w:r>
    </w:p>
    <w:p>
      <w:pPr>
        <w:pBdr>
          <w:bottom w:val="single" w:color="2196F3" w:sz="4" w:space="1"/>
        </w:pBdr>
        <w:spacing w:after="160"/>
      </w:pPr>
      <w:r>
        <w:t xml:space="preserve"/>
      </w:r>
    </w:p>
    <w:p>
      <w:pPr>
        <w:spacing w:after="200"/>
      </w:pPr>
      <w:r>
        <w:t xml:space="preserve"/>
      </w:r>
    </w:p>
    <w:p>
      <w:pPr>
        <w:jc w:val="center"/>
      </w:pPr>
      <w:r>
        <w:rPr>
          <w:i/>
          <w:iCs/>
          <w:color w:val="888888"/>
          <w:sz w:val="18"/>
          <w:szCs w:val="18"/>
        </w:rPr>
        <w:t xml:space="preserve">CONFIDENTIAL — FOR ACADEMIC &amp; BUSINESS USE ONLY</w:t>
      </w:r>
    </w:p>
    <w:p>
      <w:r>
        <w:br w:type="page"/>
      </w:r>
    </w:p>
    <w:p>
      <w:pPr>
        <w:sectPr>
          <w:pgSz w:w="12240" w:h="15840" w:orient="portrait"/>
          <w:pgMar w:top="1440" w:right="1440" w:bottom="1440" w:left="1440" w:header="708" w:footer="708" w:gutter="0"/>
          <w:pgNumType/>
          <w:docGrid w:linePitch="360"/>
        </w:sectPr>
      </w:pPr>
    </w:p>
    <w:p>
      <w:pPr>
        <w:pStyle w:val="Heading1"/>
      </w:pPr>
      <w:r>
        <w:rPr>
          <w:b/>
          <w:bCs/>
          <w:color w:val="1E3A5F"/>
        </w:rPr>
        <w:t xml:space="preserve">Abstract</w:t>
      </w:r>
    </w:p>
    <w:p>
      <w:pPr>
        <w:spacing w:after="120" w:line="276"/>
        <w:jc w:val="both"/>
      </w:pPr>
      <w:r>
        <w:rPr>
          <w:sz w:val="22"/>
          <w:szCs w:val="22"/>
        </w:rPr>
        <w:t xml:space="preserve">This research paper presents a comprehensive predictive modeling study conducted on EduPro, an online learning platform. The study leverages historical transaction data, course metadata, teacher profiles, and user demographics to build machine learning models that forecast course enrollment demand and revenue generation. Three predictive targets were modeled: Enrollment Count per course, Course Revenue, and Category-level Revenue aggregation.</w:t>
      </w:r>
    </w:p>
    <w:p>
      <w:pPr>
        <w:spacing w:after="80"/>
      </w:pPr>
      <w:r>
        <w:t xml:space="preserve"/>
      </w:r>
    </w:p>
    <w:p>
      <w:pPr>
        <w:spacing w:after="120" w:line="276"/>
        <w:jc w:val="both"/>
      </w:pPr>
      <w:r>
        <w:rPr>
          <w:sz w:val="22"/>
          <w:szCs w:val="22"/>
        </w:rPr>
        <w:t xml:space="preserve">The analysis of 10,000 transactions across 60 courses, 60 teachers, and 3,000 users reveals that CourseRating is the strongest predictor of enrollment, while CoursePrice directly determines revenue. Ridge Regression achieved an R² of 0.983 for Course Revenue prediction, and Gradient Boosting achieved R² of 0.893 for Category Revenue — both considered production-ready models. An interactive Streamlit dashboard was developed to enable real-time predictions and business intelligence.</w:t>
      </w:r>
    </w:p>
    <w:p>
      <w:pPr>
        <w:spacing w:after="160"/>
      </w:pPr>
      <w:r>
        <w:t xml:space="preserve"/>
      </w:r>
    </w:p>
    <w:p>
      <w:pPr>
        <w:pBdr>
          <w:bottom w:val="single" w:color="2196F3" w:sz="4" w:space="1"/>
        </w:pBdr>
        <w:spacing w:after="160"/>
      </w:pPr>
      <w:r>
        <w:t xml:space="preserve"/>
      </w:r>
    </w:p>
    <w:p>
      <w:pPr>
        <w:pStyle w:val="Heading1"/>
      </w:pPr>
      <w:r>
        <w:rPr>
          <w:b/>
          <w:bCs/>
          <w:color w:val="1E3A5F"/>
        </w:rPr>
        <w:t xml:space="preserve">1. Introduction</w:t>
      </w:r>
    </w:p>
    <w:p>
      <w:pPr>
        <w:pStyle w:val="Heading2"/>
      </w:pPr>
      <w:r>
        <w:rPr>
          <w:b/>
          <w:bCs/>
          <w:color w:val="2196F3"/>
        </w:rPr>
        <w:t xml:space="preserve">1.1 Background</w:t>
      </w:r>
    </w:p>
    <w:p>
      <w:pPr>
        <w:spacing w:after="120" w:line="276"/>
        <w:jc w:val="both"/>
      </w:pPr>
      <w:r>
        <w:rPr>
          <w:sz w:val="22"/>
          <w:szCs w:val="22"/>
        </w:rPr>
        <w:t xml:space="preserve">The online education industry has experienced exponential growth in the post-pandemic era, with platforms competing to attract learners and generate sustainable revenue. EduPro operates in this dynamic market, offering a diverse portfolio of courses across 12 categories ranging from Artificial Intelligence to Digital Marketing.</w:t>
      </w:r>
    </w:p>
    <w:p>
      <w:pPr>
        <w:spacing w:after="80"/>
      </w:pPr>
      <w:r>
        <w:t xml:space="preserve"/>
      </w:r>
    </w:p>
    <w:p>
      <w:pPr>
        <w:spacing w:after="120" w:line="276"/>
        <w:jc w:val="both"/>
      </w:pPr>
      <w:r>
        <w:rPr>
          <w:sz w:val="22"/>
          <w:szCs w:val="22"/>
        </w:rPr>
        <w:t xml:space="preserve">Despite having a rich repository of transactional and course data, EduPro currently lacks the predictive intelligence to make data-driven decisions about course launches, pricing strategies, and instructor assignments. Course planning relies on historical intuition rather than quantitative forecasting, increasing business risk and missed revenue opportunities.</w:t>
      </w:r>
    </w:p>
    <w:p>
      <w:pPr>
        <w:spacing w:after="160"/>
      </w:pPr>
      <w:r>
        <w:t xml:space="preserve"/>
      </w:r>
    </w:p>
    <w:p>
      <w:pPr>
        <w:pStyle w:val="Heading2"/>
      </w:pPr>
      <w:r>
        <w:rPr>
          <w:b/>
          <w:bCs/>
          <w:color w:val="2196F3"/>
        </w:rPr>
        <w:t xml:space="preserve">1.2 Problem Statement</w:t>
      </w:r>
    </w:p>
    <w:p>
      <w:pPr>
        <w:spacing w:after="120" w:line="276"/>
        <w:jc w:val="both"/>
      </w:pPr>
      <w:r>
        <w:rPr>
          <w:sz w:val="22"/>
          <w:szCs w:val="22"/>
        </w:rPr>
        <w:t xml:space="preserve">EduPro currently lacks:</w:t>
      </w:r>
    </w:p>
    <w:p>
      <w:pPr>
        <w:pStyle w:val="ListParagraph"/>
        <w:numPr>
          <w:ilvl w:val="0"/>
          <w:numId w:val="2"/>
        </w:numPr>
        <w:spacing w:after="80"/>
      </w:pPr>
      <w:r>
        <w:rPr>
          <w:b w:val="false"/>
          <w:bCs w:val="false"/>
          <w:sz w:val="22"/>
          <w:szCs w:val="22"/>
        </w:rPr>
        <w:t xml:space="preserve">Predictive models for course enrollment demand</w:t>
      </w:r>
    </w:p>
    <w:p>
      <w:pPr>
        <w:pStyle w:val="ListParagraph"/>
        <w:numPr>
          <w:ilvl w:val="0"/>
          <w:numId w:val="2"/>
        </w:numPr>
        <w:spacing w:after="80"/>
      </w:pPr>
      <w:r>
        <w:rPr>
          <w:b w:val="false"/>
          <w:bCs w:val="false"/>
          <w:sz w:val="22"/>
          <w:szCs w:val="22"/>
        </w:rPr>
        <w:t xml:space="preserve">Revenue forecasting at course and category level</w:t>
      </w:r>
    </w:p>
    <w:p>
      <w:pPr>
        <w:pStyle w:val="ListParagraph"/>
        <w:numPr>
          <w:ilvl w:val="0"/>
          <w:numId w:val="2"/>
        </w:numPr>
        <w:spacing w:after="80"/>
      </w:pPr>
      <w:r>
        <w:rPr>
          <w:b w:val="false"/>
          <w:bCs w:val="false"/>
          <w:sz w:val="22"/>
          <w:szCs w:val="22"/>
        </w:rPr>
        <w:t xml:space="preserve">Quantitative evidence to support course launch and pricing decisions</w:t>
      </w:r>
    </w:p>
    <w:p>
      <w:pPr>
        <w:pStyle w:val="ListParagraph"/>
        <w:numPr>
          <w:ilvl w:val="0"/>
          <w:numId w:val="2"/>
        </w:numPr>
        <w:spacing w:after="80"/>
      </w:pPr>
      <w:r>
        <w:rPr>
          <w:b w:val="false"/>
          <w:bCs w:val="false"/>
          <w:sz w:val="22"/>
          <w:szCs w:val="22"/>
        </w:rPr>
        <w:t xml:space="preserve">Data-driven instructor-course matching recommendations</w:t>
      </w:r>
    </w:p>
    <w:p>
      <w:pPr>
        <w:spacing w:after="120"/>
      </w:pPr>
      <w:r>
        <w:t xml:space="preserve"/>
      </w:r>
    </w:p>
    <w:p>
      <w:pPr>
        <w:spacing w:after="120" w:line="276"/>
        <w:jc w:val="both"/>
      </w:pPr>
      <w:r>
        <w:rPr>
          <w:sz w:val="22"/>
          <w:szCs w:val="22"/>
        </w:rPr>
        <w:t xml:space="preserve">As a result, strategic decisions about which courses to launch, how to price them, and which instructors to assign are made without forward-looking data support — increasing risk and limiting revenue optimization.</w:t>
      </w:r>
    </w:p>
    <w:p>
      <w:pPr>
        <w:spacing w:after="160"/>
      </w:pPr>
      <w:r>
        <w:t xml:space="preserve"/>
      </w:r>
    </w:p>
    <w:p>
      <w:pPr>
        <w:pStyle w:val="Heading2"/>
      </w:pPr>
      <w:r>
        <w:rPr>
          <w:b/>
          <w:bCs/>
          <w:color w:val="2196F3"/>
        </w:rPr>
        <w:t xml:space="preserve">1.3 Project Objectives</w:t>
      </w:r>
    </w:p>
    <w:p>
      <w:pPr>
        <w:spacing w:after="120" w:line="276"/>
        <w:jc w:val="both"/>
      </w:pPr>
      <w:r>
        <w:rPr>
          <w:sz w:val="22"/>
          <w:szCs w:val="22"/>
        </w:rPr>
        <w:t xml:space="preserve">This project aims to:</w:t>
      </w:r>
    </w:p>
    <w:p>
      <w:pPr>
        <w:pStyle w:val="ListParagraph"/>
        <w:numPr>
          <w:ilvl w:val="0"/>
          <w:numId w:val="2"/>
        </w:numPr>
        <w:spacing w:after="80"/>
      </w:pPr>
      <w:r>
        <w:rPr>
          <w:b w:val="false"/>
          <w:bCs w:val="false"/>
          <w:sz w:val="22"/>
          <w:szCs w:val="22"/>
        </w:rPr>
        <w:t xml:space="preserve">Build predictive ML models for Enrollment Count, Course Revenue, and Category Revenue</w:t>
      </w:r>
    </w:p>
    <w:p>
      <w:pPr>
        <w:pStyle w:val="ListParagraph"/>
        <w:numPr>
          <w:ilvl w:val="0"/>
          <w:numId w:val="2"/>
        </w:numPr>
        <w:spacing w:after="80"/>
      </w:pPr>
      <w:r>
        <w:rPr>
          <w:b w:val="false"/>
          <w:bCs w:val="false"/>
          <w:sz w:val="22"/>
          <w:szCs w:val="22"/>
        </w:rPr>
        <w:t xml:space="preserve">Conduct a comprehensive Exploratory Data Analysis (EDA) to uncover demand and revenue drivers</w:t>
      </w:r>
    </w:p>
    <w:p>
      <w:pPr>
        <w:pStyle w:val="ListParagraph"/>
        <w:numPr>
          <w:ilvl w:val="0"/>
          <w:numId w:val="2"/>
        </w:numPr>
        <w:spacing w:after="80"/>
      </w:pPr>
      <w:r>
        <w:rPr>
          <w:b w:val="false"/>
          <w:bCs w:val="false"/>
          <w:sz w:val="22"/>
          <w:szCs w:val="22"/>
        </w:rPr>
        <w:t xml:space="preserve">Engineer meaningful features from raw course, teacher, and transaction data</w:t>
      </w:r>
    </w:p>
    <w:p>
      <w:pPr>
        <w:pStyle w:val="ListParagraph"/>
        <w:numPr>
          <w:ilvl w:val="0"/>
          <w:numId w:val="2"/>
        </w:numPr>
        <w:spacing w:after="80"/>
      </w:pPr>
      <w:r>
        <w:rPr>
          <w:b w:val="false"/>
          <w:bCs w:val="false"/>
          <w:sz w:val="22"/>
          <w:szCs w:val="22"/>
        </w:rPr>
        <w:t xml:space="preserve">Deploy an interactive Streamlit dashboard for real-time predictions and stakeholder use</w:t>
      </w:r>
    </w:p>
    <w:p>
      <w:pPr>
        <w:pStyle w:val="ListParagraph"/>
        <w:numPr>
          <w:ilvl w:val="0"/>
          <w:numId w:val="2"/>
        </w:numPr>
        <w:spacing w:after="80"/>
      </w:pPr>
      <w:r>
        <w:rPr>
          <w:b w:val="false"/>
          <w:bCs w:val="false"/>
          <w:sz w:val="22"/>
          <w:szCs w:val="22"/>
        </w:rPr>
        <w:t xml:space="preserve">Provide actionable business recommendations based on data-driven insights</w:t>
      </w:r>
    </w:p>
    <w:p>
      <w:pPr>
        <w:spacing w:after="160"/>
      </w:pPr>
      <w:r>
        <w:t xml:space="preserve"/>
      </w:r>
    </w:p>
    <w:p>
      <w:pPr>
        <w:pStyle w:val="Heading2"/>
      </w:pPr>
      <w:r>
        <w:rPr>
          <w:b/>
          <w:bCs/>
          <w:color w:val="2196F3"/>
        </w:rPr>
        <w:t xml:space="preserve">1.4 Scope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Deliverable</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Research Paper</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Comprehensive EDA, methodology, results, and recommendations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Jupyter Notebook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Full ML pipeline: EDA → Feature Engineering → Model Training → Evaluation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Streamlit Dashboard</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Interactive 6-page analytics and prediction dashboard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Trained Models (.pkl)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3 production-ready serialized models for deployment</w:t>
            </w:r>
          </w:p>
        </w:tc>
      </w:tr>
    </w:tbl>
    <w:p>
      <w:pPr>
        <w:spacing w:after="200"/>
      </w:pPr>
      <w:r>
        <w:t xml:space="preserve"/>
      </w:r>
    </w:p>
    <w:p>
      <w:pPr>
        <w:pBdr>
          <w:bottom w:val="single" w:color="2196F3" w:sz="4" w:space="1"/>
        </w:pBdr>
        <w:spacing w:after="160"/>
      </w:pPr>
      <w:r>
        <w:t xml:space="preserve"/>
      </w:r>
    </w:p>
    <w:p>
      <w:pPr>
        <w:pStyle w:val="Heading1"/>
      </w:pPr>
      <w:r>
        <w:rPr>
          <w:b/>
          <w:bCs/>
          <w:color w:val="1E3A5F"/>
        </w:rPr>
        <w:t xml:space="preserve">2. Dataset Overview</w:t>
      </w:r>
    </w:p>
    <w:p>
      <w:pPr>
        <w:pStyle w:val="Heading2"/>
      </w:pPr>
      <w:r>
        <w:rPr>
          <w:b/>
          <w:bCs/>
          <w:color w:val="2196F3"/>
        </w:rPr>
        <w:t xml:space="preserve">2.1 Data Sources</w:t>
      </w:r>
    </w:p>
    <w:p>
      <w:pPr>
        <w:spacing w:after="120" w:line="276"/>
        <w:jc w:val="both"/>
      </w:pPr>
      <w:r>
        <w:rPr>
          <w:sz w:val="22"/>
          <w:szCs w:val="22"/>
        </w:rPr>
        <w:t xml:space="preserve">The EduPro dataset consists of four interconnected sheets from the platform's operational database, covering the full year 2025.</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360"/>
        <w:gridCol w:w="3000"/>
      </w:tblGrid>
      <w:tr>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Sheet</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Records</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Key Columns</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Role in Analysis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Courses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60</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CourseID, Category, Type, Level, Price, Duration, Rating</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Primary feature source for ML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Teachers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60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TeacherID, Expertise, YearsOfExperience, TeacherRating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Instructor feature engineering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Transactions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10,000</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TransactionID, UserID, CourseID, Amount, Date, TeacherID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Target variable computation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3,000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UserID, Age, Gender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Demographic context</w:t>
            </w:r>
          </w:p>
        </w:tc>
      </w:tr>
    </w:tbl>
    <w:p>
      <w:pPr>
        <w:spacing w:after="200"/>
      </w:pPr>
      <w:r>
        <w:t xml:space="preserve"/>
      </w:r>
    </w:p>
    <w:p>
      <w:pPr>
        <w:pStyle w:val="Heading2"/>
      </w:pPr>
      <w:r>
        <w:rPr>
          <w:b/>
          <w:bCs/>
          <w:color w:val="2196F3"/>
        </w:rPr>
        <w:t xml:space="preserve">2.2 Data Quality Assessment</w:t>
      </w:r>
    </w:p>
    <w:p>
      <w:pPr>
        <w:spacing w:after="120" w:line="276"/>
        <w:jc w:val="both"/>
      </w:pPr>
      <w:r>
        <w:rPr>
          <w:sz w:val="22"/>
          <w:szCs w:val="22"/>
        </w:rPr>
        <w:t xml:space="preserve">A thorough data quality audit was conducted prior to analysis: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Quality Check</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Courses</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Transactions</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Null Values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 Clean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Duplicates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 Clean</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Date Format</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N/A</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DD/MM/YYYY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 Parsed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Price Range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 – ₹490.90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 – ₹490.90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 Valid</w:t>
            </w:r>
          </w:p>
        </w:tc>
      </w:tr>
    </w:tbl>
    <w:p>
      <w:pPr>
        <w:spacing w:after="120"/>
      </w:pPr>
      <w:r>
        <w:t xml:space="preserve"/>
      </w:r>
    </w:p>
    <w:p>
      <w:pPr>
        <w:spacing w:after="120" w:line="276"/>
        <w:jc w:val="both"/>
      </w:pPr>
      <w:r>
        <w:rPr>
          <w:sz w:val="22"/>
          <w:szCs w:val="22"/>
        </w:rPr>
        <w:t xml:space="preserve">The dataset is exceptionally clean — zero null values and zero duplicates across all four sheets — eliminating the need for data imputation and allowing direct feature engineering.</w:t>
      </w:r>
    </w:p>
    <w:p>
      <w:pPr>
        <w:spacing w:after="160"/>
      </w:pPr>
      <w:r>
        <w:t xml:space="preserve"/>
      </w:r>
    </w:p>
    <w:p>
      <w:pPr>
        <w:pBdr>
          <w:bottom w:val="single" w:color="2196F3" w:sz="4" w:space="1"/>
        </w:pBdr>
        <w:spacing w:after="160"/>
      </w:pPr>
      <w:r>
        <w:t xml:space="preserve"/>
      </w:r>
    </w:p>
    <w:p>
      <w:pPr>
        <w:pStyle w:val="Heading1"/>
      </w:pPr>
      <w:r>
        <w:rPr>
          <w:b/>
          <w:bCs/>
          <w:color w:val="1E3A5F"/>
        </w:rPr>
        <w:t xml:space="preserve">3. Exploratory Data Analysis (EDA)</w:t>
      </w:r>
    </w:p>
    <w:p>
      <w:pPr>
        <w:pStyle w:val="Heading2"/>
      </w:pPr>
      <w:r>
        <w:rPr>
          <w:b/>
          <w:bCs/>
          <w:color w:val="2196F3"/>
        </w:rPr>
        <w:t xml:space="preserve">3.1 Enrollment Analysis</w:t>
      </w:r>
    </w:p>
    <w:p>
      <w:pPr>
        <w:spacing w:after="120" w:line="276"/>
        <w:jc w:val="both"/>
      </w:pPr>
      <w:r>
        <w:rPr>
          <w:sz w:val="22"/>
          <w:szCs w:val="22"/>
        </w:rPr>
        <w:t xml:space="preserve">Enrollment counts were computed by aggregating transaction records per CourseID. Key findings: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Metric</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Value</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Insight</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Enrollment Range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140 – 196</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Very narrow spread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Mean Enrollment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167 per course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Platform promotes equally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Top Course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Data Analysis with Python (196)</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Data Science leads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Category Spread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800 – 900 total per category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Near-uniform distribution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Level Split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Beginner 35.7% / Advanced 34.8% / Intermediate 29.5%</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Well-balanced portfolio</w:t>
            </w:r>
          </w:p>
        </w:tc>
      </w:tr>
    </w:tbl>
    <w:p>
      <w:pPr>
        <w:spacing w:after="160"/>
      </w:pPr>
      <w:r>
        <w:t xml:space="preserve"/>
      </w:r>
    </w:p>
    <w:p>
      <w:pPr>
        <w:pStyle w:val="Heading2"/>
      </w:pPr>
      <w:r>
        <w:rPr>
          <w:b/>
          <w:bCs/>
          <w:color w:val="2196F3"/>
        </w:rPr>
        <w:t xml:space="preserve">3.2 Revenue Analysis</w:t>
      </w:r>
    </w:p>
    <w:p>
      <w:pPr>
        <w:spacing w:after="120" w:line="276"/>
        <w:jc w:val="both"/>
      </w:pPr>
      <w:r>
        <w:rPr>
          <w:sz w:val="22"/>
          <w:szCs w:val="22"/>
        </w:rPr>
        <w:t xml:space="preserve">Revenue was computed by summing transaction amounts per CourseID. Free courses (CourseType = 'Free') generate zero revenue regardless of enrollment volume.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Category</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Total Revenue</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Rank</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Artificial Intelligence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₹2,02,750</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 1st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Business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₹1,81,527</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 2nd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Project Management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₹1,69,103</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 3rd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Programming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₹77,453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4th</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Data Science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₹77,052</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5th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 No Revenue</w:t>
            </w:r>
          </w:p>
        </w:tc>
      </w:tr>
    </w:tbl>
    <w:p>
      <w:pPr>
        <w:spacing w:after="120"/>
      </w:pPr>
      <w:r>
        <w:t xml:space="preserve"/>
      </w:r>
    </w:p>
    <w:p>
      <w:pPr>
        <w:spacing w:after="120" w:line="276"/>
        <w:jc w:val="both"/>
      </w:pPr>
      <w:r>
        <w:rPr>
          <w:sz w:val="22"/>
          <w:szCs w:val="22"/>
        </w:rPr>
        <w:t xml:space="preserve">Total platform revenue for 2025: ₹9,10,128. Top course by revenue: Computer Vision (~₹85,417). Free courses account for 63.3% of the portfolio but generate zero direct revenue.</w:t>
      </w:r>
    </w:p>
    <w:p>
      <w:pPr>
        <w:spacing w:after="160"/>
      </w:pPr>
      <w:r>
        <w:t xml:space="preserve"/>
      </w:r>
    </w:p>
    <w:p>
      <w:pPr>
        <w:pStyle w:val="Heading2"/>
      </w:pPr>
      <w:r>
        <w:rPr>
          <w:b/>
          <w:bCs/>
          <w:color w:val="2196F3"/>
        </w:rPr>
        <w:t xml:space="preserve">3.3 Free vs Paid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Metric</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Free Courses</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Paid Courses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Count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38 (63.3%)</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22 (36.7%)</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Avg Enrollment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168.5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163.5</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Avg Revenue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₹41,424</w:t>
            </w:r>
          </w:p>
        </w:tc>
      </w:tr>
    </w:tbl>
    <w:p>
      <w:pPr>
        <w:spacing w:after="120"/>
      </w:pPr>
      <w:r>
        <w:t xml:space="preserve"/>
      </w:r>
    </w:p>
    <w:p>
      <w:pPr>
        <w:spacing w:after="120" w:line="276"/>
        <w:jc w:val="both"/>
      </w:pPr>
      <w:r>
        <w:rPr>
          <w:sz w:val="22"/>
          <w:szCs w:val="22"/>
        </w:rPr>
        <w:t xml:space="preserve">Key insight: Free and Paid courses attract nearly identical enrollment volumes (168.5 vs 163.5), confirming that price does NOT drive enrollment decisions on EduPro. This is critical — monetisation strategy must focus on converting free course audiences rather than discounting paid courses.</w:t>
      </w:r>
    </w:p>
    <w:p>
      <w:pPr>
        <w:spacing w:after="160"/>
      </w:pPr>
      <w:r>
        <w:t xml:space="preserve"/>
      </w:r>
    </w:p>
    <w:p>
      <w:pPr>
        <w:pStyle w:val="Heading2"/>
      </w:pPr>
      <w:r>
        <w:rPr>
          <w:b/>
          <w:bCs/>
          <w:color w:val="2196F3"/>
        </w:rPr>
        <w:t xml:space="preserve">3.4 Correlation Analysis</w:t>
      </w:r>
    </w:p>
    <w:p>
      <w:pPr>
        <w:spacing w:after="120" w:line="276"/>
        <w:jc w:val="both"/>
      </w:pPr>
      <w:r>
        <w:rPr>
          <w:sz w:val="22"/>
          <w:szCs w:val="22"/>
        </w:rPr>
        <w:t xml:space="preserve">Pearson correlation coefficients were computed between all numeric features: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Feature Pair</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Correlation</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Business Interpretation</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CoursePrice ↔ CourseRevenue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center"/>
            </w:pPr>
            <w:r>
              <w:rPr>
                <w:sz w:val="20"/>
                <w:szCs w:val="20"/>
              </w:rPr>
              <w:t xml:space="preserve">+1.00</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Price directly determines revenue — expected</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CourseRating ↔ EnrollmentCount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sz w:val="20"/>
                <w:szCs w:val="20"/>
              </w:rPr>
              <w:t xml:space="preserve">+0.29</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Higher-rated courses attract more enrollments</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CourseRating ↔ CourseDuration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center"/>
            </w:pPr>
            <w:r>
              <w:rPr>
                <w:sz w:val="20"/>
                <w:szCs w:val="20"/>
              </w:rPr>
              <w:t xml:space="preserve">+0.21</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Longer courses tend to be better rated</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CoursePrice ↔ EnrollmentCount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sz w:val="20"/>
                <w:szCs w:val="20"/>
              </w:rPr>
              <w:t xml:space="preserve">-0.16</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Costlier courses get slightly fewer enrollments</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CourseDuration ↔ EnrollmentCount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center"/>
            </w:pPr>
            <w:r>
              <w:rPr>
                <w:sz w:val="20"/>
                <w:szCs w:val="20"/>
              </w:rPr>
              <w:t xml:space="preserve">-0.10</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Longer courses are slightly less popular</w:t>
            </w:r>
          </w:p>
        </w:tc>
      </w:tr>
    </w:tbl>
    <w:p>
      <w:pPr>
        <w:spacing w:after="120"/>
      </w:pPr>
      <w:r>
        <w:t xml:space="preserve"/>
      </w:r>
    </w:p>
    <w:p>
      <w:pPr>
        <w:spacing w:after="120" w:line="276"/>
        <w:jc w:val="both"/>
      </w:pPr>
      <w:r>
        <w:rPr>
          <w:sz w:val="22"/>
          <w:szCs w:val="22"/>
        </w:rPr>
        <w:t xml:space="preserve">Key finding: CourseRating is the strongest predictor of enrollment among all numeric features. Quality of course content drives demand more than price or duration.</w:t>
      </w:r>
    </w:p>
    <w:p>
      <w:pPr>
        <w:spacing w:after="160"/>
      </w:pPr>
      <w:r>
        <w:t xml:space="preserve"/>
      </w:r>
    </w:p>
    <w:p>
      <w:pPr>
        <w:pStyle w:val="Heading2"/>
      </w:pPr>
      <w:r>
        <w:rPr>
          <w:b/>
          <w:bCs/>
          <w:color w:val="2196F3"/>
        </w:rPr>
        <w:t xml:space="preserve">3.5 Instructor Impact Analysis</w:t>
      </w:r>
    </w:p>
    <w:p>
      <w:pPr>
        <w:spacing w:after="120" w:line="276"/>
        <w:jc w:val="both"/>
      </w:pPr>
      <w:r>
        <w:rPr>
          <w:sz w:val="22"/>
          <w:szCs w:val="22"/>
        </w:rPr>
        <w:t xml:space="preserve">Teacher data was joined to transactions to compute per-instructor performance metrics. Two outlier instructors with 20–24 years of experience generated ~3,000 enrollments each — significantly above the platform average. However, experience alone is not sufficient: most instructors cluster under 500 total enrollments regardless of tenure. Teacher rating (4.5–5.0) is a stronger signal, with top-rated instructors generating up to ₹3 lakhs in revenue versus near-zero for low-rated instructors.</w:t>
      </w:r>
    </w:p>
    <w:p>
      <w:pPr>
        <w:spacing w:after="160"/>
      </w:pPr>
      <w:r>
        <w:t xml:space="preserve"/>
      </w:r>
    </w:p>
    <w:p>
      <w:pPr>
        <w:pStyle w:val="Heading2"/>
      </w:pPr>
      <w:r>
        <w:rPr>
          <w:b/>
          <w:bCs/>
          <w:color w:val="2196F3"/>
        </w:rPr>
        <w:t xml:space="preserve">3.6 Time Trend Analysis</w:t>
      </w:r>
    </w:p>
    <w:p>
      <w:pPr>
        <w:spacing w:after="120" w:line="276"/>
        <w:jc w:val="both"/>
      </w:pPr>
      <w:r>
        <w:rPr>
          <w:sz w:val="22"/>
          <w:szCs w:val="22"/>
        </w:rPr>
        <w:t xml:space="preserve">Monthly aggregation of transactions across January–December 2025 reveals a stable platform with no major seasonal spikes. Monthly enrollments range between 760–880, with a peak in June 2025. Monthly revenue fluctuates between ₹65,000–₹82,000. The absence of seasonal patterns suggests that EduPro's demand is driven by evergreen learning interest rather than academic cycles.</w:t>
      </w:r>
    </w:p>
    <w:p>
      <w:pPr>
        <w:spacing w:after="160"/>
      </w:pPr>
      <w:r>
        <w:t xml:space="preserve"/>
      </w:r>
    </w:p>
    <w:p>
      <w:pPr>
        <w:pStyle w:val="Heading2"/>
      </w:pPr>
      <w:r>
        <w:rPr>
          <w:b/>
          <w:bCs/>
          <w:color w:val="2196F3"/>
        </w:rPr>
        <w:t xml:space="preserve">3.7 User Demographics</w:t>
      </w:r>
    </w:p>
    <w:p>
      <w:pPr>
        <w:pStyle w:val="ListParagraph"/>
        <w:numPr>
          <w:ilvl w:val="0"/>
          <w:numId w:val="2"/>
        </w:numPr>
        <w:spacing w:after="80"/>
      </w:pPr>
      <w:r>
        <w:rPr>
          <w:b w:val="false"/>
          <w:bCs w:val="false"/>
          <w:sz w:val="22"/>
          <w:szCs w:val="22"/>
        </w:rPr>
        <w:t xml:space="preserve">Mean user age: 25 years — young adult learner base</w:t>
      </w:r>
    </w:p>
    <w:p>
      <w:pPr>
        <w:pStyle w:val="ListParagraph"/>
        <w:numPr>
          <w:ilvl w:val="0"/>
          <w:numId w:val="2"/>
        </w:numPr>
        <w:spacing w:after="80"/>
      </w:pPr>
      <w:r>
        <w:rPr>
          <w:b w:val="false"/>
          <w:bCs w:val="false"/>
          <w:sz w:val="22"/>
          <w:szCs w:val="22"/>
        </w:rPr>
        <w:t xml:space="preserve">Age range: 15–35 — students and early-career professionals</w:t>
      </w:r>
    </w:p>
    <w:p>
      <w:pPr>
        <w:pStyle w:val="ListParagraph"/>
        <w:numPr>
          <w:ilvl w:val="0"/>
          <w:numId w:val="2"/>
        </w:numPr>
        <w:spacing w:after="80"/>
      </w:pPr>
      <w:r>
        <w:rPr>
          <w:b w:val="false"/>
          <w:bCs w:val="false"/>
          <w:sz w:val="22"/>
          <w:szCs w:val="22"/>
        </w:rPr>
        <w:t xml:space="preserve">Gender split: Female 50.7% / Male 49.3% — near-equal balance</w:t>
      </w:r>
    </w:p>
    <w:p>
      <w:pPr>
        <w:pStyle w:val="ListParagraph"/>
        <w:numPr>
          <w:ilvl w:val="0"/>
          <w:numId w:val="2"/>
        </w:numPr>
        <w:spacing w:after="80"/>
      </w:pPr>
      <w:r>
        <w:rPr>
          <w:b w:val="false"/>
          <w:bCs w:val="false"/>
          <w:sz w:val="22"/>
          <w:szCs w:val="22"/>
        </w:rPr>
        <w:t xml:space="preserve">Bimodal age pattern: peaks at 15–16 (students) and 31–32 (working professionals)</w:t>
      </w:r>
    </w:p>
    <w:p>
      <w:pPr>
        <w:spacing w:after="160"/>
      </w:pPr>
      <w:r>
        <w:t xml:space="preserve"/>
      </w:r>
    </w:p>
    <w:p>
      <w:pPr>
        <w:pBdr>
          <w:bottom w:val="single" w:color="2196F3" w:sz="4" w:space="1"/>
        </w:pBdr>
        <w:spacing w:after="160"/>
      </w:pPr>
      <w:r>
        <w:t xml:space="preserve"/>
      </w:r>
    </w:p>
    <w:p>
      <w:pPr>
        <w:pStyle w:val="Heading1"/>
      </w:pPr>
      <w:r>
        <w:rPr>
          <w:b/>
          <w:bCs/>
          <w:color w:val="1E3A5F"/>
        </w:rPr>
        <w:t xml:space="preserve">4. Feature Engineering</w:t>
      </w:r>
    </w:p>
    <w:p>
      <w:pPr>
        <w:pStyle w:val="Heading2"/>
      </w:pPr>
      <w:r>
        <w:rPr>
          <w:b/>
          <w:bCs/>
          <w:color w:val="2196F3"/>
        </w:rPr>
        <w:t xml:space="preserve">4.1 Master DataFrame Construction</w:t>
      </w:r>
    </w:p>
    <w:p>
      <w:pPr>
        <w:spacing w:after="120" w:line="276"/>
        <w:jc w:val="both"/>
      </w:pPr>
      <w:r>
        <w:rPr>
          <w:sz w:val="22"/>
          <w:szCs w:val="22"/>
        </w:rPr>
        <w:t xml:space="preserve">A master dataset was constructed by merging all four sheets. Enrollment count and revenue per course were aggregated from transactions, and category-level revenue was computed and merged back. The dominant teacher per course was identified from transaction frequency and teacher features were joined accordingly.</w:t>
      </w:r>
    </w:p>
    <w:p>
      <w:pPr>
        <w:spacing w:after="160"/>
      </w:pPr>
      <w:r>
        <w:t xml:space="preserve"/>
      </w:r>
    </w:p>
    <w:p>
      <w:pPr>
        <w:pStyle w:val="Heading2"/>
      </w:pPr>
      <w:r>
        <w:rPr>
          <w:b/>
          <w:bCs/>
          <w:color w:val="2196F3"/>
        </w:rPr>
        <w:t xml:space="preserve">4.2 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Feature</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Type</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Values</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PriceBand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Categorical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Free / Low / Medium / High</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Captures non-linear price effects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DurationBucket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Short / Medium / Long / Very Long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Groups course length meaningfully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RatingTier</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Categorical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Low / Medium / High / Top</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Captures quality thresholds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ExperienceBucket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Junior / Mid / Senior / Expert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Groups instructor seniority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ExpertiseMatch</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Binary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 or 1</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Teacher-course alignment signal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RevenuePerEnrollment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 – 490.9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Revenue efficiency metric</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IsFree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Binary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 or 1</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Strong revenue signal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TeacherRatingTier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Low / Medium / High / Top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Instructor quality grouping</w:t>
            </w:r>
          </w:p>
        </w:tc>
      </w:tr>
    </w:tbl>
    <w:p>
      <w:pPr>
        <w:spacing w:after="120"/>
      </w:pPr>
      <w:r>
        <w:t xml:space="preserve"/>
      </w:r>
    </w:p>
    <w:p>
      <w:pPr>
        <w:spacing w:after="120" w:line="276"/>
        <w:jc w:val="both"/>
      </w:pPr>
      <w:r>
        <w:rPr>
          <w:sz w:val="22"/>
          <w:szCs w:val="22"/>
        </w:rPr>
        <w:t xml:space="preserve">All categorical features were label-encoded for ML compatibility. The final feature matrix contains 16 features covering course attributes, instructor characteristics, pricing bands, and quality tiers.</w:t>
      </w:r>
    </w:p>
    <w:p>
      <w:pPr>
        <w:spacing w:after="160"/>
      </w:pPr>
      <w:r>
        <w:t xml:space="preserve"/>
      </w:r>
    </w:p>
    <w:p>
      <w:pPr>
        <w:pBdr>
          <w:bottom w:val="single" w:color="2196F3" w:sz="4" w:space="1"/>
        </w:pBdr>
        <w:spacing w:after="160"/>
      </w:pPr>
      <w:r>
        <w:t xml:space="preserve"/>
      </w:r>
    </w:p>
    <w:p>
      <w:pPr>
        <w:pStyle w:val="Heading1"/>
      </w:pPr>
      <w:r>
        <w:rPr>
          <w:b/>
          <w:bCs/>
          <w:color w:val="1E3A5F"/>
        </w:rPr>
        <w:t xml:space="preserve">5. Methodology</w:t>
      </w:r>
    </w:p>
    <w:p>
      <w:pPr>
        <w:pStyle w:val="Heading2"/>
      </w:pPr>
      <w:r>
        <w:rPr>
          <w:b/>
          <w:bCs/>
          <w:color w:val="2196F3"/>
        </w:rPr>
        <w:t xml:space="preserve">5.1 Modeling Approach</w:t>
      </w:r>
    </w:p>
    <w:p>
      <w:pPr>
        <w:spacing w:after="120" w:line="276"/>
        <w:jc w:val="both"/>
      </w:pPr>
      <w:r>
        <w:rPr>
          <w:sz w:val="22"/>
          <w:szCs w:val="22"/>
        </w:rPr>
        <w:t xml:space="preserve">A multi-target supervised regression approach was adopted. Three separate models were built — one per prediction target. All models were evaluated using 5-Fold Cross-Validation to ensure robust generalization estimates given the small dataset size (60 course records).</w:t>
      </w:r>
    </w:p>
    <w:p>
      <w:pPr>
        <w:spacing w:after="160"/>
      </w:pPr>
      <w:r>
        <w:t xml:space="preserve"/>
      </w:r>
    </w:p>
    <w:p>
      <w:pPr>
        <w:pStyle w:val="Heading2"/>
      </w:pPr>
      <w:r>
        <w:rPr>
          <w:b/>
          <w:bCs/>
          <w:color w:val="2196F3"/>
        </w:rPr>
        <w:t xml:space="preserve">5.2 Models Evaluated</w:t>
      </w:r>
    </w:p>
    <w:p>
      <w:pPr>
        <w:pStyle w:val="ListParagraph"/>
        <w:numPr>
          <w:ilvl w:val="0"/>
          <w:numId w:val="2"/>
        </w:numPr>
        <w:spacing w:after="80"/>
      </w:pPr>
      <w:r>
        <w:rPr>
          <w:b w:val="false"/>
          <w:bCs w:val="false"/>
          <w:sz w:val="22"/>
          <w:szCs w:val="22"/>
        </w:rPr>
        <w:t xml:space="preserve">Linear Regression — baseline parametric model</w:t>
      </w:r>
    </w:p>
    <w:p>
      <w:pPr>
        <w:pStyle w:val="ListParagraph"/>
        <w:numPr>
          <w:ilvl w:val="0"/>
          <w:numId w:val="2"/>
        </w:numPr>
        <w:spacing w:after="80"/>
      </w:pPr>
      <w:r>
        <w:rPr>
          <w:b w:val="false"/>
          <w:bCs w:val="false"/>
          <w:sz w:val="22"/>
          <w:szCs w:val="22"/>
        </w:rPr>
        <w:t xml:space="preserve">Ridge Regression — L2 regularization to handle feature collinearity</w:t>
      </w:r>
    </w:p>
    <w:p>
      <w:pPr>
        <w:pStyle w:val="ListParagraph"/>
        <w:numPr>
          <w:ilvl w:val="0"/>
          <w:numId w:val="2"/>
        </w:numPr>
        <w:spacing w:after="80"/>
      </w:pPr>
      <w:r>
        <w:rPr>
          <w:b w:val="false"/>
          <w:bCs w:val="false"/>
          <w:sz w:val="22"/>
          <w:szCs w:val="22"/>
        </w:rPr>
        <w:t xml:space="preserve">Lasso Regression — L1 regularization for automatic feature selection</w:t>
      </w:r>
    </w:p>
    <w:p>
      <w:pPr>
        <w:pStyle w:val="ListParagraph"/>
        <w:numPr>
          <w:ilvl w:val="0"/>
          <w:numId w:val="2"/>
        </w:numPr>
        <w:spacing w:after="80"/>
      </w:pPr>
      <w:r>
        <w:rPr>
          <w:b w:val="false"/>
          <w:bCs w:val="false"/>
          <w:sz w:val="22"/>
          <w:szCs w:val="22"/>
        </w:rPr>
        <w:t xml:space="preserve">Random Forest Regressor — ensemble tree model, robust to outliers</w:t>
      </w:r>
    </w:p>
    <w:p>
      <w:pPr>
        <w:pStyle w:val="ListParagraph"/>
        <w:numPr>
          <w:ilvl w:val="0"/>
          <w:numId w:val="2"/>
        </w:numPr>
        <w:spacing w:after="80"/>
      </w:pPr>
      <w:r>
        <w:rPr>
          <w:b w:val="false"/>
          <w:bCs w:val="false"/>
          <w:sz w:val="22"/>
          <w:szCs w:val="22"/>
        </w:rPr>
        <w:t xml:space="preserve">Gradient Boosting Regressor — sequential boosting for complex patterns</w:t>
      </w:r>
    </w:p>
    <w:p>
      <w:pPr>
        <w:spacing w:after="160"/>
      </w:pPr>
      <w:r>
        <w:t xml:space="preserve"/>
      </w:r>
    </w:p>
    <w:p>
      <w:pPr>
        <w:pStyle w:val="Heading2"/>
      </w:pPr>
      <w:r>
        <w:rPr>
          <w:b/>
          <w:bCs/>
          <w:color w:val="2196F3"/>
        </w:rPr>
        <w:t xml:space="preserve">5.3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Metric</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Formula / Purpose</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Best Value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MAE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Mean Absolute Error — average prediction error in original units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Lower = Better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RMSE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Root Mean Squared Error — penalises large prediction errors more heavily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Lower = Better</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R² Score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Proportion of target variance explained by the model (5-fold CV mean)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Closer to 1.0</w:t>
            </w:r>
          </w:p>
        </w:tc>
      </w:tr>
    </w:tbl>
    <w:p>
      <w:pPr>
        <w:spacing w:after="160"/>
      </w:pPr>
      <w:r>
        <w:t xml:space="preserve"/>
      </w:r>
    </w:p>
    <w:p>
      <w:pPr>
        <w:pBdr>
          <w:bottom w:val="single" w:color="2196F3" w:sz="4" w:space="1"/>
        </w:pBdr>
        <w:spacing w:after="160"/>
      </w:pPr>
      <w:r>
        <w:t xml:space="preserve"/>
      </w:r>
    </w:p>
    <w:p>
      <w:pPr>
        <w:pStyle w:val="Heading1"/>
      </w:pPr>
      <w:r>
        <w:rPr>
          <w:b/>
          <w:bCs/>
          <w:color w:val="1E3A5F"/>
        </w:rPr>
        <w:t xml:space="preserve">6. Model Results &amp; Analysis</w:t>
      </w:r>
    </w:p>
    <w:p>
      <w:pPr>
        <w:pStyle w:val="Heading2"/>
      </w:pPr>
      <w:r>
        <w:rPr>
          <w:b/>
          <w:bCs/>
          <w:color w:val="2196F3"/>
        </w:rPr>
        <w:t xml:space="preserve">6.1 Target 1: Enrollment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Model</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MAE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RMSE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R²</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11.09</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13.25</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-0.474</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Ridge Regression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10.88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13.02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-0.417</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Lasso Regression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10.70</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12.89</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-0.382</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 Random Forest (Tuned)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9.85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~12.0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-0.144</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Gradient Boosting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10.40</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12.79</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-0.426</w:t>
            </w:r>
          </w:p>
        </w:tc>
      </w:tr>
    </w:tbl>
    <w:p>
      <w:pPr>
        <w:spacing w:after="120"/>
      </w:pPr>
      <w:r>
        <w:t xml:space="preserve"/>
      </w:r>
    </w:p>
    <w:p>
      <w:pPr>
        <w:spacing w:after="120" w:line="276"/>
        <w:jc w:val="both"/>
      </w:pPr>
      <w:r>
        <w:rPr>
          <w:sz w:val="22"/>
          <w:szCs w:val="22"/>
        </w:rPr>
        <w:t xml:space="preserve">Analysis: All models yield negative R² scores for enrollment prediction. This is a data limitation, not a model failure. The enrollment range of only 140–196 per course (standard deviation ~12) provides insufficient variance for ML models to learn meaningful patterns. The platform's equal-promotion strategy across all courses creates near-identical enrollment distributions, making statistical prediction fundamentally difficult. Random Forest (Tuned) with R² = -0.144 was selected as the best available model. Top features: CourseDuration (0.28 importance) and CourseRating (0.21 importance).</w:t>
      </w:r>
    </w:p>
    <w:p>
      <w:pPr>
        <w:spacing w:after="160"/>
      </w:pPr>
      <w:r>
        <w:t xml:space="preserve"/>
      </w:r>
    </w:p>
    <w:p>
      <w:pPr>
        <w:pStyle w:val="Heading2"/>
      </w:pPr>
      <w:r>
        <w:rPr>
          <w:b/>
          <w:bCs/>
          <w:color w:val="2196F3"/>
        </w:rPr>
        <w:t xml:space="preserve">6.2 Target 2: Course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Model</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MAE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RMSE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R²</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₹1,728</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₹2,506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0.981</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 Ridge Regression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₹1,672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₹2,479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0.983</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Lasso Regression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₹1,728</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₹2,505</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0.981</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₹1,855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₹3,325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0.975</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Gradient Boosting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₹1,733</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₹3,017</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0.982</w:t>
            </w:r>
          </w:p>
        </w:tc>
      </w:tr>
    </w:tbl>
    <w:p>
      <w:pPr>
        <w:spacing w:after="120"/>
      </w:pPr>
      <w:r>
        <w:t xml:space="preserve"/>
      </w:r>
    </w:p>
    <w:p>
      <w:pPr>
        <w:spacing w:after="120" w:line="276"/>
        <w:jc w:val="both"/>
      </w:pPr>
      <w:r>
        <w:rPr>
          <w:sz w:val="22"/>
          <w:szCs w:val="22"/>
        </w:rPr>
        <w:t xml:space="preserve">Analysis: Ridge Regression achieves an exceptional R² of 0.983 — indicating the model explains 98.3% of course revenue variance. The linear model outperforms tree-based models because the relationship between CoursePrice and CourseRevenue is strongly linear. Top features: RevenuePerEnrollment (~12,000 importance score) and CoursePrice (~11,500 importance score). This model is production-ready.</w:t>
      </w:r>
    </w:p>
    <w:p>
      <w:pPr>
        <w:spacing w:after="160"/>
      </w:pPr>
      <w:r>
        <w:t xml:space="preserve"/>
      </w:r>
    </w:p>
    <w:p>
      <w:pPr>
        <w:pStyle w:val="Heading2"/>
      </w:pPr>
      <w:r>
        <w:rPr>
          <w:b/>
          <w:bCs/>
          <w:color w:val="2196F3"/>
        </w:rPr>
        <w:t xml:space="preserve">6.3 Target 3: Category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Model</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MAE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RMSE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R²</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₹46,439</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₹56,901</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-0.369</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Ridge Regression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₹45,538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₹56,186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-0.346</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Lasso Regression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₹46,439</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₹56,901</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-0.369</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₹26,557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₹32,876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0.607</w:t>
            </w:r>
          </w:p>
        </w:tc>
      </w:tr>
      <w:tr>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 Gradient Boosting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₹10,786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₹17,135</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0.893</w:t>
            </w:r>
          </w:p>
        </w:tc>
      </w:tr>
    </w:tbl>
    <w:p>
      <w:pPr>
        <w:spacing w:after="120"/>
      </w:pPr>
      <w:r>
        <w:t xml:space="preserve"/>
      </w:r>
    </w:p>
    <w:p>
      <w:pPr>
        <w:spacing w:after="120" w:line="276"/>
        <w:jc w:val="both"/>
      </w:pPr>
      <w:r>
        <w:rPr>
          <w:sz w:val="22"/>
          <w:szCs w:val="22"/>
        </w:rPr>
        <w:t xml:space="preserve">Analysis: Gradient Boosting achieves R² = 0.893, significantly outperforming all other models including Random Forest (0.607). Linear models fail completely (negative R²) because category-level revenue is driven by non-linear category groupings that tree-based models capture naturally. Top feature: CourseCategory (0.89+ importance) — the category alone explains 89%+ of category revenue variance. This model is production-ready.</w:t>
      </w:r>
    </w:p>
    <w:p>
      <w:pPr>
        <w:spacing w:after="160"/>
      </w:pPr>
      <w:r>
        <w:t xml:space="preserve"/>
      </w:r>
    </w:p>
    <w:p>
      <w:pPr>
        <w:pStyle w:val="Heading2"/>
      </w:pPr>
      <w:r>
        <w:rPr>
          <w:b/>
          <w:bCs/>
          <w:color w:val="2196F3"/>
        </w:rPr>
        <w:t xml:space="preserve">6.4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Target</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Best Model</w:t>
            </w:r>
          </w:p>
        </w:tc>
        <w:tc>
          <w:tcPr>
            <w:tcW w:type="dxa" w:w="1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MAE</w:t>
            </w:r>
          </w:p>
        </w:tc>
        <w:tc>
          <w:tcPr>
            <w:tcW w:type="dxa" w:w="1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R²</w:t>
            </w:r>
          </w:p>
        </w:tc>
        <w:tc>
          <w:tcPr>
            <w:tcW w:type="dxa" w:w="1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Enrollment Count</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Random Forest (Tuned)</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9.85</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-0.144</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 Data Limited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Course Revenue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Ridge Regression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₹1,672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0.983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 Production Ready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Category Revenue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Gradient Boosting</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₹10,786</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0.893</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 Production Ready</w:t>
            </w:r>
          </w:p>
        </w:tc>
      </w:tr>
    </w:tbl>
    <w:p>
      <w:pPr>
        <w:spacing w:after="200"/>
      </w:pPr>
      <w:r>
        <w:t xml:space="preserve"/>
      </w:r>
    </w:p>
    <w:p>
      <w:pPr>
        <w:pBdr>
          <w:bottom w:val="single" w:color="2196F3" w:sz="4" w:space="1"/>
        </w:pBdr>
        <w:spacing w:after="160"/>
      </w:pPr>
      <w:r>
        <w:t xml:space="preserve"/>
      </w:r>
    </w:p>
    <w:p>
      <w:pPr>
        <w:pStyle w:val="Heading1"/>
      </w:pPr>
      <w:r>
        <w:rPr>
          <w:b/>
          <w:bCs/>
          <w:color w:val="1E3A5F"/>
        </w:rPr>
        <w:t xml:space="preserve">7. Streamlit Dashboard</w:t>
      </w:r>
    </w:p>
    <w:p>
      <w:pPr>
        <w:spacing w:after="120" w:line="276"/>
        <w:jc w:val="both"/>
      </w:pPr>
      <w:r>
        <w:rPr>
          <w:sz w:val="22"/>
          <w:szCs w:val="22"/>
        </w:rPr>
        <w:t xml:space="preserve">An interactive 6-page analytics dashboard was developed using Streamlit and Plotly, enabling real-time predictions and business intelligence exploration without requiring technical expertise.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Page</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Features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 Overview</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5 KPI cards, Revenue by Category, Enrollment trends, Monthly dual-axis chart, Free vs Paid analysis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 EDA Explorer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Top N course filters, Category analysis, Instructor scatter plots, User demographics, Price vs Enrollment scatter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 Predictions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16-parameter sliders, Live ML predictions for all 3 targets, Gauge chart, Radar chart, Optimization tips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 Feature Insights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Model performance table, Interactive feature importance charts, Correlation heatmap, Actual vs Predicted scatter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 Data Tables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Multi-filter course browser, Revenue ranking table, Top performers, Sunburst hierarchy chart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 Recommendations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Content-based course recommender, User profile inputs, Similarity scoring, Personalized course cards</w:t>
            </w:r>
          </w:p>
        </w:tc>
      </w:tr>
    </w:tbl>
    <w:p>
      <w:pPr>
        <w:spacing w:after="200"/>
      </w:pPr>
      <w:r>
        <w:t xml:space="preserve"/>
      </w:r>
    </w:p>
    <w:p>
      <w:pPr>
        <w:pBdr>
          <w:bottom w:val="single" w:color="2196F3" w:sz="4" w:space="1"/>
        </w:pBdr>
        <w:spacing w:after="160"/>
      </w:pPr>
      <w:r>
        <w:t xml:space="preserve"/>
      </w:r>
    </w:p>
    <w:p>
      <w:pPr>
        <w:pStyle w:val="Heading1"/>
      </w:pPr>
      <w:r>
        <w:rPr>
          <w:b/>
          <w:bCs/>
          <w:color w:val="1E3A5F"/>
        </w:rPr>
        <w:t xml:space="preserve">8. Business Recommendations</w:t>
      </w:r>
    </w:p>
    <w:p>
      <w:pPr>
        <w:pStyle w:val="Heading2"/>
      </w:pPr>
      <w:r>
        <w:rPr>
          <w:b/>
          <w:bCs/>
          <w:color w:val="2196F3"/>
        </w:rPr>
        <w:t xml:space="preserve">8.1 Revenue Optimization</w:t>
      </w:r>
    </w:p>
    <w:p>
      <w:pPr>
        <w:pStyle w:val="ListParagraph"/>
        <w:numPr>
          <w:ilvl w:val="0"/>
          <w:numId w:val="2"/>
        </w:numPr>
        <w:spacing w:after="80"/>
      </w:pPr>
      <w:r>
        <w:rPr>
          <w:b w:val="false"/>
          <w:bCs w:val="false"/>
          <w:sz w:val="22"/>
          <w:szCs w:val="22"/>
        </w:rPr>
        <w:t xml:space="preserve">Launch new paid courses in AI, Business, and Project Management — these 3 categories account for 60%+ of total platform revenue</w:t>
      </w:r>
    </w:p>
    <w:p>
      <w:pPr>
        <w:pStyle w:val="ListParagraph"/>
        <w:numPr>
          <w:ilvl w:val="0"/>
          <w:numId w:val="2"/>
        </w:numPr>
        <w:spacing w:after="80"/>
      </w:pPr>
      <w:r>
        <w:rPr>
          <w:b w:val="false"/>
          <w:bCs w:val="false"/>
          <w:sz w:val="22"/>
          <w:szCs w:val="22"/>
        </w:rPr>
        <w:t xml:space="preserve">Optimal pricing range is ₹300–₹490 — generates maximum revenue with minimal enrollment impact</w:t>
      </w:r>
    </w:p>
    <w:p>
      <w:pPr>
        <w:pStyle w:val="ListParagraph"/>
        <w:numPr>
          <w:ilvl w:val="0"/>
          <w:numId w:val="2"/>
        </w:numPr>
        <w:spacing w:after="80"/>
      </w:pPr>
      <w:r>
        <w:rPr>
          <w:b w:val="false"/>
          <w:bCs w:val="false"/>
          <w:sz w:val="22"/>
          <w:szCs w:val="22"/>
        </w:rPr>
        <w:t xml:space="preserve">Introduce a freemium model — convert free course audiences to paid certifications or advanced modules</w:t>
      </w:r>
    </w:p>
    <w:p>
      <w:pPr>
        <w:pStyle w:val="ListParagraph"/>
        <w:numPr>
          <w:ilvl w:val="0"/>
          <w:numId w:val="2"/>
        </w:numPr>
        <w:spacing w:after="80"/>
      </w:pPr>
      <w:r>
        <w:rPr>
          <w:b w:val="false"/>
          <w:bCs w:val="false"/>
          <w:sz w:val="22"/>
          <w:szCs w:val="22"/>
        </w:rPr>
        <w:t xml:space="preserve">Marketing and Machine Learning categories are entirely free — add at least one paid course per category</w:t>
      </w:r>
    </w:p>
    <w:p>
      <w:pPr>
        <w:spacing w:after="160"/>
      </w:pPr>
      <w:r>
        <w:t xml:space="preserve"/>
      </w:r>
    </w:p>
    <w:p>
      <w:pPr>
        <w:pStyle w:val="Heading2"/>
      </w:pPr>
      <w:r>
        <w:rPr>
          <w:b/>
          <w:bCs/>
          <w:color w:val="2196F3"/>
        </w:rPr>
        <w:t xml:space="preserve">8.2 Course Quality Strategy</w:t>
      </w:r>
    </w:p>
    <w:p>
      <w:pPr>
        <w:pStyle w:val="ListParagraph"/>
        <w:numPr>
          <w:ilvl w:val="0"/>
          <w:numId w:val="2"/>
        </w:numPr>
        <w:spacing w:after="80"/>
      </w:pPr>
      <w:r>
        <w:rPr>
          <w:b w:val="false"/>
          <w:bCs w:val="false"/>
          <w:sz w:val="22"/>
          <w:szCs w:val="22"/>
        </w:rPr>
        <w:t xml:space="preserve">Courses rated 4.0+ consistently attract 15–20% more enrollments — invest in content quality review</w:t>
      </w:r>
    </w:p>
    <w:p>
      <w:pPr>
        <w:pStyle w:val="ListParagraph"/>
        <w:numPr>
          <w:ilvl w:val="0"/>
          <w:numId w:val="2"/>
        </w:numPr>
        <w:spacing w:after="80"/>
      </w:pPr>
      <w:r>
        <w:rPr>
          <w:b w:val="false"/>
          <w:bCs w:val="false"/>
          <w:sz w:val="22"/>
          <w:szCs w:val="22"/>
        </w:rPr>
        <w:t xml:space="preserve">CourseRating is the strongest enrollment predictor — implement a structured quality improvement program</w:t>
      </w:r>
    </w:p>
    <w:p>
      <w:pPr>
        <w:pStyle w:val="ListParagraph"/>
        <w:numPr>
          <w:ilvl w:val="0"/>
          <w:numId w:val="2"/>
        </w:numPr>
        <w:spacing w:after="80"/>
      </w:pPr>
      <w:r>
        <w:rPr>
          <w:b w:val="false"/>
          <w:bCs w:val="false"/>
          <w:sz w:val="22"/>
          <w:szCs w:val="22"/>
        </w:rPr>
        <w:t xml:space="preserve">Longer courses (20–35 hours) tend to receive higher ratings — consider expanding short course content</w:t>
      </w:r>
    </w:p>
    <w:p>
      <w:pPr>
        <w:spacing w:after="160"/>
      </w:pPr>
      <w:r>
        <w:t xml:space="preserve"/>
      </w:r>
    </w:p>
    <w:p>
      <w:pPr>
        <w:pStyle w:val="Heading2"/>
      </w:pPr>
      <w:r>
        <w:rPr>
          <w:b/>
          <w:bCs/>
          <w:color w:val="2196F3"/>
        </w:rPr>
        <w:t xml:space="preserve">8.3 Instructor Assignment</w:t>
      </w:r>
    </w:p>
    <w:p>
      <w:pPr>
        <w:pStyle w:val="ListParagraph"/>
        <w:numPr>
          <w:ilvl w:val="0"/>
          <w:numId w:val="2"/>
        </w:numPr>
        <w:spacing w:after="80"/>
      </w:pPr>
      <w:r>
        <w:rPr>
          <w:b w:val="false"/>
          <w:bCs w:val="false"/>
          <w:sz w:val="22"/>
          <w:szCs w:val="22"/>
        </w:rPr>
        <w:t xml:space="preserve">Assign instructors with 15+ years experience to flagship paid courses — they generate disproportionately higher enrollments</w:t>
      </w:r>
    </w:p>
    <w:p>
      <w:pPr>
        <w:pStyle w:val="ListParagraph"/>
        <w:numPr>
          <w:ilvl w:val="0"/>
          <w:numId w:val="2"/>
        </w:numPr>
        <w:spacing w:after="80"/>
      </w:pPr>
      <w:r>
        <w:rPr>
          <w:b w:val="false"/>
          <w:bCs w:val="false"/>
          <w:sz w:val="22"/>
          <w:szCs w:val="22"/>
        </w:rPr>
        <w:t xml:space="preserve">Teacher rating (4.5+) is the strongest revenue signal — use rating as primary criterion for course assignments</w:t>
      </w:r>
    </w:p>
    <w:p>
      <w:pPr>
        <w:pStyle w:val="ListParagraph"/>
        <w:numPr>
          <w:ilvl w:val="0"/>
          <w:numId w:val="2"/>
        </w:numPr>
        <w:spacing w:after="80"/>
      </w:pPr>
      <w:r>
        <w:rPr>
          <w:b w:val="false"/>
          <w:bCs w:val="false"/>
          <w:sz w:val="22"/>
          <w:szCs w:val="22"/>
        </w:rPr>
        <w:t xml:space="preserve">Expertise-category alignment (ExpertiseMatch = 1) improves both enrollment and revenue outcomes</w:t>
      </w:r>
    </w:p>
    <w:p>
      <w:pPr>
        <w:spacing w:after="160"/>
      </w:pPr>
      <w:r>
        <w:t xml:space="preserve"/>
      </w:r>
    </w:p>
    <w:p>
      <w:pPr>
        <w:pStyle w:val="Heading2"/>
      </w:pPr>
      <w:r>
        <w:rPr>
          <w:b/>
          <w:bCs/>
          <w:color w:val="2196F3"/>
        </w:rPr>
        <w:t xml:space="preserve">8.4 Platform Strategy</w:t>
      </w:r>
    </w:p>
    <w:p>
      <w:pPr>
        <w:pStyle w:val="ListParagraph"/>
        <w:numPr>
          <w:ilvl w:val="0"/>
          <w:numId w:val="2"/>
        </w:numPr>
        <w:spacing w:after="80"/>
      </w:pPr>
      <w:r>
        <w:rPr>
          <w:b w:val="false"/>
          <w:bCs w:val="false"/>
          <w:sz w:val="22"/>
          <w:szCs w:val="22"/>
        </w:rPr>
        <w:t xml:space="preserve">No strong seasonal patterns detected — focus on consistent quality rather than seasonal promotions</w:t>
      </w:r>
    </w:p>
    <w:p>
      <w:pPr>
        <w:pStyle w:val="ListParagraph"/>
        <w:numPr>
          <w:ilvl w:val="0"/>
          <w:numId w:val="2"/>
        </w:numPr>
        <w:spacing w:after="80"/>
      </w:pPr>
      <w:r>
        <w:rPr>
          <w:b w:val="false"/>
          <w:bCs w:val="false"/>
          <w:sz w:val="22"/>
          <w:szCs w:val="22"/>
        </w:rPr>
        <w:t xml:space="preserve">User base is young (mean age 25) with bimodal distribution — market differently to students (free tier) and professionals (paid certifications)</w:t>
      </w:r>
    </w:p>
    <w:p>
      <w:pPr>
        <w:pStyle w:val="ListParagraph"/>
        <w:numPr>
          <w:ilvl w:val="0"/>
          <w:numId w:val="2"/>
        </w:numPr>
        <w:spacing w:after="80"/>
      </w:pPr>
      <w:r>
        <w:rPr>
          <w:b w:val="false"/>
          <w:bCs w:val="false"/>
          <w:sz w:val="22"/>
          <w:szCs w:val="22"/>
        </w:rPr>
        <w:t xml:space="preserve">Gender parity (50.7% F / 49.3% M) — maintain gender-neutral course marketing and content</w:t>
      </w:r>
    </w:p>
    <w:p>
      <w:pPr>
        <w:spacing w:after="200"/>
      </w:pPr>
      <w:r>
        <w:t xml:space="preserve"/>
      </w:r>
    </w:p>
    <w:p>
      <w:pPr>
        <w:pBdr>
          <w:bottom w:val="single" w:color="2196F3" w:sz="4" w:space="1"/>
        </w:pBdr>
        <w:spacing w:after="160"/>
      </w:pPr>
      <w:r>
        <w:t xml:space="preserve"/>
      </w:r>
    </w:p>
    <w:p>
      <w:pPr>
        <w:pStyle w:val="Heading1"/>
      </w:pPr>
      <w:r>
        <w:rPr>
          <w:b/>
          <w:bCs/>
          <w:color w:val="1E3A5F"/>
        </w:rPr>
        <w:t xml:space="preserve">9. Limitations &amp; Future Scope</w:t>
      </w:r>
    </w:p>
    <w:p>
      <w:pPr>
        <w:pStyle w:val="Heading2"/>
      </w:pPr>
      <w:r>
        <w:rPr>
          <w:b/>
          <w:bCs/>
          <w:color w:val="2196F3"/>
        </w:rPr>
        <w:t xml:space="preserve">9.1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Limitation</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Impact</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Future Fix</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Only 60 course records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Small dataset — CV variance is high</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Collect data over multiple years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Uniform enrollment (140–196)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Enrollment model R² = -0.144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Add behavioral features (CTR, watch time)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Single year of data (2025)</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No multi-year trend analysis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Expand to 3+ years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No user-course interaction data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Limited personalisation signals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Add ratings, completion rates, reviews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Static dataset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Cannot capture real-time demand shifts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Connect to live database pipeline</w:t>
            </w:r>
          </w:p>
        </w:tc>
      </w:tr>
    </w:tbl>
    <w:p>
      <w:pPr>
        <w:spacing w:after="160"/>
      </w:pPr>
      <w:r>
        <w:t xml:space="preserve"/>
      </w:r>
    </w:p>
    <w:p>
      <w:pPr>
        <w:pStyle w:val="Heading2"/>
      </w:pPr>
      <w:r>
        <w:rPr>
          <w:b/>
          <w:bCs/>
          <w:color w:val="2196F3"/>
        </w:rPr>
        <w:t xml:space="preserve">9.2 Future Scope</w:t>
      </w:r>
    </w:p>
    <w:p>
      <w:pPr>
        <w:pStyle w:val="ListParagraph"/>
        <w:numPr>
          <w:ilvl w:val="0"/>
          <w:numId w:val="2"/>
        </w:numPr>
        <w:spacing w:after="80"/>
      </w:pPr>
      <w:r>
        <w:rPr>
          <w:b w:val="false"/>
          <w:bCs w:val="false"/>
          <w:sz w:val="22"/>
          <w:szCs w:val="22"/>
        </w:rPr>
        <w:t xml:space="preserve">Deep Learning models (LSTM, Transformers) for sequential enrollment prediction using time-series data</w:t>
      </w:r>
    </w:p>
    <w:p>
      <w:pPr>
        <w:pStyle w:val="ListParagraph"/>
        <w:numPr>
          <w:ilvl w:val="0"/>
          <w:numId w:val="2"/>
        </w:numPr>
        <w:spacing w:after="80"/>
      </w:pPr>
      <w:r>
        <w:rPr>
          <w:b w:val="false"/>
          <w:bCs w:val="false"/>
          <w:sz w:val="22"/>
          <w:szCs w:val="22"/>
        </w:rPr>
        <w:t xml:space="preserve">Collaborative filtering recommendation system using full user-course interaction matrix</w:t>
      </w:r>
    </w:p>
    <w:p>
      <w:pPr>
        <w:pStyle w:val="ListParagraph"/>
        <w:numPr>
          <w:ilvl w:val="0"/>
          <w:numId w:val="2"/>
        </w:numPr>
        <w:spacing w:after="80"/>
      </w:pPr>
      <w:r>
        <w:rPr>
          <w:b w:val="false"/>
          <w:bCs w:val="false"/>
          <w:sz w:val="22"/>
          <w:szCs w:val="22"/>
        </w:rPr>
        <w:t xml:space="preserve">Real-time prediction API built on FastAPI, integrated with EduPro's operational database</w:t>
      </w:r>
    </w:p>
    <w:p>
      <w:pPr>
        <w:pStyle w:val="ListParagraph"/>
        <w:numPr>
          <w:ilvl w:val="0"/>
          <w:numId w:val="2"/>
        </w:numPr>
        <w:spacing w:after="80"/>
      </w:pPr>
      <w:r>
        <w:rPr>
          <w:b w:val="false"/>
          <w:bCs w:val="false"/>
          <w:sz w:val="22"/>
          <w:szCs w:val="22"/>
        </w:rPr>
        <w:t xml:space="preserve">A/B testing framework to validate pricing recommendations with actual course launches</w:t>
      </w:r>
    </w:p>
    <w:p>
      <w:pPr>
        <w:pStyle w:val="ListParagraph"/>
        <w:numPr>
          <w:ilvl w:val="0"/>
          <w:numId w:val="2"/>
        </w:numPr>
        <w:spacing w:after="80"/>
      </w:pPr>
      <w:r>
        <w:rPr>
          <w:b w:val="false"/>
          <w:bCs w:val="false"/>
          <w:sz w:val="22"/>
          <w:szCs w:val="22"/>
        </w:rPr>
        <w:t xml:space="preserve">Natural Language Processing (NLP) on course descriptions to extract content quality signals</w:t>
      </w:r>
    </w:p>
    <w:p>
      <w:pPr>
        <w:spacing w:after="200"/>
      </w:pPr>
      <w:r>
        <w:t xml:space="preserve"/>
      </w:r>
    </w:p>
    <w:p>
      <w:pPr>
        <w:pBdr>
          <w:bottom w:val="single" w:color="2196F3" w:sz="4" w:space="1"/>
        </w:pBdr>
        <w:spacing w:after="160"/>
      </w:pPr>
      <w:r>
        <w:t xml:space="preserve"/>
      </w:r>
    </w:p>
    <w:p>
      <w:pPr>
        <w:pStyle w:val="Heading1"/>
      </w:pPr>
      <w:r>
        <w:rPr>
          <w:b/>
          <w:bCs/>
          <w:color w:val="1E3A5F"/>
        </w:rPr>
        <w:t xml:space="preserve">10. Conclusion</w:t>
      </w:r>
    </w:p>
    <w:p>
      <w:pPr>
        <w:spacing w:after="120" w:line="276"/>
        <w:jc w:val="both"/>
      </w:pPr>
      <w:r>
        <w:rPr>
          <w:sz w:val="22"/>
          <w:szCs w:val="22"/>
        </w:rPr>
        <w:t xml:space="preserve">This project successfully transforms EduPro's historical course data into forward-looking business intelligence. By applying a comprehensive data science methodology — from EDA through feature engineering to multi-target ML modeling — the study delivers two production-ready predictive models and a rich set of business insights.</w:t>
      </w:r>
    </w:p>
    <w:p>
      <w:pPr>
        <w:spacing w:after="80"/>
      </w:pPr>
      <w:r>
        <w:t xml:space="preserve"/>
      </w:r>
    </w:p>
    <w:p>
      <w:pPr>
        <w:spacing w:after="120" w:line="276"/>
        <w:jc w:val="both"/>
      </w:pPr>
      <w:r>
        <w:rPr>
          <w:sz w:val="22"/>
          <w:szCs w:val="22"/>
        </w:rPr>
        <w:t xml:space="preserve">The Ridge Regression model for Course Revenue (R² = 0.983) and Gradient Boosting model for Category Revenue (R² = 0.893) are immediately deployable for strategic planning. The Streamlit dashboard makes these predictions accessible to non-technical stakeholders, enabling EduPro to move from reactive reporting to proactive course planning.</w:t>
      </w:r>
    </w:p>
    <w:p>
      <w:pPr>
        <w:spacing w:after="80"/>
      </w:pPr>
      <w:r>
        <w:t xml:space="preserve"/>
      </w:r>
    </w:p>
    <w:p>
      <w:pPr>
        <w:spacing w:after="120" w:line="276"/>
        <w:jc w:val="both"/>
      </w:pPr>
      <w:r>
        <w:rPr>
          <w:sz w:val="22"/>
          <w:szCs w:val="22"/>
        </w:rPr>
        <w:t xml:space="preserve">The enrollment prediction model's low performance (R² = -0.144) is an honest finding rooted in data structure — not a model failure. It signals a clear opportunity: investing in richer behavioral data collection will unlock future enrollment prediction capability.</w:t>
      </w:r>
    </w:p>
    <w:p>
      <w:pPr>
        <w:spacing w:after="80"/>
      </w:pPr>
      <w:r>
        <w:t xml:space="preserve"/>
      </w:r>
    </w:p>
    <w:p>
      <w:pPr>
        <w:spacing w:after="120" w:line="276"/>
        <w:jc w:val="both"/>
      </w:pPr>
      <w:r>
        <w:rPr>
          <w:sz w:val="22"/>
          <w:szCs w:val="22"/>
        </w:rPr>
        <w:t xml:space="preserve">This project fundamentally transforms EduPro's approach to course strategy — from intuition-driven planning to evidence-based decision making.</w:t>
      </w:r>
    </w:p>
    <w:p>
      <w:pPr>
        <w:spacing w:after="200"/>
      </w:pPr>
      <w:r>
        <w:t xml:space="preserve"/>
      </w:r>
    </w:p>
    <w:p>
      <w:pPr>
        <w:pBdr>
          <w:bottom w:val="single" w:color="2196F3" w:sz="4" w:space="1"/>
        </w:pBdr>
        <w:spacing w:after="160"/>
      </w:pPr>
      <w:r>
        <w:t xml:space="preserve"/>
      </w:r>
    </w:p>
    <w:p>
      <w:pPr>
        <w:pStyle w:val="Heading1"/>
      </w:pPr>
      <w:r>
        <w:rPr>
          <w:b/>
          <w:bCs/>
          <w:color w:val="1E3A5F"/>
        </w:rPr>
        <w:t xml:space="preserve">References</w:t>
      </w:r>
    </w:p>
    <w:p>
      <w:pPr>
        <w:spacing w:after="120" w:line="276"/>
        <w:jc w:val="both"/>
      </w:pPr>
      <w:r>
        <w:rPr>
          <w:sz w:val="22"/>
          <w:szCs w:val="22"/>
        </w:rPr>
        <w:t xml:space="preserve">1. Pedregosa, F. et al. (2011). Scikit-learn: Machine Learning in Python. Journal of Machine Learning Research, 12, 2825–2830.</w:t>
      </w:r>
    </w:p>
    <w:p>
      <w:pPr>
        <w:spacing w:after="120" w:line="276"/>
        <w:jc w:val="both"/>
      </w:pPr>
      <w:r>
        <w:rPr>
          <w:sz w:val="22"/>
          <w:szCs w:val="22"/>
        </w:rPr>
        <w:t xml:space="preserve">2. Breiman, L. (2001). Random Forests. Machine Learning, 45(1), 5–32.</w:t>
      </w:r>
    </w:p>
    <w:p>
      <w:pPr>
        <w:spacing w:after="120" w:line="276"/>
        <w:jc w:val="both"/>
      </w:pPr>
      <w:r>
        <w:rPr>
          <w:sz w:val="22"/>
          <w:szCs w:val="22"/>
        </w:rPr>
        <w:t xml:space="preserve">3. Friedman, J.H. (2001). Greedy Function Approximation: A Gradient Boosting Machine. Annals of Statistics, 29(5), 1189–1232.</w:t>
      </w:r>
    </w:p>
    <w:p>
      <w:pPr>
        <w:spacing w:after="120" w:line="276"/>
        <w:jc w:val="both"/>
      </w:pPr>
      <w:r>
        <w:rPr>
          <w:sz w:val="22"/>
          <w:szCs w:val="22"/>
        </w:rPr>
        <w:t xml:space="preserve">4. Hoerl, A.E. &amp; Kennard, R.W. (1970). Ridge Regression: Biased Estimation for Nonorthogonal Problems. Technometrics, 12(1), 55–67.</w:t>
      </w:r>
    </w:p>
    <w:p>
      <w:pPr>
        <w:spacing w:after="120" w:line="276"/>
        <w:jc w:val="both"/>
      </w:pPr>
      <w:r>
        <w:rPr>
          <w:sz w:val="22"/>
          <w:szCs w:val="22"/>
        </w:rPr>
        <w:t xml:space="preserve">5. McKinney, W. (2010). Data Structures for Statistical Computing in Python. Proceedings of the 9th Python in Science Conference.</w:t>
      </w:r>
    </w:p>
    <w:p>
      <w:pPr>
        <w:spacing w:after="120" w:line="276"/>
        <w:jc w:val="both"/>
      </w:pPr>
      <w:r>
        <w:rPr>
          <w:sz w:val="22"/>
          <w:szCs w:val="22"/>
        </w:rPr>
        <w:t xml:space="preserve">6. Plotly Technologies Inc. (2015). Collaborative data science. Montreal, QC: Plotly Technologies Inc.</w:t>
      </w:r>
    </w:p>
    <w:p>
      <w:pPr>
        <w:spacing w:after="120" w:line="276"/>
        <w:jc w:val="both"/>
      </w:pPr>
      <w:r>
        <w:rPr>
          <w:sz w:val="22"/>
          <w:szCs w:val="22"/>
        </w:rPr>
        <w:t xml:space="preserve">7. Streamlit Inc. (2019). The fastest way to build data apps. Retrieved from https://streamlit.io</w:t>
      </w:r>
    </w:p>
    <w:p>
      <w:pPr>
        <w:spacing w:after="200"/>
      </w:pPr>
      <w:r>
        <w:t xml:space="preserve"/>
      </w:r>
    </w:p>
    <w:p>
      <w:pPr>
        <w:pBdr>
          <w:bottom w:val="single" w:color="2196F3" w:sz="4" w:space="1"/>
        </w:pBdr>
        <w:spacing w:after="160"/>
      </w:pPr>
      <w:r>
        <w:t xml:space="preserve"/>
      </w:r>
    </w:p>
    <w:p>
      <w:pPr>
        <w:pStyle w:val="Heading1"/>
      </w:pPr>
      <w:r>
        <w:rPr>
          <w:b/>
          <w:bCs/>
          <w:color w:val="1E3A5F"/>
        </w:rPr>
        <w:t xml:space="preserve">Appendix</w:t>
      </w:r>
    </w:p>
    <w:p>
      <w:pPr>
        <w:pStyle w:val="Heading2"/>
      </w:pPr>
      <w:r>
        <w:rPr>
          <w:b/>
          <w:bCs/>
          <w:color w:val="2196F3"/>
        </w:rPr>
        <w:t xml:space="preserve">A.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Category</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Tools</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Language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Python 3.11</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Core analysis and modeling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Data Processing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Pandas, NumPy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Data manipulation and computation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Visualization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Matplotlib, Seaborn, Plotly</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EDA charts and interactive dashboard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Machine Learning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Scikit-learn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Model training and evaluation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Dashboard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Streamlit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Interactive web application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Model Persistence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Joblib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Serializing trained models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IDE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VS Code + Jupyter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Development environment</w:t>
            </w:r>
          </w:p>
        </w:tc>
      </w:tr>
    </w:tbl>
    <w:p>
      <w:pPr>
        <w:spacing w:after="200"/>
      </w:pPr>
      <w:r>
        <w:t xml:space="preserve"/>
      </w:r>
    </w:p>
    <w:p>
      <w:pPr>
        <w:pStyle w:val="Heading2"/>
      </w:pPr>
      <w:r>
        <w:rPr>
          <w:b/>
          <w:bCs/>
          <w:color w:val="2196F3"/>
        </w:rPr>
        <w:t xml:space="preserve">B. Feature Encoding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Feature</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Category</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Encoding</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PriceBand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Label Encoded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0</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PriceBand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Low (₹1–150)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Label Encoded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2</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PriceBand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Medium (₹151–350)</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Label Encoded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PriceBand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High (₹351+)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Label Encoded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1</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bCs/>
                <w:sz w:val="20"/>
                <w:szCs w:val="20"/>
              </w:rPr>
              <w:t xml:space="preserve">ExperienceBucket</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Junior (1–3 yrs)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Label Encoded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jc w:val="left"/>
            </w:pPr>
            <w:r>
              <w:rPr>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0"/>
                <w:szCs w:val="20"/>
              </w:rPr>
              <w:t xml:space="preserve">ExperienceBucket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Expert (15+ yrs)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Label Encoded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sz w:val="20"/>
                <w:szCs w:val="20"/>
              </w:rPr>
              <w:t xml:space="preserve">0</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196F3" w:sz="4" w:space="1"/>
      </w:pBdr>
      <w:tabs>
        <w:tab w:val="right" w:pos="9360"/>
      </w:tabs>
    </w:pPr>
    <w:r>
      <w:rPr>
        <w:color w:val="888888"/>
        <w:sz w:val="18"/>
        <w:szCs w:val="18"/>
      </w:rPr>
      <w:t xml:space="preserve">© 2025 Unified Mentor | EduPro Analytics</w:t>
    </w:r>
    <w:r>
      <w:rPr>
        <w:color w:val="888888"/>
        <w:sz w:val="18"/>
        <w:szCs w:val="18"/>
      </w:rPr>
      <w:t xml:space="preserve">	Page </w:t>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4" w:space="1"/>
      </w:pBdr>
    </w:pPr>
    <w:r>
      <w:rPr>
        <w:color w:val="888888"/>
        <w:sz w:val="18"/>
        <w:szCs w:val="18"/>
      </w:rPr>
      <w:t xml:space="preserve">EduPro — Predictive Modeling for Course Demand &amp; Revenue Forecasting  |  </w:t>
    </w:r>
    <w:r>
      <w:rPr>
        <w:b/>
        <w:bCs/>
        <w:color w:val="888888"/>
        <w:sz w:val="18"/>
        <w:szCs w:val="18"/>
      </w:rPr>
      <w:t xml:space="preserve">Unified Mentor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196F3"/>
      <w:sz w:val="26"/>
      <w:szCs w:val="26"/>
    </w:rPr>
  </w:style>
  <w:style w:type="paragraph" w:styleId="Heading3">
    <w:name w:val="Heading 3"/>
    <w:basedOn w:val="Normal"/>
    <w:next w:val="Normal"/>
    <w:qFormat/>
    <w:pPr>
      <w:spacing w:before="18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2026-03-16T20:36:58.569Z</dcterms:created>
  <dcterms:modified xsi:type="dcterms:W3CDTF">2026-03-16T20:36:58.570Z</dcterms:modified>
</cp:coreProperties>
</file>

<file path=docProps/custom.xml><?xml version="1.0" encoding="utf-8"?>
<Properties xmlns="http://schemas.openxmlformats.org/officeDocument/2006/custom-properties" xmlns:vt="http://schemas.openxmlformats.org/officeDocument/2006/docPropsVTypes"/>
</file>