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b/>
          <w:sz w:val="34"/>
        </w:rPr>
        <w:t>END-TO-END INVESTIGATIVE AI PLATFORM — SYSTEM ARCHITECTURE</w:t>
      </w:r>
    </w:p>
    <w:p>
      <w:pPr>
        <w:spacing w:after="100" w:line="240" w:lineRule="auto"/>
        <w:jc w:val="center"/>
      </w:pPr>
      <w:r>
        <w:rPr>
          <w:i/>
          <w:sz w:val="17"/>
        </w:rPr>
        <w:t>Phase 0 Security &amp; Core Platform → Phase 4 Investigator Workspace &amp; Verified Export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PHASE 0: SECURITY &amp; CORE PLATFORM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6"/>
              </w:rPr>
              <w:t>FastAPI • PostgreSQL 16 • SQLAlchemy 2.0 • Alembic • Pydantic v2 • python-jose (JWT)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6"/>
              </w:rPr>
              <w:t>RBAC (Admin Master vs. Scanned Case Access) • Tamper-Evident Audit Logging</w:t>
            </w:r>
          </w:p>
        </w:tc>
      </w:tr>
    </w:tbl>
    <w:p>
      <w:pPr>
        <w:spacing w:before="0" w:after="0" w:line="240" w:lineRule="auto"/>
        <w:jc w:val="center"/>
      </w:pPr>
      <w:r>
        <w:rPr>
          <w:b/>
          <w:sz w:val="22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E2F0D9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PHASE 1: SECURE INGESTION &amp; MULTI-SCRIPT VISION PARSING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6"/>
              </w:rPr>
              <w:t>MIME &amp; ClamAV Scan  →  MinIO Storage (SHA-256)  →  Celery Worker + Redis Queue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7F7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TABULAR &amp; NATIVE BRANCH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Spreadsheets (CDRs): pandas / openpyxl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Digital PDF: PyMuPDF block dumps</w:t>
            </w:r>
          </w:p>
        </w:tc>
        <w:tc>
          <w:tcPr>
            <w:tcW w:type="dxa" w:w="7344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7F7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VISUAL CANVAS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OpenCV / Denoise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Surya Layout Detection</w:t>
            </w:r>
          </w:p>
        </w:tc>
      </w:tr>
    </w:tbl>
    <w:p>
      <w:pPr>
        <w:spacing w:line="240" w:lineRule="auto"/>
        <w:jc w:val="center"/>
      </w:pPr>
      <w:r>
        <w:rPr>
          <w:sz w:val="16"/>
        </w:rPr>
        <w:t xml:space="preserve">                         ↘                                   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FFFFF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PRINTED TEXT REGIONS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PaddleOCR (Indic / English)</w:t>
            </w:r>
          </w:p>
        </w:tc>
        <w:tc>
          <w:tcPr>
            <w:tcW w:type="dxa" w:w="7344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FFFFF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HAND SCRIPT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Evaluated Indic HTR</w:t>
            </w:r>
          </w:p>
        </w:tc>
      </w:tr>
    </w:tbl>
    <w:p>
      <w:pPr>
        <w:spacing w:line="240" w:lineRule="auto"/>
        <w:jc w:val="center"/>
      </w:pPr>
      <w:r>
        <w:rPr>
          <w:sz w:val="16"/>
        </w:rPr>
        <w:t xml:space="preserve">                         ↘                                   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DDEB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UNIFIED EVIDENCE PAYLOAD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6"/>
              </w:rPr>
              <w:t>Text + BBox + Page + Lineage Hash</w:t>
            </w:r>
          </w:p>
        </w:tc>
      </w:tr>
    </w:tbl>
    <w:p>
      <w:pPr>
        <w:spacing w:before="0" w:after="0" w:line="240" w:lineRule="auto"/>
        <w:jc w:val="center"/>
      </w:pPr>
      <w:r>
        <w:rPr>
          <w:b/>
          <w:sz w:val="22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CE4D6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PHASE 2: INFORMATION EXTRACTION &amp; PROBABILISTIC RESOLUTION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1. Normalization: Canonical Unicode NFC (Preserves Devanagari ZWJ/ZWNJ; NO spelling fixes)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2. Dual Extraction: Deterministic (Compiled Regex + Luhn Validator) • Contextual (GLiNER-Multi + IndicBERT-v2 / MahaRoBERTa)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3. Intra-Document Relations: Direct CDR edges + Document context co-occurrences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4. Probabilistic Entity Resolution (Splink + Jellyfish + Indic-NLP)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E2F0D9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SCORE ≥ 0.85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4"/>
              </w:rPr>
              <w:t>MATCH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4"/>
              </w:rPr>
              <w:t>Merge to Canonical Global ID</w:t>
            </w:r>
          </w:p>
        </w:tc>
        <w:tc>
          <w:tcPr>
            <w:tcW w:type="dxa" w:w="4896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0.50 ≤ SCORE &lt; 0.85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4"/>
              </w:rPr>
              <w:t>REVIEW_REQUIRED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4"/>
              </w:rPr>
              <w:t>Provisional Node + POSSIBLE_SAME_AS edge</w:t>
            </w:r>
          </w:p>
        </w:tc>
        <w:tc>
          <w:tcPr>
            <w:tcW w:type="dxa" w:w="4896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4CCCC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SCORE &lt; 0.50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4"/>
              </w:rPr>
              <w:t>NO_MATCH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4"/>
              </w:rPr>
              <w:t>Distinct Entity</w:t>
            </w:r>
          </w:p>
        </w:tc>
      </w:tr>
    </w:tbl>
    <w:p>
      <w:pPr>
        <w:spacing w:before="0" w:after="0" w:line="240" w:lineRule="auto"/>
        <w:jc w:val="center"/>
      </w:pPr>
      <w:r>
        <w:rPr>
          <w:b/>
          <w:sz w:val="22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EDE7F6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PHASE 3: GRAPH INTELLIGENCE &amp; CONSTRAINED GraphRAG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7"/>
              </w:rPr>
              <w:t>Neo4j Multi-Tenant Graph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7F7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EVIDENCE SUBGRAPH (OBSERVED / DERIVED)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Direct physical evidence lineages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Edge-level bounding box links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Neo4j GDS: PageRank, Betweenness, Leiden</w:t>
            </w:r>
          </w:p>
        </w:tc>
        <w:tc>
          <w:tcPr>
            <w:tcW w:type="dxa" w:w="7344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ANALYTICAL SUBGRAPH (PREDICTED)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PyG Heterogeneous Embeddings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R-GCN Link Prediction Engine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GNNExplainer Attribution Paths</w:t>
            </w:r>
          </w:p>
        </w:tc>
      </w:tr>
    </w:tbl>
    <w:p>
      <w:pPr>
        <w:spacing w:line="240" w:lineRule="auto"/>
        <w:jc w:val="center"/>
      </w:pPr>
      <w:r>
        <w:rPr>
          <w:sz w:val="16"/>
        </w:rPr>
        <w:t xml:space="preserve">              ↘                                                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CONSTRAINED GraphRAG ENGINE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Subgraph Traversal + pgvector Context Fusion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Self-Hosted vLLM Local Inference Server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Strict Grounded Rule: Fallback to "Insufficient Evidence"</w:t>
            </w:r>
          </w:p>
        </w:tc>
      </w:tr>
    </w:tbl>
    <w:p>
      <w:pPr>
        <w:spacing w:before="0" w:after="0" w:line="240" w:lineRule="auto"/>
        <w:jc w:val="center"/>
      </w:pPr>
      <w:r>
        <w:rPr>
          <w:b/>
          <w:sz w:val="22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14688"/>
            <w:vAlign w:val="center"/>
            <w:tcBorders>
              <w:top w:val="single" w:sz="6" w:color="9E9E9E"/>
              <w:left w:val="single" w:sz="6" w:color="9E9E9E"/>
              <w:bottom w:val="single" w:sz="6" w:color="9E9E9E"/>
              <w:right w:val="single" w:sz="6" w:color="9E9E9E"/>
              <w:insideH w:val="single" w:sz="6" w:color="9E9E9E"/>
              <w:insideV w:val="single" w:sz="6" w:color="9E9E9E"/>
            </w:tcBorders>
            <w:shd w:fill="E2F0D9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5"/>
              </w:rPr>
              <w:t>PHASE 4: INVESTIGATOR WORKSPACE &amp; VERIFIED EXPORT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Next.js 14 + React 18 + Tailwind CSS + shadcn/ui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Interactive Knowledge Graph Explorer (Cytoscape.js / fcose layout)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Synchronized Evidence Viewer: react-pdf with dynamic SVG Bounding Box Canvas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Evidence-Grounded AI Copilot with [Doc, Page, BBox] Click-to-Jump Navigation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Cross-Case Jurisdictional Bridge &amp; Workspace Hopping</w:t>
            </w:r>
          </w:p>
          <w:p>
            <w:pPr>
              <w:spacing w:after="0" w:before="0"/>
              <w:jc w:val="left"/>
            </w:pPr>
            <w:r>
              <w:rPr>
                <w:b w:val="0"/>
                <w:sz w:val="15"/>
              </w:rPr>
              <w:t>• Automated Report Generation Engine (ReportLab / WeasyPrint PDF briefs)</w:t>
            </w:r>
          </w:p>
        </w:tc>
      </w:tr>
    </w:tbl>
    <w:p>
      <w:pPr>
        <w:spacing w:before="60" w:line="240" w:lineRule="auto"/>
        <w:jc w:val="center"/>
      </w:pPr>
      <w:r>
        <w:rPr>
          <w:b/>
          <w:sz w:val="0"/>
        </w:rPr>
        <w:t>ARCHITECTURE FLOW  |  SECURE INGESTION → EVIDENCE PRESERVATION → RESOLUTION → GRAPH INTELLIGENCE → VERIFIED INVESTIGATOR OUTPUT</w:t>
      </w:r>
    </w:p>
    <w:sectPr w:rsidR="00FC693F" w:rsidRPr="0006063C" w:rsidSect="00034616">
      <w:pgSz w:w="15840" w:h="12240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