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  <w:jc w:val="center"/>
      </w:pPr>
      <w:r>
        <w:rPr>
          <w:b/>
          <w:sz w:val="36"/>
        </w:rPr>
        <w:t>PHASE 3 — SYSTEM ARCHITECTURE</w:t>
      </w:r>
    </w:p>
    <w:p>
      <w:pPr>
        <w:spacing w:after="40" w:before="20"/>
        <w:jc w:val="center"/>
      </w:pPr>
      <w:r>
        <w:rPr>
          <w:i/>
          <w:sz w:val="18"/>
        </w:rPr>
        <w:t>Frontend Workspace → Backend Services → Storage &amp; Persistence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FRONTEND WORKSPACE (Next.js / React)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Investigator-facing interface for graph exploration, evidence inspection, and AI-assisted investigation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Graph Canvas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Cytoscape or Vis-Network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Interactive graph visualization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Entity / relationship exploration</w:t>
            </w:r>
          </w:p>
        </w:tc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Evidence Document Viewer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PDF Canvas + Dynamic BBox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Evidence document rendering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Jump-to-bounding-box highlighting</w:t>
            </w:r>
          </w:p>
        </w:tc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AI Copilot &amp; Lead Drawer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Chat, Citations, Alerts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Evidence-grounded assistance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Investigative lead presentation</w:t>
            </w:r>
          </w:p>
        </w:tc>
      </w:tr>
    </w:tbl>
    <w:p>
      <w:pPr>
        <w:spacing w:after="40" w:before="20"/>
        <w:jc w:val="center"/>
      </w:pPr>
      <w:r>
        <w:rPr>
          <w:b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vAlign w:val="center"/>
            <w:shd w:fill="E8F1E8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BACKEND SERVICES (FastAPI)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API layer connecting the frontend to graph, evidence, and assistant capabilities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Case &amp; Subgraph API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Filter by case_id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Cross-case expansion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Merge review approval</w:t>
            </w:r>
          </w:p>
        </w:tc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Evidence File Service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S3 signed URL retrieval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Normalization / BBox API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PDF page rendering</w:t>
            </w:r>
          </w:p>
        </w:tc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GraphRAG Assistant API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Context Assembly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Fallback Guardrail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• Automated Report Generation</w:t>
            </w:r>
          </w:p>
        </w:tc>
      </w:tr>
    </w:tbl>
    <w:p>
      <w:pPr>
        <w:spacing w:after="40" w:before="20"/>
        <w:jc w:val="center"/>
      </w:pPr>
      <w:r>
        <w:rPr>
          <w:b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14544"/>
            <w:vAlign w:val="center"/>
            <w:shd w:fill="FFF2CC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STORAGE &amp; PERSISTENCE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Persistent data and evidence layer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Neo4j Knowledge Graph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Nodes, Edges, Review Flags</w:t>
            </w:r>
          </w:p>
        </w:tc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MinIO / S3 Object Store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Raw PDF / Image Evidence</w:t>
            </w:r>
          </w:p>
        </w:tc>
        <w:tc>
          <w:tcPr>
            <w:tcW w:type="dxa" w:w="4848"/>
            <w:vAlign w:val="center"/>
            <w:shd w:fill="F7F7F7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PostgreSQL Relational DB</w:t>
            </w:r>
          </w:p>
          <w:p>
            <w:pPr>
              <w:spacing w:after="20"/>
            </w:pPr>
            <w:r>
              <w:rPr>
                <w:b w:val="0"/>
                <w:sz w:val="15"/>
              </w:rPr>
              <w:t>Cases, Users, Audit Logs</w:t>
            </w:r>
          </w:p>
        </w:tc>
      </w:tr>
    </w:tbl>
    <w:p>
      <w:pPr>
        <w:spacing w:after="40" w:before="20"/>
      </w:pPr>
    </w:p>
    <w:p>
      <w:pPr>
        <w:spacing w:after="40" w:before="20"/>
        <w:jc w:val="center"/>
      </w:pPr>
      <w:r>
        <w:rPr>
          <w:b/>
          <w:sz w:val="20"/>
        </w:rPr>
        <w:t>Architecture Flow:  Frontend Workspace  →  FastAPI Backend Services  →  Storage &amp; Persistence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