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An</w:t>
      </w:r>
      <w:r>
        <w:t xml:space="preserve"> </w:t>
      </w:r>
      <w:r>
        <w:t xml:space="preserve">Attack-Driven</w:t>
      </w:r>
      <w:r>
        <w:t xml:space="preserve"> </w:t>
      </w:r>
      <w:r>
        <w:t xml:space="preserve">Study</w:t>
      </w:r>
      <w:r>
        <w:t xml:space="preserve"> </w:t>
      </w:r>
      <w:r>
        <w:t xml:space="preserve">of</w:t>
      </w:r>
      <w:r>
        <w:t xml:space="preserve"> </w:t>
      </w:r>
      <w:r>
        <w:t xml:space="preserve">NCSG</w:t>
      </w:r>
      <w:r>
        <w:t xml:space="preserve"> </w:t>
      </w:r>
      <w:r>
        <w:t xml:space="preserve">Fibers</w:t>
      </w:r>
      <w:r>
        <w:t xml:space="preserve"> </w:t>
      </w:r>
      <w:r>
        <w:t xml:space="preserve">and</w:t>
      </w:r>
      <w:r>
        <w:t xml:space="preserve"> </w:t>
      </w:r>
      <w:r>
        <w:t xml:space="preserve">Hidden-MDS</w:t>
      </w:r>
      <w:r>
        <w:t xml:space="preserve"> </w:t>
      </w:r>
      <w:r>
        <w:t xml:space="preserve">KEMs</w:t>
      </w:r>
    </w:p>
    <w:p>
      <w:pPr>
        <w:pStyle w:val="Subtitle"/>
      </w:pPr>
      <w:r>
        <w:t xml:space="preserve">Revised</w:t>
      </w:r>
      <w:r>
        <w:t xml:space="preserve"> </w:t>
      </w:r>
      <w:r>
        <w:t xml:space="preserve">mathematical</w:t>
      </w:r>
      <w:r>
        <w:t xml:space="preserve"> </w:t>
      </w:r>
      <w:r>
        <w:t xml:space="preserve">analysis</w:t>
      </w:r>
      <w:r>
        <w:t xml:space="preserve"> </w:t>
      </w:r>
      <w:r>
        <w:t xml:space="preserve">and</w:t>
      </w:r>
      <w:r>
        <w:t xml:space="preserve"> </w:t>
      </w:r>
      <w:r>
        <w:t xml:space="preserve">security-status</w:t>
      </w:r>
      <w:r>
        <w:t xml:space="preserve"> </w:t>
      </w:r>
      <w:r>
        <w:t xml:space="preserve">correction</w:t>
      </w:r>
      <w:r>
        <w:t xml:space="preserve"> </w:t>
      </w:r>
      <w:r>
        <w:t xml:space="preserve">—</w:t>
      </w:r>
      <w:r>
        <w:t xml:space="preserve"> </w:t>
      </w:r>
      <w:r>
        <w:t xml:space="preserve">research</w:t>
      </w:r>
      <w:r>
        <w:t xml:space="preserve"> </w:t>
      </w:r>
      <w:r>
        <w:t xml:space="preserve">draft,</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document is a revised research draft based on the author’s 26-page SG-DIFRA-MDS manuscript.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current large-field version employs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remaining one-bit security is only a conditional 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7"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27"/>
    <w:bookmarkStart w:id="29" w:name="current-hidden-mds-label-construction"/>
    <w:p>
      <w:pPr>
        <w:pStyle w:val="Heading1"/>
      </w:pPr>
      <w:r>
        <w:t xml:space="preserve">5. Current hidden-MDS label construction</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8"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8"/>
    <w:bookmarkEnd w:id="29"/>
    <w:bookmarkStart w:id="30"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0"/>
    <w:bookmarkStart w:id="31" w:name="X42db42398619252b2f8ef4f17ef780a94fcd392"/>
    <w:p>
      <w:pPr>
        <w:pStyle w:val="Heading1"/>
      </w:pPr>
      <w:r>
        <w:t xml:space="preserve">7. Assumption boundary and conditional hybrid</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1"/>
    <w:bookmarkStart w:id="33"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2"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2"/>
    <w:bookmarkEnd w:id="33"/>
    <w:bookmarkStart w:id="34"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4"/>
    <w:bookmarkStart w:id="35"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5"/>
    <w:bookmarkStart w:id="36" w:name="three-research-profiles"/>
    <w:p>
      <w:pPr>
        <w:pStyle w:val="Heading1"/>
      </w:pPr>
      <w:r>
        <w:t xml:space="preserve">11. Three research profiles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6"/>
    <w:bookmarkStart w:id="37" w:name="Xcd158b9d3f06b4a07edfd0a58591f1d8a4791da"/>
    <w:p>
      <w:pPr>
        <w:pStyle w:val="Heading1"/>
      </w:pPr>
      <w:r>
        <w:t xml:space="preserve">12.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37"/>
    <w:bookmarkStart w:id="38" w:name="conclusion"/>
    <w:p>
      <w:pPr>
        <w:pStyle w:val="Heading1"/>
      </w:pPr>
      <w:r>
        <w:t xml:space="preserve">13.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with conditional reductions</w:t>
      </w:r>
      <w:r>
        <w:t xml:space="preserve">, not a formally verified post-quantum KEM. Any security promotion needs new mathematics and independent cryptanalysis, not a change of adjectives.</w:t>
      </w:r>
    </w:p>
    <w:bookmarkEnd w:id="38"/>
    <w:bookmarkStart w:id="39" w:name="references"/>
    <w:p>
      <w:pPr>
        <w:pStyle w:val="Heading1"/>
      </w:pPr>
      <w:r>
        <w:t xml:space="preserve">References</w:t>
      </w:r>
    </w:p>
    <w:p>
      <w:pPr>
        <w:numPr>
          <w:ilvl w:val="0"/>
          <w:numId w:val="1001"/>
        </w:numPr>
        <w:pStyle w:val="Compact"/>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Style w:val="Compact"/>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Style w:val="Compact"/>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Style w:val="Compact"/>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Style w:val="Compact"/>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Style w:val="Compact"/>
      </w:pPr>
      <w:r>
        <w:t xml:space="preserve">F. Giacon, F. Heuer, and B. Poettering,</w:t>
      </w:r>
      <w:r>
        <w:t xml:space="preserve"> </w:t>
      </w:r>
      <w:r>
        <w:t xml:space="preserve">“</w:t>
      </w:r>
      <w:r>
        <w:t xml:space="preserve">KEM Combiners,</w:t>
      </w:r>
      <w:r>
        <w:t xml:space="preserve">”</w:t>
      </w:r>
      <w:r>
        <w:t xml:space="preserve"> </w:t>
      </w:r>
      <w:r>
        <w:rPr>
          <w:iCs/>
          <w:i/>
        </w:rPr>
        <w:t xml:space="preserve">PKC 2018</w:t>
      </w:r>
      <w:r>
        <w:t xml:space="preserve">, 2018.</w:t>
      </w:r>
    </w:p>
    <w:p>
      <w:pPr>
        <w:numPr>
          <w:ilvl w:val="0"/>
          <w:numId w:val="1001"/>
        </w:numPr>
        <w:pStyle w:val="Compact"/>
      </w:pPr>
      <w:r>
        <w:t xml:space="preserve">NIST FIPS 203,</w:t>
      </w:r>
      <w:r>
        <w:t xml:space="preserve"> </w:t>
      </w:r>
      <w:r>
        <w:t xml:space="preserve">“</w:t>
      </w:r>
      <w:r>
        <w:t xml:space="preserve">Module-Lattice-Based Key-Encapsulation Mechanism Standard,</w:t>
      </w:r>
      <w:r>
        <w:t xml:space="preserve">”</w:t>
      </w:r>
      <w:r>
        <w:t xml:space="preserve"> </w:t>
      </w:r>
      <w:r>
        <w:t xml:space="preserve">2024. https://doi.org/10.6028/NIST.FIPS.203</w:t>
      </w:r>
    </w:p>
    <w:p>
      <w:pPr>
        <w:numPr>
          <w:ilvl w:val="0"/>
          <w:numId w:val="1001"/>
        </w:numPr>
        <w:pStyle w:val="Compact"/>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39"/>
    <w:bookmarkStart w:id="40"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project status is</w:t>
      </w:r>
      <w:r>
        <w:t xml:space="preserve"> </w:t>
      </w:r>
      <w:r>
        <w:rPr>
          <w:bCs/>
          <w:b/>
        </w:rPr>
        <w:t xml:space="preserve">RESEARCH DRAFT — CRYPTOGRAPHIC SECURITY NOT ESTABLISHED</w:t>
      </w:r>
      <w:r>
        <w:t xml:space="preserve">.</w:t>
      </w:r>
    </w:p>
    <w:bookmarkEnd w:id="40"/>
    <w:bookmarkStart w:id="41" w:name="appendix-b.-submission-caution"/>
    <w:p>
      <w:pPr>
        <w:pStyle w:val="Heading1"/>
      </w:pPr>
      <w:r>
        <w:t xml:space="preserve">Appendix B. Submission caution</w:t>
      </w:r>
    </w:p>
    <w:p>
      <w:pPr>
        <w:pStyle w:val="FirstParagraph"/>
      </w:pPr>
      <w:r>
        <w:t xml:space="preserve">EUROCRYPT 2027’s publicly listed full-paper deadline was 17 September 2026; it has elapsed as of 10 October 2026. The original paper and this credited research version are</w:t>
      </w:r>
      <w:r>
        <w:t xml:space="preserve"> </w:t>
      </w:r>
      <w:r>
        <w:rPr>
          <w:iCs/>
          <w:i/>
        </w:rPr>
        <w:t xml:space="preserve">not anonymous</w:t>
      </w:r>
      <w:r>
        <w:t xml:space="preserve">. For a future double-blind venue, apply the current published formatting, author-identification, repository and AI-use rules; do not upload the named version as an anonymous submission. Verify all bibliographic records directly from publishers before submission.</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An Attack-Driven Study of NCSG Fibers and Hidden-MDS KEMs</dc:title>
  <dc:creator>Girish Nallan Chakravathy; Sreedevi Kannan</dc:creator>
  <dc:language>en</dc:language>
  <cp:keywords/>
  <dcterms:created xsi:type="dcterms:W3CDTF">2026-10-10T12:21:00Z</dcterms:created>
  <dcterms:modified xsi:type="dcterms:W3CDTF">2026-10-10T12:21:00Z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Revised mathematical analysis and security-status correction — research draft, 10 October 2026</vt:lpwstr>
  </property>
</Properties>
</file>