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updated</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11 October follow-up.</w:t>
      </w:r>
      <w:r>
        <w:t xml:space="preserve"> </w:t>
      </w:r>
      <w:r>
        <w:t xml:space="preserve">We prove a public-evaluation-only local inversion theorem, an exact uniform fiber sampler, and a correctness-to-public-key-recovery obstruction for the precisely defined local wrapper</w:t>
      </w:r>
      <w:r>
        <w:t xml:space="preserve"> </w:t>
      </w:r>
      <m:oMath>
        <m:r>
          <m:t>c</m:t>
        </m:r>
        <m:r>
          <m:t>t</m:t>
        </m:r>
        <m:r>
          <m:rPr>
            <m:sty m:val="p"/>
          </m:rPr>
          <m:t>=</m:t>
        </m:r>
        <m:r>
          <m:t>f</m:t>
        </m:r>
        <m:d>
          <m:dPr>
            <m:begChr m:val="("/>
            <m:endChr m:val=")"/>
            <m:sepChr m:val=""/>
            <m:grow/>
          </m:dPr>
          <m:e>
            <m:r>
              <m:t>x</m:t>
            </m:r>
          </m:e>
        </m:d>
      </m:oMath>
      <w:r>
        <w:t xml:space="preserve">. A separate global constant-shift criterion supplies an explicit family with unbounded primal width that remains publicly invertible. These are additional negative design results; a secure replacement KEM is still absent.</w:t>
      </w:r>
    </w:p>
    <w:p>
      <w:pPr>
        <w:pStyle w:val="BodyText"/>
      </w:pPr>
      <w:r>
        <w:rPr>
          <w:bCs/>
          <w:b/>
        </w:rPr>
        <w:t xml:space="preserve">Round-8 global attack.</w:t>
      </w:r>
      <w:r>
        <w:t xml:space="preserve"> </w:t>
      </w:r>
      <w:r>
        <w:t xml:space="preserve">Publicly known, low-treewidth primal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2"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Start w:id="21" w:name="X29075cdb19b31f3fe81b5f681581f5be93f66d9"/>
    <w:p>
      <w:pPr>
        <w:pStyle w:val="Heading2"/>
      </w:pPr>
      <w:r>
        <w:t xml:space="preserve">1.1 Exact security target and the role of the trapdoor</w:t>
      </w:r>
    </w:p>
    <w:p>
      <w:pPr>
        <w:pStyle w:val="FirstParagraph"/>
      </w:pPr>
      <w:r>
        <w:t xml:space="preserve">The intended successor must first define a family indexed by a security parameter</w:t>
      </w:r>
      <w:r>
        <w:t xml:space="preserve"> </w:t>
      </w:r>
      <m:oMath>
        <m:r>
          <m:t>λ</m:t>
        </m:r>
      </m:oMath>
      <w:r>
        <w:t xml:space="preserve">. Key generation outputs</w:t>
      </w:r>
      <w:r>
        <w:t xml:space="preserve"> </w:t>
      </w:r>
      <m:oMath>
        <m:d>
          <m:dPr>
            <m:begChr m:val="("/>
            <m:endChr m:val=")"/>
            <m:sepChr m:val=""/>
            <m:grow/>
          </m:dPr>
          <m:e>
            <m:r>
              <m:t>p</m:t>
            </m:r>
            <m:r>
              <m:t>k</m:t>
            </m:r>
            <m:r>
              <m:rPr>
                <m:sty m:val="p"/>
              </m:rPr>
              <m:t>,</m:t>
            </m:r>
            <m:r>
              <m:t>s</m:t>
            </m:r>
            <m:r>
              <m:t>k</m:t>
            </m:r>
          </m:e>
        </m:d>
      </m:oMath>
      <w:r>
        <w:t xml:space="preserve">; public encapsulation outputs</w:t>
      </w:r>
      <w:r>
        <w:t xml:space="preserve"> </w:t>
      </w:r>
      <m:oMath>
        <m:d>
          <m:dPr>
            <m:begChr m:val="("/>
            <m:endChr m:val=")"/>
            <m:sepChr m:val=""/>
            <m:grow/>
          </m:dPr>
          <m:e>
            <m:r>
              <m:t>c</m:t>
            </m:r>
            <m:r>
              <m:t>t</m:t>
            </m:r>
            <m:r>
              <m:rPr>
                <m:sty m:val="p"/>
              </m:rPr>
              <m:t>,</m:t>
            </m:r>
            <m:r>
              <m:t>K</m:t>
            </m:r>
          </m:e>
        </m:d>
      </m:oMath>
      <w:r>
        <w:t xml:space="preserve"> </w:t>
      </w:r>
      <w:r>
        <w:t xml:space="preserve">with</w:t>
      </w:r>
      <w:r>
        <w:t xml:space="preserve"> </w:t>
      </w:r>
      <m:oMath>
        <m:r>
          <m:t>K</m:t>
        </m:r>
        <m:r>
          <m:rPr>
            <m:sty m:val="p"/>
          </m:rPr>
          <m:t>∈</m:t>
        </m:r>
        <m:r>
          <m:rPr>
            <m:sty m:val="p"/>
          </m:rPr>
          <m:t>{</m:t>
        </m:r>
        <m:r>
          <m:t>0</m:t>
        </m:r>
        <m:r>
          <m:rPr>
            <m:sty m:val="p"/>
          </m:rPr>
          <m:t>,</m:t>
        </m:r>
        <m:r>
          <m:t>1</m:t>
        </m:r>
        <m:sSup>
          <m:e>
            <m:r>
              <m:rPr>
                <m:sty m:val="p"/>
              </m:rPr>
              <m:t>}</m:t>
            </m:r>
          </m:e>
          <m:sup>
            <m:sSub>
              <m:e>
                <m:r>
                  <m:rPr>
                    <m:sty m:val="p"/>
                  </m:rPr>
                  <m:t>ℓ</m:t>
                </m:r>
              </m:e>
              <m:sub>
                <m:r>
                  <m:t>K</m:t>
                </m:r>
              </m:sub>
            </m:sSub>
            <m:d>
              <m:dPr>
                <m:begChr m:val="("/>
                <m:endChr m:val=")"/>
                <m:sepChr m:val=""/>
                <m:grow/>
              </m:dPr>
              <m:e>
                <m:r>
                  <m:t>λ</m:t>
                </m:r>
              </m:e>
            </m:d>
          </m:sup>
        </m:sSup>
      </m:oMath>
      <w:r>
        <w:t xml:space="preserve">; secret decapsulation outputs a key or its specified rejection result. All honest algorithms, keys and ciphertexts must have polynomial cost or length in</w:t>
      </w:r>
      <w:r>
        <w:t xml:space="preserve"> </w:t>
      </w:r>
      <m:oMath>
        <m:r>
          <m:t>λ</m:t>
        </m:r>
      </m:oMath>
      <w:r>
        <w:t xml:space="preserve">. Correctness requires the probability of</w:t>
      </w:r>
      <w:r>
        <w:t xml:space="preserve"> </w:t>
      </w:r>
      <m:oMath>
        <m:r>
          <m:rPr>
            <m:sty m:val="p"/>
          </m:rPr>
          <m:t>Decaps</m:t>
        </m:r>
        <m:d>
          <m:dPr>
            <m:begChr m:val="("/>
            <m:endChr m:val=")"/>
            <m:sepChr m:val=""/>
            <m:grow/>
          </m:dPr>
          <m:e>
            <m:r>
              <m:t>s</m:t>
            </m:r>
            <m:r>
              <m:t>k</m:t>
            </m:r>
            <m:r>
              <m:rPr>
                <m:sty m:val="p"/>
              </m:rPr>
              <m:t>,</m:t>
            </m:r>
            <m:r>
              <m:t>c</m:t>
            </m:r>
            <m:r>
              <m:t>t</m:t>
            </m:r>
          </m:e>
        </m:d>
        <m:r>
          <m:rPr>
            <m:sty m:val="p"/>
          </m:rPr>
          <m:t>≠</m:t>
        </m:r>
        <m:r>
          <m:t>K</m:t>
        </m:r>
      </m:oMath>
      <w:r>
        <w:t xml:space="preserve">, over the actual key-generation and encapsulation distributions, to be negligible. Correctness alone makes no secrecy claim.</w:t>
      </w:r>
    </w:p>
    <w:p>
      <w:pPr>
        <w:pStyle w:val="BodyText"/>
      </w:pPr>
      <w:r>
        <w:t xml:space="preserve">For IND-CPA, give an adversary</w:t>
      </w:r>
      <w:r>
        <w:t xml:space="preserve"> </w:t>
      </w:r>
      <m:oMath>
        <m:r>
          <m:t>p</m:t>
        </m:r>
        <m:r>
          <m:t>k</m:t>
        </m:r>
        <m:r>
          <m:rPr>
            <m:sty m:val="p"/>
          </m:rPr>
          <m:t>,</m:t>
        </m:r>
        <m:r>
          <m:t>c</m:t>
        </m:r>
        <m:r>
          <m:t>t</m:t>
        </m:r>
        <m:r>
          <m:rPr>
            <m:sty m:val="p"/>
          </m:rPr>
          <m:t>,</m:t>
        </m:r>
        <m:sSub>
          <m:e>
            <m:r>
              <m:t>K</m:t>
            </m:r>
          </m:e>
          <m:sub>
            <m:r>
              <m:t>b</m:t>
            </m:r>
          </m:sub>
        </m:sSub>
      </m:oMath>
      <w:r>
        <w:t xml:space="preserve">, where</w:t>
      </w:r>
      <w:r>
        <w:t xml:space="preserve"> </w:t>
      </w:r>
      <m:oMath>
        <m:d>
          <m:dPr>
            <m:begChr m:val="("/>
            <m:endChr m:val=")"/>
            <m:sepChr m:val=""/>
            <m:grow/>
          </m:dPr>
          <m:e>
            <m:r>
              <m:t>c</m:t>
            </m:r>
            <m:r>
              <m:t>t</m:t>
            </m:r>
            <m:r>
              <m:rPr>
                <m:sty m:val="p"/>
              </m:rPr>
              <m:t>,</m:t>
            </m:r>
            <m:sSub>
              <m:e>
                <m:r>
                  <m:t>K</m:t>
                </m:r>
              </m:e>
              <m:sub>
                <m:r>
                  <m:t>0</m:t>
                </m:r>
              </m:sub>
            </m:sSub>
          </m:e>
        </m:d>
      </m:oMath>
      <w:r>
        <w:t xml:space="preserve"> </w:t>
      </w:r>
      <w:r>
        <w:t xml:space="preserve">is an honest encapsulation and</w:t>
      </w:r>
      <w:r>
        <w:t xml:space="preserve"> </w:t>
      </w:r>
      <m:oMath>
        <m:sSub>
          <m:e>
            <m:r>
              <m:t>K</m:t>
            </m:r>
          </m:e>
          <m:sub>
            <m:r>
              <m:t>1</m:t>
            </m:r>
          </m:sub>
        </m:sSub>
      </m:oMath>
      <w:r>
        <w:t xml:space="preserve"> </w:t>
      </w:r>
      <w:r>
        <w:t xml:space="preserve">is an independent uniform key of the same length. The absolute difference between its acceptance probabilities in the two experiments must be negligible for every probabilistic polynomial-time adversary. For IND-CCA, also give adaptive access to decapsulation, excluding the challenge ciphertext under the precisely specified encoding. Quantum adversaries, quantum access to hash oracles, and access to decapsulation oracles must each be stated explicitly; a classical oracle-evaluation attack is not a QROM proof.</w:t>
      </w:r>
    </w:p>
    <w:p>
      <w:pPr>
        <w:pStyle w:val="BodyText"/>
      </w:pPr>
      <w:r>
        <w:rPr>
          <w:bCs/>
          <w:b/>
        </w:rPr>
        <w:t xml:space="preserve">Lemma 1.1 (public session-key recovery defeats key indistinguishability).</w:t>
      </w:r>
      <w:r>
        <w:t xml:space="preserve"> </w:t>
      </w:r>
      <w:r>
        <w:t xml:space="preserve">If a public algorithm</w:t>
      </w:r>
      <w:r>
        <w:t xml:space="preserve"> </w:t>
      </w:r>
      <m:oMath>
        <m:r>
          <m:t>D</m:t>
        </m:r>
        <m:d>
          <m:dPr>
            <m:begChr m:val="("/>
            <m:endChr m:val=")"/>
            <m:sepChr m:val=""/>
            <m:grow/>
          </m:dPr>
          <m:e>
            <m:r>
              <m:t>p</m:t>
            </m:r>
            <m:r>
              <m:t>k</m:t>
            </m:r>
            <m:r>
              <m:rPr>
                <m:sty m:val="p"/>
              </m:rPr>
              <m:t>,</m:t>
            </m:r>
            <m:r>
              <m:t>c</m:t>
            </m:r>
            <m:r>
              <m:t>t</m:t>
            </m:r>
          </m:e>
        </m:d>
      </m:oMath>
      <w:r>
        <w:t xml:space="preserve"> </w:t>
      </w:r>
      <w:r>
        <w:t xml:space="preserve">outputs the actual honest session key with probability</w:t>
      </w:r>
      <w:r>
        <w:t xml:space="preserve"> </w:t>
      </w:r>
      <m:oMath>
        <m:r>
          <m:t>p</m:t>
        </m:r>
        <m:d>
          <m:dPr>
            <m:begChr m:val="("/>
            <m:endChr m:val=")"/>
            <m:sepChr m:val=""/>
            <m:grow/>
          </m:dPr>
          <m:e>
            <m:r>
              <m:t>λ</m:t>
            </m:r>
          </m:e>
        </m:d>
      </m:oMath>
      <w:r>
        <w:t xml:space="preserve">, equality-testing its output against</w:t>
      </w:r>
      <w:r>
        <w:t xml:space="preserve"> </w:t>
      </w:r>
      <m:oMath>
        <m:sSub>
          <m:e>
            <m:r>
              <m:t>K</m:t>
            </m:r>
          </m:e>
          <m:sub>
            <m:r>
              <m:t>b</m:t>
            </m:r>
          </m:sub>
        </m:sSub>
      </m:oMath>
      <w:r>
        <w:t xml:space="preserve"> </w:t>
      </w:r>
      <w:r>
        <w:t xml:space="preserve">gives an IND-CPA acceptance-probability gap at least</w:t>
      </w:r>
      <w:r>
        <w:t xml:space="preserve"> </w:t>
      </w:r>
      <m:oMath>
        <m:r>
          <m:t>p</m:t>
        </m:r>
        <m:d>
          <m:dPr>
            <m:begChr m:val="("/>
            <m:endChr m:val=")"/>
            <m:sepChr m:val=""/>
            <m:grow/>
          </m:dPr>
          <m:e>
            <m:r>
              <m:t>λ</m:t>
            </m:r>
          </m:e>
        </m:d>
        <m:r>
          <m:rPr>
            <m:sty m:val="p"/>
          </m:rPr>
          <m:t>−</m:t>
        </m:r>
        <m:sSup>
          <m:e>
            <m:r>
              <m:t>2</m:t>
            </m:r>
          </m:e>
          <m:sup>
            <m:r>
              <m:rPr>
                <m:sty m:val="p"/>
              </m:rPr>
              <m:t>−</m:t>
            </m:r>
            <m:sSub>
              <m:e>
                <m:r>
                  <m:rPr>
                    <m:sty m:val="p"/>
                  </m:rPr>
                  <m:t>ℓ</m:t>
                </m:r>
              </m:e>
              <m:sub>
                <m:r>
                  <m:t>K</m:t>
                </m:r>
              </m:sub>
            </m:sSub>
            <m:d>
              <m:dPr>
                <m:begChr m:val="("/>
                <m:endChr m:val=")"/>
                <m:sepChr m:val=""/>
                <m:grow/>
              </m:dPr>
              <m:e>
                <m:r>
                  <m:t>λ</m:t>
                </m:r>
              </m:e>
            </m:d>
          </m:sup>
        </m:sSup>
      </m:oMath>
      <w:r>
        <w:t xml:space="preserve">. Its running time is that of</w:t>
      </w:r>
      <w:r>
        <w:t xml:space="preserve"> </w:t>
      </w:r>
      <m:oMath>
        <m:r>
          <m:t>D</m:t>
        </m:r>
      </m:oMath>
      <w:r>
        <w:t xml:space="preserve"> </w:t>
      </w:r>
      <w:r>
        <w:t xml:space="preserve">plus comparison. If</w:t>
      </w:r>
      <w:r>
        <w:t xml:space="preserve"> </w:t>
      </w:r>
      <m:oMath>
        <m:r>
          <m:t>D</m:t>
        </m:r>
      </m:oMath>
      <w:r>
        <w:t xml:space="preserve"> </w:t>
      </w:r>
      <w:r>
        <w:t xml:space="preserve">is probabilistic polynomial-time, this already defeats IND-CCA whenever the gap is nonnegligible; no decapsulation queries are needed.</w:t>
      </w:r>
    </w:p>
    <w:p>
      <w:pPr>
        <w:pStyle w:val="BodyText"/>
      </w:pPr>
      <w:r>
        <w:rPr>
          <w:bCs/>
          <w:b/>
        </w:rPr>
        <w:t xml:space="preserve">Proof.</w:t>
      </w:r>
      <w:r>
        <w:t xml:space="preserve"> </w:t>
      </w:r>
      <w:r>
        <w:t xml:space="preserve">Equality holds with probability</w:t>
      </w:r>
      <w:r>
        <w:t xml:space="preserve"> </w:t>
      </w:r>
      <m:oMath>
        <m:r>
          <m:t>p</m:t>
        </m:r>
      </m:oMath>
      <w:r>
        <w:t xml:space="preserve"> </w:t>
      </w:r>
      <w:r>
        <w:t xml:space="preserve">in the real experiment. In the random experiment, the challenge key is uniform and independent of</w:t>
      </w:r>
      <w:r>
        <w:t xml:space="preserve"> </w:t>
      </w:r>
      <m:oMath>
        <m:r>
          <m:t>p</m:t>
        </m:r>
        <m:r>
          <m:t>k</m:t>
        </m:r>
        <m:r>
          <m:rPr>
            <m:sty m:val="p"/>
          </m:rPr>
          <m:t>,</m:t>
        </m:r>
        <m:r>
          <m:t>c</m:t>
        </m:r>
        <m:r>
          <m:t>t</m:t>
        </m:r>
      </m:oMath>
      <w:r>
        <w:t xml:space="preserve"> </w:t>
      </w:r>
      <w:r>
        <w:t xml:space="preserve">and</w:t>
      </w:r>
      <w:r>
        <w:t xml:space="preserve"> </w:t>
      </w:r>
      <m:oMath>
        <m:r>
          <m:t>D</m:t>
        </m:r>
      </m:oMath>
      <w:r>
        <w:t xml:space="preserve">’s coins, so equality has probability at most</w:t>
      </w:r>
      <w:r>
        <w:t xml:space="preserve"> </w:t>
      </w:r>
      <m:oMath>
        <m:sSup>
          <m:e>
            <m:r>
              <m:t>2</m:t>
            </m:r>
          </m:e>
          <m:sup>
            <m:r>
              <m:rPr>
                <m:sty m:val="p"/>
              </m:rPr>
              <m:t>−</m:t>
            </m:r>
            <m:sSub>
              <m:e>
                <m:r>
                  <m:rPr>
                    <m:sty m:val="p"/>
                  </m:rPr>
                  <m:t>ℓ</m:t>
                </m:r>
              </m:e>
              <m:sub>
                <m:r>
                  <m:t>K</m:t>
                </m:r>
              </m:sub>
            </m:sSub>
          </m:sup>
        </m:sSup>
      </m:oMath>
      <w:r>
        <w:t xml:space="preserve">, with equality when</w:t>
      </w:r>
      <w:r>
        <w:t xml:space="preserve"> </w:t>
      </w:r>
      <m:oMath>
        <m:r>
          <m:t>D</m:t>
        </m:r>
      </m:oMath>
      <w:r>
        <w:t xml:space="preserve"> </w:t>
      </w:r>
      <w:r>
        <w:t xml:space="preserve">always outputs a key of the required length. Subtract.</w:t>
      </w:r>
      <w:r>
        <w:t xml:space="preserve"> </w:t>
      </w:r>
      <m:oMath>
        <m:r>
          <m:rPr>
            <m:sty m:val="p"/>
          </m:rPr>
          <m:t>▫</m:t>
        </m:r>
      </m:oMath>
    </w:p>
    <w:p>
      <w:pPr>
        <w:pStyle w:val="BodyText"/>
      </w:pPr>
      <w:r>
        <w:t xml:space="preserve">Public keys and ciphertexts may carry helper information. The missing property is a computational separation: only the holder of the</w:t>
      </w:r>
      <w:r>
        <w:t xml:space="preserve"> </w:t>
      </w:r>
      <w:r>
        <w:rPr>
          <w:iCs/>
          <w:i/>
        </w:rPr>
        <w:t xml:space="preserve">remaining secret information</w:t>
      </w:r>
      <w:r>
        <w:t xml:space="preserve"> </w:t>
      </w:r>
      <w:r>
        <w:t xml:space="preserve">can efficiently derive the session key under the stated assumption. Exact recovery of the original</w:t>
      </w:r>
      <w:r>
        <w:t xml:space="preserve"> </w:t>
      </w:r>
      <m:oMath>
        <m:r>
          <m:t>s</m:t>
        </m:r>
        <m:r>
          <m:t>k</m:t>
        </m:r>
      </m:oMath>
      <w:r>
        <w:t xml:space="preserve"> </w:t>
      </w:r>
      <w:r>
        <w:t xml:space="preserve">is not required for an attack; an equivalent decoder is sufficient by Lemma 1.1. Conversely, recovering an arbitrary NCSG witness is a KEM attack only after proving that this witness can recover the same session key, or otherwise distinguish it. An unspecified relation between witnesses and keys cannot be filled in by assertion.</w:t>
      </w:r>
    </w:p>
    <w:p>
      <w:pPr>
        <w:pStyle w:val="BodyText"/>
      </w:pPr>
      <w:r>
        <w:t xml:space="preserve">The requested absence of polynomial-time attacks is stronger than the failure of the attacks tested here. It is also different from a</w:t>
      </w:r>
      <w:r>
        <w:t xml:space="preserve"> </w:t>
      </w:r>
      <m:oMath>
        <m:sSup>
          <m:e>
            <m:r>
              <m:t>2</m:t>
            </m:r>
          </m:e>
          <m:sup>
            <m:r>
              <m:t>Ω</m:t>
            </m:r>
            <m:d>
              <m:dPr>
                <m:begChr m:val="("/>
                <m:endChr m:val=")"/>
                <m:sepChr m:val=""/>
                <m:grow/>
              </m:dPr>
              <m:e>
                <m:r>
                  <m:t>λ</m:t>
                </m:r>
              </m:e>
            </m:d>
          </m:sup>
        </m:sSup>
      </m:oMath>
      <w:r>
        <w:t xml:space="preserve"> </w:t>
      </w:r>
      <w:r>
        <w:t xml:space="preserve">lower bound: for example,</w:t>
      </w:r>
      <w:r>
        <w:t xml:space="preserve"> </w:t>
      </w:r>
      <m:oMath>
        <m:sSup>
          <m:e>
            <m:r>
              <m:t>2</m:t>
            </m:r>
          </m:e>
          <m:sup>
            <m:rad>
              <m:radPr>
                <m:degHide m:val="on"/>
              </m:radPr>
              <m:deg/>
              <m:e>
                <m:r>
                  <m:t>λ</m:t>
                </m:r>
              </m:e>
            </m:rad>
          </m:sup>
        </m:sSup>
      </m:oMath>
      <w:r>
        <w:t xml:space="preserve"> </w:t>
      </w:r>
      <w:r>
        <w:t xml:space="preserve">is superpolynomial but subexponential in</w:t>
      </w:r>
      <w:r>
        <w:t xml:space="preserve"> </w:t>
      </w:r>
      <m:oMath>
        <m:r>
          <m:t>λ</m:t>
        </m:r>
      </m:oMath>
      <w:r>
        <w:t xml:space="preserve">. Worst-case NP-completeness, local entropy and large search spaces establish neither average-case cryptographic hardness nor a concrete security level. Standard computational cryptography states assumptions and reductions explicitly; an unconditional construction of ordinary one-way functions would resolve major open complexity questions [12]. This paper supplies no such result. Defining a new assumption to say that this very KEM is secure would restate the desired conclusion, not justify it.</w:t>
      </w:r>
    </w:p>
    <w:bookmarkEnd w:id="21"/>
    <w:bookmarkEnd w:id="22"/>
    <w:bookmarkStart w:id="26" w:name="Xfef510034e7cb99f97c3e13b0937853e12e9301"/>
    <w:p>
      <w:pPr>
        <w:pStyle w:val="Heading1"/>
      </w:pPr>
      <w:r>
        <w:t xml:space="preserve">2. Construction history and confirmed attacks</w:t>
      </w:r>
    </w:p>
    <w:bookmarkStart w:id="23"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3"/>
    <w:bookmarkStart w:id="24"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4"/>
    <w:bookmarkStart w:id="25"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5"/>
    <w:bookmarkEnd w:id="26"/>
    <w:bookmarkStart w:id="27"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7"/>
    <w:bookmarkStart w:id="34"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8"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w:t>
      </w:r>
      <w:r>
        <w:t xml:space="preserve"> </w:t>
      </w:r>
      <w:r>
        <w:rPr>
          <w:rStyle w:val="VerbatimChar"/>
        </w:rPr>
        <w:t xml:space="preserve">research-2028/attacks/ternary_affine_line_leakage.py</w:t>
      </w:r>
      <w:r>
        <w:t xml:space="preserve"> </w:t>
      </w:r>
      <w:r>
        <w:t xml:space="preserve">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8"/>
    <w:bookmarkStart w:id="29"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p>
      <w:pPr>
        <w:pStyle w:val="BodyText"/>
      </w:pPr>
      <w:r>
        <w:t xml:space="preserve">The original local geometries are 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r>
        <w:t xml:space="preserve">, R2:</w:t>
      </w:r>
      <w:r>
        <w:t xml:space="preserve"> </w:t>
      </w:r>
      <m:oMath>
        <m:d>
          <m:dPr>
            <m:begChr m:val="("/>
            <m:endChr m:val=")"/>
            <m:sepChr m:val=""/>
            <m:grow/>
          </m:dPr>
          <m:e>
            <m:r>
              <m:t>7</m:t>
            </m:r>
            <m:r>
              <m:rPr>
                <m:sty m:val="p"/>
              </m:rPr>
              <m:t>,</m:t>
            </m:r>
            <m:r>
              <m:t>4</m:t>
            </m:r>
            <m:r>
              <m:rPr>
                <m:sty m:val="p"/>
              </m:rPr>
              <m:t>,</m:t>
            </m:r>
            <m:r>
              <m:t>3</m:t>
            </m:r>
          </m:e>
        </m:d>
      </m:oMath>
      <w:r>
        <w:t xml:space="preserve">, and R3:</w:t>
      </w:r>
      <w:r>
        <w:t xml:space="preserve"> </w:t>
      </w:r>
      <m:oMath>
        <m:d>
          <m:dPr>
            <m:begChr m:val="("/>
            <m:endChr m:val=")"/>
            <m:sepChr m:val=""/>
            <m:grow/>
          </m:dPr>
          <m:e>
            <m:r>
              <m:t>9</m:t>
            </m:r>
            <m:r>
              <m:rPr>
                <m:sty m:val="p"/>
              </m:rPr>
              <m:t>,</m:t>
            </m:r>
            <m:r>
              <m:t>5</m:t>
            </m:r>
            <m:r>
              <m:rPr>
                <m:sty m:val="p"/>
              </m:rPr>
              <m:t>,</m:t>
            </m:r>
            <m:r>
              <m:t>4</m:t>
            </m:r>
          </m:e>
        </m:d>
      </m:oMath>
      <w:r>
        <w:t xml:space="preserve">. Here</w:t>
      </w:r>
      <w:r>
        <w:t xml:space="preserve"> </w:t>
      </w:r>
      <m:oMath>
        <m:sSub>
          <m:e>
            <m:r>
              <m:t>m</m:t>
            </m:r>
          </m:e>
          <m:sub>
            <m:r>
              <m:t>0</m:t>
            </m:r>
          </m:sub>
        </m:sSub>
        <m:r>
          <m:rPr>
            <m:sty m:val="p"/>
          </m:rPr>
          <m:t>=</m:t>
        </m:r>
        <m:r>
          <m:t>L</m:t>
        </m:r>
      </m:oMath>
      <w:r>
        <w:t xml:space="preserve"> </w:t>
      </w:r>
      <w:r>
        <w:t xml:space="preserve">for all three profiles.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Profile</w:t>
            </w:r>
          </w:p>
        </w:tc>
        <w:tc>
          <w:tcPr/>
          <w:p>
            <w:pPr>
              <w:pStyle w:val="Compact"/>
              <w:jc w:val="right"/>
            </w:pPr>
            <m:oMath>
              <m:r>
                <m:t>L</m:t>
              </m:r>
              <m:r>
                <m:rPr>
                  <m:sty m:val="p"/>
                </m:rPr>
                <m:t>=</m:t>
              </m:r>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w:t>
      </w:r>
      <w:r>
        <w:t xml:space="preserve"> </w:t>
      </w:r>
      <w:r>
        <w:rPr>
          <w:rStyle w:val="VerbatimChar"/>
        </w:rPr>
        <w:t xml:space="preserve">research-2028/attacks/ternary_parallel_line_collision.py</w:t>
      </w:r>
      <w:r>
        <w:t xml:space="preserve"> </w:t>
      </w:r>
      <w:r>
        <w:t xml:space="preserve">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9"/>
    <w:bookmarkStart w:id="31"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Recovery-failure bound (rounded)</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t xml:space="preserve">The exact R1 bound is</w:t>
      </w:r>
      <w:r>
        <w:t xml:space="preserve"> </w:t>
      </w:r>
      <m:oMath>
        <m:r>
          <m:t>8</m:t>
        </m:r>
        <m:r>
          <m:rPr>
            <m:sty m:val="p"/>
          </m:rPr>
          <m:t>/</m:t>
        </m:r>
        <m:r>
          <m:t>19683</m:t>
        </m:r>
      </m:oMath>
      <w:r>
        <w:t xml:space="preserve">; the table displays rounded evaluations of the theorem’s finite upper bound.</w:t>
      </w:r>
    </w:p>
    <w:p>
      <w:pPr>
        <w:pStyle w:val="BodyText"/>
      </w:pPr>
      <w:r>
        <w:rPr>
          <w:bCs/>
          <w:b/>
        </w:rPr>
        <w:t xml:space="preserve">Code and independent finite certificates.</w:t>
      </w:r>
      <w:r>
        <w:t xml:space="preserve"> </w:t>
      </w:r>
      <w:r>
        <w:t xml:space="preserve">The</w:t>
      </w:r>
      <w:r>
        <w:t xml:space="preserve"> </w:t>
      </w:r>
      <w:hyperlink r:id="rId30">
        <w:r>
          <w:rPr>
            <w:rStyle w:val="Hyperlink"/>
          </w:rPr>
          <w:t xml:space="preserve">Round-6 recovery script</w:t>
        </w:r>
      </w:hyperlink>
      <w:r>
        <w:t xml:space="preserve"> </w:t>
      </w:r>
      <w:r>
        <w:t xml:space="preserve">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31"/>
    <w:bookmarkStart w:id="32"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2"/>
    <w:bookmarkStart w:id="33" w:name="X873e07e3fd9f003f407d9ef6e9ffa3ec34ce751"/>
    <w:p>
      <w:pPr>
        <w:pStyle w:val="Heading2"/>
      </w:pPr>
      <w:r>
        <w:t xml:space="preserve">4.5 Public evaluation suffices when the nonlinear table is polynomial in size</w:t>
      </w:r>
    </w:p>
    <w:p>
      <w:pPr>
        <w:pStyle w:val="FirstParagraph"/>
      </w:pPr>
      <w:r>
        <w:t xml:space="preserve">The complete</w:t>
      </w:r>
      <w:r>
        <w:t xml:space="preserve"> </w:t>
      </w:r>
      <m:oMath>
        <m:sSup>
          <m:e>
            <m:r>
              <m:t>3</m:t>
            </m:r>
          </m:e>
          <m:sup>
            <m:r>
              <m:t>k</m:t>
            </m:r>
          </m:sup>
        </m:sSup>
      </m:oMath>
      <w:r>
        <w:t xml:space="preserve">-entry public table required by Theorem 4.6 is unnecessary for an important asymptotic regime of the source construction. Replacing that table by a public evaluation interface does not repair the local trapdoor when the nonlinear right block remains small enough to tabulate efficiently.</w:t>
      </w:r>
    </w:p>
    <w:p>
      <w:pPr>
        <w:pStyle w:val="BodyText"/>
      </w:pPr>
      <w:r>
        <w:rPr>
          <w:bCs/>
          <w:b/>
        </w:rPr>
        <w:t xml:space="preserve">Theorem 4.8 (public oracle local inversion).</w:t>
      </w:r>
      <w:r>
        <w:t xml:space="preserve"> </w:t>
      </w:r>
      <w:r>
        <w:t xml:space="preserve">Let</w:t>
      </w:r>
      <w:r>
        <w:t xml:space="preserve"> </w:t>
      </w:r>
      <m:oMath>
        <m:r>
          <m:t>k</m:t>
        </m:r>
        <m:r>
          <m:rPr>
            <m:sty m:val="p"/>
          </m:rPr>
          <m:t>=</m:t>
        </m:r>
        <m:r>
          <m:t>r</m:t>
        </m:r>
        <m:r>
          <m:rPr>
            <m:sty m:val="p"/>
          </m:rPr>
          <m:t>+</m:t>
        </m:r>
        <m:r>
          <m:t>d</m:t>
        </m:r>
      </m:oMath>
      <w:r>
        <w:t xml:space="preserve">, with</w:t>
      </w:r>
      <w:r>
        <w:t xml:space="preserve"> </w:t>
      </w:r>
      <m:oMath>
        <m:r>
          <m:t>r</m:t>
        </m:r>
        <m:r>
          <m:rPr>
            <m:sty m:val="p"/>
          </m:rPr>
          <m:t>,</m:t>
        </m:r>
        <m:r>
          <m:t>d</m:t>
        </m:r>
        <m:r>
          <m:rPr>
            <m:sty m:val="p"/>
          </m:rPr>
          <m:t>≥</m:t>
        </m:r>
        <m:r>
          <m:t>1</m:t>
        </m:r>
      </m:oMath>
      <w:r>
        <w:t xml:space="preserve">, and let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r>
            <m:t>g</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where</w:t>
      </w:r>
      <w:r>
        <w:t xml:space="preserve"> </w:t>
      </w:r>
      <m:oMath>
        <m:r>
          <m:t>A</m:t>
        </m:r>
        <m:r>
          <m:rPr>
            <m:sty m:val="p"/>
          </m:rPr>
          <m:t>,</m:t>
        </m:r>
        <m:r>
          <m:t>B</m:t>
        </m:r>
      </m:oMath>
      <w:r>
        <w:t xml:space="preserve"> </w:t>
      </w:r>
      <w:r>
        <w:t xml:space="preserve">are invertible and</w:t>
      </w:r>
      <w:r>
        <w:t xml:space="preserve"> </w:t>
      </w:r>
      <m:oMath>
        <m:r>
          <m:t>g</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is arbitrary. The source case</w:t>
      </w:r>
      <w:r>
        <w:t xml:space="preserve"> </w:t>
      </w:r>
      <m:oMath>
        <m:r>
          <m:t>g</m:t>
        </m:r>
        <m:r>
          <m:rPr>
            <m:sty m:val="p"/>
          </m:rPr>
          <m:t>=</m:t>
        </m:r>
        <m:sSub>
          <m:e>
            <m:r>
              <m:t>Δ</m:t>
            </m:r>
          </m:e>
          <m:sub>
            <m:r>
              <m:t>a</m:t>
            </m:r>
          </m:sub>
        </m:sSub>
        <m:sSub>
          <m:e>
            <m:r>
              <m:t>Q</m:t>
            </m:r>
          </m:e>
          <m:sub>
            <m:r>
              <m:t>0</m:t>
            </m:r>
          </m:sub>
        </m:sSub>
      </m:oMath>
      <w:r>
        <w:t xml:space="preserve"> </w:t>
      </w:r>
      <w:r>
        <w:t xml:space="preserve">is included. An adversary with only public evaluation of</w:t>
      </w:r>
      <w:r>
        <w:t xml:space="preserve"> </w:t>
      </w:r>
      <m:oMath>
        <m:r>
          <m:t>f</m:t>
        </m:r>
      </m:oMath>
      <w:r>
        <w:t xml:space="preserve"> </w:t>
      </w:r>
      <w:r>
        <w:t xml:space="preserve">and the dimensions can recover a linear section of the constant-increment map, and hence an affine right inverse of</w:t>
      </w:r>
      <w:r>
        <w:t xml:space="preserve"> </w:t>
      </w:r>
      <m:oMath>
        <m:r>
          <m:t>f</m:t>
        </m:r>
      </m:oMath>
      <w:r>
        <w:t xml:space="preserve">, with failure probability at most</w:t>
      </w:r>
      <w:r>
        <w:t xml:space="preserve"> </w:t>
      </w:r>
      <m:oMath>
        <m:r>
          <m:t>η</m:t>
        </m:r>
      </m:oMath>
      <w:r>
        <w:t xml:space="preserve">, for any</w:t>
      </w:r>
      <w:r>
        <w:t xml:space="preserve"> </w:t>
      </w:r>
      <m:oMath>
        <m:r>
          <m:t>0</m:t>
        </m:r>
        <m:r>
          <m:rPr>
            <m:sty m:val="p"/>
          </m:rPr>
          <m:t>&lt;</m:t>
        </m:r>
        <m:r>
          <m:t>η</m:t>
        </m:r>
        <m:r>
          <m:rPr>
            <m:sty m:val="p"/>
          </m:rPr>
          <m:t>&lt;</m:t>
        </m:r>
        <m:r>
          <m:t>1</m:t>
        </m:r>
      </m:oMath>
      <w:r>
        <w:t xml:space="preserve">, using polynomial work in</w:t>
      </w:r>
      <w:r>
        <w:t xml:space="preserve"> </w:t>
      </w:r>
      <m:oMath>
        <m:r>
          <m:t>k</m:t>
        </m:r>
        <m:r>
          <m:rPr>
            <m:sty m:val="p"/>
          </m:rPr>
          <m:t>,</m:t>
        </m:r>
        <m:r>
          <m:t>r</m:t>
        </m:r>
        <m:r>
          <m:rPr>
            <m:sty m:val="p"/>
          </m:rPr>
          <m:t>,</m:t>
        </m:r>
        <m:sSup>
          <m:e>
            <m:r>
              <m:t>3</m:t>
            </m:r>
          </m:e>
          <m:sup>
            <m:r>
              <m:t>d</m:t>
            </m:r>
          </m:sup>
        </m:sSup>
        <m:r>
          <m:rPr>
            <m:sty m:val="p"/>
          </m:rPr>
          <m:t>,</m:t>
        </m:r>
        <m:r>
          <m:rPr>
            <m:sty m:val="p"/>
          </m:rPr>
          <m:t>log</m:t>
        </m:r>
        <m:d>
          <m:dPr>
            <m:begChr m:val="("/>
            <m:endChr m:val=")"/>
            <m:sepChr m:val=""/>
            <m:grow/>
          </m:dPr>
          <m:e>
            <m:r>
              <m:t>1</m:t>
            </m:r>
            <m:r>
              <m:rPr>
                <m:sty m:val="p"/>
              </m:rPr>
              <m:t>/</m:t>
            </m:r>
            <m:r>
              <m:t>η</m:t>
            </m:r>
          </m:e>
        </m:d>
      </m:oMath>
      <w:r>
        <w:t xml:space="preserve"> </w:t>
      </w:r>
      <w:r>
        <w:t xml:space="preserve">and the evaluation cost. It never needs the hidden matrices, potential, direction, or a complete public truth table.</w:t>
      </w:r>
    </w:p>
    <w:p>
      <w:pPr>
        <w:pStyle w:val="BodyText"/>
      </w:pPr>
      <w:r>
        <w:t xml:space="preserve">Put</w:t>
      </w:r>
      <w:r>
        <w:t xml:space="preserve"> </w:t>
      </w:r>
      <m:oMath>
        <m:sSub>
          <m:e>
            <m:r>
              <m:t>q</m:t>
            </m:r>
          </m:e>
          <m:sub>
            <m:r>
              <m:t>0</m:t>
            </m:r>
          </m:sub>
        </m:sSub>
        <m:r>
          <m:rPr>
            <m:sty m:val="p"/>
          </m:rPr>
          <m:t>=</m:t>
        </m:r>
        <m:sSup>
          <m:e>
            <m:r>
              <m:t>3</m:t>
            </m:r>
          </m:e>
          <m:sup>
            <m:r>
              <m:t>d</m:t>
            </m:r>
          </m:sup>
        </m:sSup>
      </m:oMath>
      <w:r>
        <w:t xml:space="preserve"> </w:t>
      </w:r>
      <w:r>
        <w:t xml:space="preserve">and choose the budgets</w:t>
      </w:r>
    </w:p>
    <w:p>
      <w:pPr>
        <w:pStyle w:val="BodyText"/>
      </w:pPr>
      <m:oMathPara>
        <m:oMathParaPr>
          <m:jc m:val="center"/>
        </m:oMathParaPr>
        <m:oMath>
          <m:r>
            <m:t>S</m:t>
          </m:r>
          <m:r>
            <m:rPr>
              <m:sty m:val="p"/>
            </m:rPr>
            <m:t>=</m:t>
          </m:r>
          <m:r>
            <m:rPr>
              <m:sty m:val="p"/>
            </m:rPr>
            <m:t>ceil</m:t>
          </m:r>
          <m:d>
            <m:dPr>
              <m:begChr m:val="("/>
              <m:endChr m:val=")"/>
              <m:sepChr m:val=""/>
              <m:grow/>
            </m:dPr>
            <m:e>
              <m:sSub>
                <m:e>
                  <m:r>
                    <m:t>q</m:t>
                  </m:r>
                </m:e>
                <m:sub>
                  <m:r>
                    <m:t>0</m:t>
                  </m:r>
                </m:sub>
              </m:sSub>
              <m:r>
                <m:rPr>
                  <m:sty m:val="p"/>
                </m:rPr>
                <m:t>ln</m:t>
              </m:r>
              <m:d>
                <m:dPr>
                  <m:begChr m:val="("/>
                  <m:endChr m:val=")"/>
                  <m:sepChr m:val=""/>
                  <m:grow/>
                </m:dPr>
                <m:e>
                  <m:r>
                    <m:t>2</m:t>
                  </m:r>
                  <m:sSub>
                    <m:e>
                      <m:r>
                        <m:t>q</m:t>
                      </m:r>
                    </m:e>
                    <m:sub>
                      <m:r>
                        <m:t>0</m:t>
                      </m:r>
                    </m:sub>
                  </m:sSub>
                  <m:r>
                    <m:rPr>
                      <m:sty m:val="p"/>
                    </m:rPr>
                    <m:t>/</m:t>
                  </m:r>
                  <m:r>
                    <m:t>η</m:t>
                  </m:r>
                </m:e>
              </m:d>
            </m:e>
          </m:d>
          <m:r>
            <m:rPr>
              <m:sty m:val="p"/>
            </m:rPr>
            <m:t>,</m:t>
          </m:r>
        </m:oMath>
      </m:oMathPara>
    </w:p>
    <w:p>
      <w:pPr>
        <w:pStyle w:val="FirstParagraph"/>
      </w:pPr>
      <m:oMathPara>
        <m:oMathParaPr>
          <m:jc m:val="center"/>
        </m:oMathParaPr>
        <m:oMath>
          <m:r>
            <m:t>T</m:t>
          </m:r>
          <m:r>
            <m:rPr>
              <m:sty m:val="p"/>
            </m:rPr>
            <m:t>=</m:t>
          </m:r>
          <m:r>
            <m:rPr>
              <m:sty m:val="p"/>
            </m:rPr>
            <m:t>ceil</m:t>
          </m:r>
          <m:d>
            <m:dPr>
              <m:begChr m:val="("/>
              <m:endChr m:val=")"/>
              <m:sepChr m:val=""/>
              <m:grow/>
            </m:dPr>
            <m:e>
              <m:d>
                <m:dPr>
                  <m:begChr m:val="("/>
                  <m:endChr m:val=")"/>
                  <m:sepChr m:val=""/>
                  <m:grow/>
                </m:dPr>
                <m:e>
                  <m:r>
                    <m:t>3</m:t>
                  </m:r>
                  <m:sSub>
                    <m:e>
                      <m:r>
                        <m:t>q</m:t>
                      </m:r>
                    </m:e>
                    <m:sub>
                      <m:r>
                        <m:t>0</m:t>
                      </m:r>
                    </m:sub>
                  </m:sSub>
                  <m:r>
                    <m:rPr>
                      <m:sty m:val="p"/>
                    </m:rPr>
                    <m:t>/</m:t>
                  </m:r>
                  <m:r>
                    <m:t>2</m:t>
                  </m:r>
                </m:e>
              </m:d>
              <m:d>
                <m:dPr>
                  <m:begChr m:val="("/>
                  <m:endChr m:val=")"/>
                  <m:sepChr m:val=""/>
                  <m:grow/>
                </m:dPr>
                <m:e>
                  <m:r>
                    <m:t>r</m:t>
                  </m:r>
                  <m:r>
                    <m:rPr>
                      <m:sty m:val="p"/>
                    </m:rPr>
                    <m:t>ln</m:t>
                  </m:r>
                  <m:r>
                    <m:t>3</m:t>
                  </m:r>
                  <m:r>
                    <m:rPr>
                      <m:sty m:val="p"/>
                    </m:rPr>
                    <m:t>+</m:t>
                  </m:r>
                  <m:r>
                    <m:rPr>
                      <m:sty m:val="p"/>
                    </m:rPr>
                    <m:t>ln</m:t>
                  </m:r>
                  <m:d>
                    <m:dPr>
                      <m:begChr m:val="("/>
                      <m:endChr m:val=")"/>
                      <m:sepChr m:val=""/>
                      <m:grow/>
                    </m:dPr>
                    <m:e>
                      <m:r>
                        <m:t>2</m:t>
                      </m:r>
                      <m:r>
                        <m:rPr>
                          <m:sty m:val="p"/>
                        </m:rPr>
                        <m:t>/</m:t>
                      </m:r>
                      <m:r>
                        <m:t>η</m:t>
                      </m:r>
                    </m:e>
                  </m:d>
                </m:e>
              </m:d>
            </m:e>
          </m:d>
          <m:r>
            <m:rPr>
              <m:sty m:val="p"/>
            </m:rPr>
            <m:t>.</m:t>
          </m:r>
        </m:oMath>
      </m:oMathPara>
    </w:p>
    <w:p>
      <w:pPr>
        <w:pStyle w:val="FirstParagraph"/>
      </w:pPr>
      <w:r>
        <w:t xml:space="preserve">The preprocessing query count is at most</w:t>
      </w:r>
      <w:r>
        <w:t xml:space="preserve"> </w:t>
      </w:r>
      <m:oMath>
        <m:r>
          <m:t>1</m:t>
        </m:r>
        <m:r>
          <m:rPr>
            <m:sty m:val="p"/>
          </m:rPr>
          <m:t>+</m:t>
        </m:r>
        <m:r>
          <m:t>S</m:t>
        </m:r>
        <m:r>
          <m:rPr>
            <m:sty m:val="p"/>
          </m:rPr>
          <m:t>+</m:t>
        </m:r>
        <m:r>
          <m:t>T</m:t>
        </m:r>
        <m:d>
          <m:dPr>
            <m:begChr m:val="("/>
            <m:endChr m:val=")"/>
            <m:sepChr m:val=""/>
            <m:grow/>
          </m:dPr>
          <m:e>
            <m:r>
              <m:t>1</m:t>
            </m:r>
            <m:r>
              <m:rPr>
                <m:sty m:val="p"/>
              </m:rPr>
              <m:t>+</m:t>
            </m:r>
            <m:r>
              <m:t>S</m:t>
            </m:r>
          </m:e>
        </m:d>
      </m:oMath>
      <w:r>
        <w:t xml:space="preserve">. Each subsequent target inversion uses linear algebra and one final public evaluation to verify its answer. Exhaustion or failed verification is reported as inconclusive.</w:t>
      </w:r>
    </w:p>
    <w:p>
      <w:pPr>
        <w:pStyle w:val="BodyText"/>
      </w:pPr>
      <w:r>
        <w:rPr>
          <w:bCs/>
          <w:b/>
        </w:rPr>
        <w:t xml:space="preserve">Proof.</w:t>
      </w:r>
      <w:r>
        <w:t xml:space="preserve"> </w:t>
      </w:r>
      <w:r>
        <w:t xml:space="preserve">Let</w:t>
      </w:r>
      <w:r>
        <w:t xml:space="preserve"> </w:t>
      </w:r>
      <m:oMath>
        <m:r>
          <m:t>U</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oMath>
      <w:r>
        <w:t xml:space="preserve">. For</w:t>
      </w:r>
      <w:r>
        <w:t xml:space="preserve"> </w:t>
      </w:r>
      <m:oMath>
        <m:r>
          <m:t>h</m:t>
        </m:r>
        <m:r>
          <m:rPr>
            <m:sty m:val="p"/>
          </m:rPr>
          <m:t>∈</m:t>
        </m:r>
        <m:r>
          <m:t>U</m:t>
        </m:r>
      </m:oMath>
      <w:r>
        <w:t xml:space="preserve">, the derivative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is constant in</w:t>
      </w:r>
      <w:r>
        <w:t xml:space="preserve"> </w:t>
      </w:r>
      <m:oMath>
        <m:r>
          <m:t>x</m:t>
        </m:r>
      </m:oMath>
      <w:r>
        <w:t xml:space="preserve">, and its increment is the invertible image under</w:t>
      </w:r>
      <w:r>
        <w:t xml:space="preserve"> </w:t>
      </w:r>
      <m:oMath>
        <m:r>
          <m:t>A</m:t>
        </m:r>
      </m:oMath>
      <w:r>
        <w:t xml:space="preserve"> </w:t>
      </w:r>
      <w:r>
        <w:t xml:space="preserve">of the left coordinates of</w:t>
      </w:r>
      <w:r>
        <w:t xml:space="preserve"> </w:t>
      </w:r>
      <m:oMath>
        <m:r>
          <m:t>B</m:t>
        </m:r>
        <m:r>
          <m:t>h</m:t>
        </m:r>
      </m:oMath>
      <w:r>
        <w:t xml:space="preserve">. Thus a uniform</w:t>
      </w:r>
      <w:r>
        <w:t xml:space="preserve"> </w:t>
      </w:r>
      <m:oMath>
        <m:r>
          <m:t>h</m:t>
        </m:r>
      </m:oMath>
      <w:r>
        <w:t xml:space="preserve"> </w:t>
      </w:r>
      <w:r>
        <w:t xml:space="preserve">belongs to</w:t>
      </w:r>
      <w:r>
        <w:t xml:space="preserve"> </w:t>
      </w:r>
      <m:oMath>
        <m:r>
          <m:t>U</m:t>
        </m:r>
      </m:oMath>
      <w:r>
        <w:t xml:space="preserve"> </w:t>
      </w:r>
      <w:r>
        <w:t xml:space="preserve">with probability</w:t>
      </w:r>
      <w:r>
        <w:t xml:space="preserve"> </w:t>
      </w:r>
      <m:oMath>
        <m:r>
          <m:t>1</m:t>
        </m:r>
        <m:r>
          <m:rPr>
            <m:sty m:val="p"/>
          </m:rPr>
          <m:t>/</m:t>
        </m:r>
        <m:sSub>
          <m:e>
            <m:r>
              <m:t>q</m:t>
            </m:r>
          </m:e>
          <m:sub>
            <m:r>
              <m:t>0</m:t>
            </m:r>
          </m:sub>
        </m:sSub>
      </m:oMath>
      <w:r>
        <w:t xml:space="preserve">, and its increment conditioned on that event is uniform over</w:t>
      </w:r>
      <w:r>
        <w:t xml:space="preserve"> </w:t>
      </w:r>
      <m:oMath>
        <m:sSubSup>
          <m:e>
            <m:r>
              <m:rPr>
                <m:sty m:val="p"/>
                <m:scr m:val="double-struck"/>
              </m:rPr>
              <m:t>F</m:t>
            </m:r>
          </m:e>
          <m:sub>
            <m:r>
              <m:t>3</m:t>
            </m:r>
          </m:sub>
          <m:sup>
            <m:r>
              <m:t>r</m:t>
            </m:r>
          </m:sup>
        </m:sSubSup>
      </m:oMath>
      <w:r>
        <w:t xml:space="preserve">.</w:t>
      </w:r>
    </w:p>
    <w:p>
      <w:pPr>
        <w:pStyle w:val="BodyText"/>
      </w:pPr>
      <w:r>
        <w:t xml:space="preserve">For any fixed</w:t>
      </w:r>
      <w:r>
        <w:t xml:space="preserve"> </w:t>
      </w:r>
      <m:oMath>
        <m:r>
          <m:t>h</m:t>
        </m:r>
      </m:oMath>
      <w:r>
        <w:t xml:space="preserve">, writing</w:t>
      </w:r>
      <w:r>
        <w:t xml:space="preserve"> </w:t>
      </w:r>
      <m:oMath>
        <m:r>
          <m:t>B</m:t>
        </m:r>
        <m:r>
          <m:t>h</m:t>
        </m:r>
        <m:r>
          <m:rPr>
            <m:sty m:val="p"/>
          </m:rPr>
          <m:t>=</m:t>
        </m:r>
        <m:d>
          <m:dPr>
            <m:begChr m:val="("/>
            <m:endChr m:val=")"/>
            <m:sepChr m:val=""/>
            <m:grow/>
          </m:dPr>
          <m:e>
            <m:sSub>
              <m:e>
                <m:r>
                  <m:t>h</m:t>
                </m:r>
              </m:e>
              <m:sub>
                <m:r>
                  <m:t>L</m:t>
                </m:r>
              </m:sub>
            </m:sSub>
            <m:r>
              <m:rPr>
                <m:sty m:val="p"/>
              </m:rPr>
              <m:t>,</m:t>
            </m:r>
            <m:sSub>
              <m:e>
                <m:r>
                  <m:t>h</m:t>
                </m:r>
              </m:e>
              <m:sub>
                <m:r>
                  <m:t>R</m:t>
                </m:r>
              </m:sub>
            </m:sSub>
          </m:e>
        </m:d>
      </m:oMath>
      <w:r>
        <w:t xml:space="preserve"> </w:t>
      </w:r>
      <w:r>
        <w:t xml:space="preserve">gives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sSub>
            <m:e>
              <m:r>
                <m:t>h</m:t>
              </m:r>
            </m:e>
            <m:sub>
              <m:r>
                <m:t>L</m:t>
              </m:r>
            </m:sub>
          </m:sSub>
          <m:r>
            <m:rPr>
              <m:sty m:val="p"/>
            </m:rPr>
            <m:t>+</m:t>
          </m:r>
          <m:r>
            <m:t>g</m:t>
          </m:r>
          <m:d>
            <m:dPr>
              <m:begChr m:val="("/>
              <m:endChr m:val=")"/>
              <m:sepChr m:val=""/>
              <m:grow/>
            </m:dPr>
            <m:e>
              <m:sSub>
                <m:e>
                  <m:r>
                    <m:t>u</m:t>
                  </m:r>
                </m:e>
                <m:sub>
                  <m:r>
                    <m:t>R</m:t>
                  </m:r>
                </m:sub>
              </m:sSub>
              <m:r>
                <m:rPr>
                  <m:sty m:val="p"/>
                </m:rPr>
                <m:t>+</m:t>
              </m:r>
              <m:sSub>
                <m:e>
                  <m:r>
                    <m:t>h</m:t>
                  </m:r>
                </m:e>
                <m:sub>
                  <m:r>
                    <m:t>R</m:t>
                  </m:r>
                </m:sub>
              </m:sSub>
            </m:e>
          </m:d>
          <m:r>
            <m:rPr>
              <m:sty m:val="p"/>
            </m:rPr>
            <m:t>−</m:t>
          </m:r>
          <m:r>
            <m:t>g</m:t>
          </m:r>
          <m:d>
            <m:dPr>
              <m:begChr m:val="("/>
              <m:endChr m:val=")"/>
              <m:sepChr m:val=""/>
              <m:grow/>
            </m:dPr>
            <m:e>
              <m:sSub>
                <m:e>
                  <m:r>
                    <m:t>u</m:t>
                  </m:r>
                </m:e>
                <m:sub>
                  <m:r>
                    <m:t>R</m:t>
                  </m:r>
                </m:sub>
              </m:sSub>
            </m:e>
          </m:d>
          <m:r>
            <m:rPr>
              <m:sty m:val="p"/>
            </m:rPr>
            <m:t>.</m:t>
          </m:r>
        </m:oMath>
      </m:oMathPara>
    </w:p>
    <w:p>
      <w:pPr>
        <w:pStyle w:val="FirstParagraph"/>
      </w:pPr>
      <w:r>
        <w:t xml:space="preserve">It depends only on the</w:t>
      </w:r>
      <w:r>
        <w:t xml:space="preserve"> </w:t>
      </w:r>
      <m:oMath>
        <m:sSub>
          <m:e>
            <m:r>
              <m:t>q</m:t>
            </m:r>
          </m:e>
          <m:sub>
            <m:r>
              <m:t>0</m:t>
            </m:r>
          </m:sub>
        </m:sSub>
      </m:oMath>
      <w:r>
        <w:t xml:space="preserve"> </w:t>
      </w:r>
      <w:r>
        <w:t xml:space="preserve">possible right blocks. Sample</w:t>
      </w:r>
      <w:r>
        <w:t xml:space="preserve"> </w:t>
      </w:r>
      <m:oMath>
        <m:r>
          <m:t>S</m:t>
        </m:r>
      </m:oMath>
      <w:r>
        <w:t xml:space="preserve"> </w:t>
      </w:r>
      <w:r>
        <w:t xml:space="preserve">independent uniform public inputs once. Their hidden right projections are independent uniform points, so the probability that any right block is missed is at most</w:t>
      </w:r>
      <w:r>
        <w:t xml:space="preserve"> </w:t>
      </w: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sSub>
          <m:e>
            <m:r>
              <m:t>q</m:t>
            </m:r>
          </m:e>
          <m:sub>
            <m:r>
              <m:t>0</m:t>
            </m:r>
          </m:sub>
        </m:sSub>
        <m:sSup>
          <m:e>
            <m:r>
              <m:t>e</m:t>
            </m:r>
          </m:e>
          <m:sup>
            <m:r>
              <m:rPr>
                <m:sty m:val="p"/>
              </m:rPr>
              <m:t>−</m:t>
            </m:r>
            <m:r>
              <m:t>S</m:t>
            </m:r>
            <m:r>
              <m:rPr>
                <m:sty m:val="p"/>
              </m:rPr>
              <m:t>/</m:t>
            </m:r>
            <m:sSub>
              <m:e>
                <m:r>
                  <m:t>q</m:t>
                </m:r>
              </m:e>
              <m:sub>
                <m:r>
                  <m:t>0</m:t>
                </m:r>
              </m:sub>
            </m:sSub>
          </m:sup>
        </m:sSup>
      </m:oMath>
      <w:r>
        <w:t xml:space="preserve">. On coverage, checking equality to</w:t>
      </w:r>
      <w:r>
        <w:t xml:space="preserve"> </w:t>
      </w:r>
      <m:oMath>
        <m:r>
          <m:t>f</m:t>
        </m:r>
        <m:d>
          <m:dPr>
            <m:begChr m:val="("/>
            <m:endChr m:val=")"/>
            <m:sepChr m:val=""/>
            <m:grow/>
          </m:dPr>
          <m:e>
            <m:r>
              <m:t>h</m:t>
            </m:r>
          </m:e>
        </m:d>
        <m:r>
          <m:rPr>
            <m:sty m:val="p"/>
          </m:rPr>
          <m:t>−</m:t>
        </m:r>
        <m:r>
          <m:t>f</m:t>
        </m:r>
        <m:d>
          <m:dPr>
            <m:begChr m:val="("/>
            <m:endChr m:val=")"/>
            <m:sepChr m:val=""/>
            <m:grow/>
          </m:dPr>
          <m:e>
            <m:r>
              <m:t>0</m:t>
            </m:r>
          </m:e>
        </m:d>
      </m:oMath>
      <w:r>
        <w:t xml:space="preserve"> </w:t>
      </w:r>
      <w:r>
        <w:t xml:space="preserve">on this same probe set recognizes</w:t>
      </w:r>
      <w:r>
        <w:t xml:space="preserve"> </w:t>
      </w:r>
      <w:r>
        <w:rPr>
          <w:iCs/>
          <w:i/>
        </w:rPr>
        <w:t xml:space="preserve">every</w:t>
      </w:r>
      <w:r>
        <w:t xml:space="preserve"> </w:t>
      </w:r>
      <w:r>
        <w:t xml:space="preserve">constant-shift direction exactly, including adaptively considered directions. No unjustified reuse of independent-test probabilities is needed.</w:t>
      </w:r>
    </w:p>
    <w:p>
      <w:pPr>
        <w:pStyle w:val="BodyText"/>
      </w:pPr>
      <w:r>
        <w:t xml:space="preserve">Now sample up to</w:t>
      </w:r>
      <w:r>
        <w:t xml:space="preserve"> </w:t>
      </w:r>
      <m:oMath>
        <m:r>
          <m:t>T</m:t>
        </m:r>
      </m:oMath>
      <w:r>
        <w:t xml:space="preserve"> </w:t>
      </w:r>
      <w:r>
        <w:t xml:space="preserve">independent uniform shifts, retaining those passing the derivative test whose increments increase the current rank. If the increments from sampled members of</w:t>
      </w:r>
      <w:r>
        <w:t xml:space="preserve"> </w:t>
      </w:r>
      <m:oMath>
        <m:r>
          <m:t>U</m:t>
        </m:r>
      </m:oMath>
      <w:r>
        <w:t xml:space="preserve"> </w:t>
      </w:r>
      <w:r>
        <w:t xml:space="preserve">do not span the output, some nonzero output linear functional annihilates them all. For each projective functional, a sampled shift belongs to</w:t>
      </w:r>
      <w:r>
        <w:t xml:space="preserve"> </w:t>
      </w:r>
      <m:oMath>
        <m:r>
          <m:t>U</m:t>
        </m:r>
      </m:oMath>
      <w:r>
        <w:t xml:space="preserve"> </w:t>
      </w:r>
      <w:r>
        <w:t xml:space="preserve">and has a nonzero functional value with probability</w:t>
      </w:r>
      <w:r>
        <w:t xml:space="preserve"> </w:t>
      </w:r>
      <m:oMath>
        <m:r>
          <m:t>2</m:t>
        </m:r>
        <m:r>
          <m:rPr>
            <m:sty m:val="p"/>
          </m:rPr>
          <m:t>/</m:t>
        </m:r>
        <m:d>
          <m:dPr>
            <m:begChr m:val="("/>
            <m:endChr m:val=")"/>
            <m:sepChr m:val=""/>
            <m:grow/>
          </m:dPr>
          <m:e>
            <m:r>
              <m:t>3</m:t>
            </m:r>
            <m:sSub>
              <m:e>
                <m:r>
                  <m:t>q</m:t>
                </m:r>
              </m:e>
              <m:sub>
                <m:r>
                  <m:t>0</m:t>
                </m:r>
              </m:sub>
            </m:sSub>
          </m:e>
        </m:d>
      </m:oMath>
      <w:r>
        <w:t xml:space="preserve">. There are</w:t>
      </w:r>
      <w:r>
        <w:t xml:space="preserve"> </w:t>
      </w:r>
      <m:oMath>
        <m:d>
          <m:dPr>
            <m:begChr m:val="("/>
            <m:endChr m:val=")"/>
            <m:sepChr m:val=""/>
            <m:grow/>
          </m:dPr>
          <m:e>
            <m:sSup>
              <m:e>
                <m:r>
                  <m:t>3</m:t>
                </m:r>
              </m:e>
              <m:sup>
                <m:r>
                  <m:t>r</m:t>
                </m:r>
              </m:sup>
            </m:sSup>
            <m:r>
              <m:rPr>
                <m:sty m:val="p"/>
              </m:rPr>
              <m:t>−</m:t>
            </m:r>
            <m:r>
              <m:t>1</m:t>
            </m:r>
          </m:e>
        </m:d>
        <m:r>
          <m:rPr>
            <m:sty m:val="p"/>
          </m:rPr>
          <m:t>/</m:t>
        </m:r>
        <m:r>
          <m:t>2</m:t>
        </m:r>
      </m:oMath>
      <w:r>
        <w:t xml:space="preserve"> </w:t>
      </w:r>
      <w:r>
        <w:t xml:space="preserve">such functionals. A union bound gives the combined failure bound</w:t>
      </w:r>
    </w:p>
    <w:p>
      <w:pPr>
        <w:pStyle w:val="BodyText"/>
      </w:pPr>
      <m:oMathPara>
        <m:oMathParaPr>
          <m:jc m:val="center"/>
        </m:oMathParaP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f>
            <m:fPr>
              <m:type m:val="bar"/>
            </m:fPr>
            <m:num>
              <m:sSup>
                <m:e>
                  <m:r>
                    <m:t>3</m:t>
                  </m:r>
                </m:e>
                <m:sup>
                  <m:r>
                    <m:t>r</m:t>
                  </m:r>
                </m:sup>
              </m:sSup>
              <m:r>
                <m:rPr>
                  <m:sty m:val="p"/>
                </m:rPr>
                <m:t>−</m:t>
              </m:r>
              <m:r>
                <m:t>1</m:t>
              </m:r>
            </m:num>
            <m:den>
              <m:r>
                <m:t>2</m:t>
              </m:r>
            </m:den>
          </m:f>
          <m:sSup>
            <m:e>
              <m:d>
                <m:dPr>
                  <m:begChr m:val="("/>
                  <m:endChr m:val=")"/>
                  <m:sepChr m:val=""/>
                  <m:grow/>
                </m:dPr>
                <m:e>
                  <m:r>
                    <m:t>1</m:t>
                  </m:r>
                  <m:r>
                    <m:rPr>
                      <m:sty m:val="p"/>
                    </m:rPr>
                    <m:t>−</m:t>
                  </m:r>
                  <m:f>
                    <m:fPr>
                      <m:type m:val="bar"/>
                    </m:fPr>
                    <m:num>
                      <m:r>
                        <m:t>2</m:t>
                      </m:r>
                    </m:num>
                    <m:den>
                      <m:r>
                        <m:t>3</m:t>
                      </m:r>
                      <m:sSub>
                        <m:e>
                          <m:r>
                            <m:t>q</m:t>
                          </m:r>
                        </m:e>
                        <m:sub>
                          <m:r>
                            <m:t>0</m:t>
                          </m:r>
                        </m:sub>
                      </m:sSub>
                    </m:den>
                  </m:f>
                </m:e>
              </m:d>
            </m:e>
            <m:sup>
              <m:r>
                <m:t>T</m:t>
              </m:r>
            </m:sup>
          </m:sSup>
          <m:r>
            <m:rPr>
              <m:sty m:val="p"/>
            </m:rPr>
            <m:t>≤</m:t>
          </m:r>
          <m:r>
            <m:t>η</m:t>
          </m:r>
          <m:r>
            <m:rPr>
              <m:sty m:val="p"/>
            </m:rPr>
            <m:t>.</m:t>
          </m:r>
        </m:oMath>
      </m:oMathPara>
    </w:p>
    <w:p>
      <w:pPr>
        <w:pStyle w:val="FirstParagraph"/>
      </w:pPr>
      <w:r>
        <w:t xml:space="preserve">On the complementary event, the accepted shifts lie in</w:t>
      </w:r>
      <w:r>
        <w:t xml:space="preserve"> </w:t>
      </w:r>
      <m:oMath>
        <m:r>
          <m:t>C</m:t>
        </m:r>
        <m:d>
          <m:dPr>
            <m:begChr m:val="("/>
            <m:endChr m:val=")"/>
            <m:sepChr m:val=""/>
            <m:grow/>
          </m:dPr>
          <m:e>
            <m:r>
              <m:t>f</m:t>
            </m:r>
          </m:e>
        </m:d>
      </m:oMath>
      <w:r>
        <w:t xml:space="preserve"> </w:t>
      </w:r>
      <w:r>
        <w:t xml:space="preserve">and their increments span the output. Solve the increment system for</w:t>
      </w:r>
      <w:r>
        <w:t xml:space="preserve"> </w:t>
      </w:r>
      <m:oMath>
        <m:r>
          <m:t>t</m:t>
        </m:r>
        <m:r>
          <m:rPr>
            <m:sty m:val="p"/>
          </m:rPr>
          <m:t>−</m:t>
        </m:r>
        <m:r>
          <m:t>f</m:t>
        </m:r>
        <m:d>
          <m:dPr>
            <m:begChr m:val="("/>
            <m:endChr m:val=")"/>
            <m:sepChr m:val=""/>
            <m:grow/>
          </m:dPr>
          <m:e>
            <m:r>
              <m:t>0</m:t>
            </m:r>
          </m:e>
        </m:d>
      </m:oMath>
      <w:r>
        <w:t xml:space="preserve"> </w:t>
      </w:r>
      <w:r>
        <w:t xml:space="preserve">and take the same linear combination of input shifts. Theorem 4.6 then gives</w:t>
      </w:r>
      <w:r>
        <w:t xml:space="preserve"> </w:t>
      </w:r>
      <m:oMath>
        <m:r>
          <m:t>f</m:t>
        </m:r>
        <m:d>
          <m:dPr>
            <m:begChr m:val="("/>
            <m:endChr m:val=")"/>
            <m:sepChr m:val=""/>
            <m:grow/>
          </m:dPr>
          <m:e>
            <m:r>
              <m:t>x</m:t>
            </m:r>
          </m:e>
        </m:d>
        <m:r>
          <m:rPr>
            <m:sty m:val="p"/>
          </m:rPr>
          <m:t>=</m:t>
        </m:r>
        <m:r>
          <m:t>t</m:t>
        </m:r>
      </m:oMath>
      <w:r>
        <w:t xml:space="preserve">. All sampling, filtering and linear algebra has the stated polynomial cost. The argument holds for every fixed</w:t>
      </w:r>
      <w:r>
        <w:t xml:space="preserve"> </w:t>
      </w:r>
      <m:oMath>
        <m:r>
          <m:t>A</m:t>
        </m:r>
        <m:r>
          <m:rPr>
            <m:sty m:val="p"/>
          </m:rPr>
          <m:t>,</m:t>
        </m:r>
        <m:r>
          <m:t>B</m:t>
        </m:r>
        <m:r>
          <m:rPr>
            <m:sty m:val="p"/>
          </m:rPr>
          <m:t>,</m:t>
        </m:r>
        <m:r>
          <m:t>g</m:t>
        </m:r>
      </m:oMath>
      <w:r>
        <w:t xml:space="preserve">, without randomness assumptions on</w:t>
      </w:r>
      <w:r>
        <w:t xml:space="preserve"> </w:t>
      </w:r>
      <m:oMath>
        <m:r>
          <m:t>g</m:t>
        </m:r>
      </m:oMath>
      <w:r>
        <w:t xml:space="preserve">.</w:t>
      </w:r>
      <w:r>
        <w:t xml:space="preserve"> </w:t>
      </w:r>
      <m:oMath>
        <m:r>
          <m:rPr>
            <m:sty m:val="p"/>
          </m:rPr>
          <m:t>▫</m:t>
        </m:r>
      </m:oMath>
    </w:p>
    <w:p>
      <w:pPr>
        <w:pStyle w:val="BodyText"/>
      </w:pPr>
      <w:r>
        <w:rPr>
          <w:bCs/>
          <w:b/>
        </w:rPr>
        <w:t xml:space="preserve">Asymptotic consequence.</w:t>
      </w:r>
      <w:r>
        <w:t xml:space="preserve"> </w:t>
      </w:r>
      <w:r>
        <w:t xml:space="preserve">If</w:t>
      </w:r>
      <w:r>
        <w:t xml:space="preserve"> </w:t>
      </w:r>
      <m:oMath>
        <m:r>
          <m:t>k</m:t>
        </m:r>
      </m:oMath>
      <w:r>
        <w:t xml:space="preserve"> </w:t>
      </w:r>
      <w:r>
        <w:t xml:space="preserve">and public evaluation cost are polynomial in</w:t>
      </w:r>
      <w:r>
        <w:t xml:space="preserve"> </w:t>
      </w:r>
      <m:oMath>
        <m:r>
          <m:t>λ</m:t>
        </m:r>
      </m:oMath>
      <w:r>
        <w:t xml:space="preserve"> </w:t>
      </w:r>
      <w:r>
        <w:t xml:space="preserve">and</w:t>
      </w:r>
      <w:r>
        <w:t xml:space="preserve"> </w:t>
      </w:r>
      <m:oMath>
        <m:r>
          <m:t>d</m:t>
        </m:r>
        <m:r>
          <m:rPr>
            <m:sty m:val="p"/>
          </m:rPr>
          <m:t>=</m:t>
        </m:r>
        <m:r>
          <m:t>O</m:t>
        </m:r>
        <m:d>
          <m:dPr>
            <m:begChr m:val="("/>
            <m:endChr m:val=")"/>
            <m:sepChr m:val=""/>
            <m:grow/>
          </m:dPr>
          <m:e>
            <m:r>
              <m:rPr>
                <m:sty m:val="p"/>
              </m:rPr>
              <m:t>log</m:t>
            </m:r>
            <m:r>
              <m:t>λ</m:t>
            </m:r>
          </m:e>
        </m:d>
      </m:oMath>
      <w:r>
        <w:t xml:space="preserve">, this is a probabilistic polynomial-time local inversion attack, with arbitrarily small inverse-polynomial or negligible failure by an appropriate</w:t>
      </w:r>
      <w:r>
        <w:t xml:space="preserve"> </w:t>
      </w:r>
      <m:oMath>
        <m:r>
          <m:t>η</m:t>
        </m:r>
      </m:oMath>
      <w:r>
        <w:t xml:space="preserve">. The original uniformly sampled potential table itself requires</w:t>
      </w:r>
      <w:r>
        <w:t xml:space="preserve"> </w:t>
      </w:r>
      <m:oMath>
        <m:r>
          <m:t>r</m:t>
        </m:r>
        <m:sSup>
          <m:e>
            <m:r>
              <m:t>3</m:t>
            </m:r>
          </m:e>
          <m:sup>
            <m:r>
              <m:t>d</m:t>
            </m:r>
          </m:sup>
        </m:sSup>
      </m:oMath>
      <w:r>
        <w:t xml:space="preserve"> </w:t>
      </w:r>
      <w:r>
        <w:t xml:space="preserve">field symbols; a polynomial-time implementation of that exact sampler cannot conceal an exponential table-generation cost. A different succinct generator with large</w:t>
      </w:r>
      <w:r>
        <w:t xml:space="preserve"> </w:t>
      </w:r>
      <m:oMath>
        <m:r>
          <m:t>d</m:t>
        </m:r>
      </m:oMath>
      <w:r>
        <w:t xml:space="preserve"> </w:t>
      </w:r>
      <w:r>
        <w:t xml:space="preserve">changes that premise and requires separate analysis. This theorem does not prove an attack on all succinct nonlinear maps or all global NCSG constructions.</w:t>
      </w:r>
    </w:p>
    <w:p>
      <w:pPr>
        <w:pStyle w:val="BodyText"/>
      </w:pPr>
      <w:r>
        <w:rPr>
          <w:bCs/>
          <w:b/>
        </w:rPr>
        <w:t xml:space="preserve">Reproduction.</w:t>
      </w:r>
      <w:r>
        <w:t xml:space="preserve"> </w:t>
      </w:r>
      <w:r>
        <w:rPr>
          <w:rStyle w:val="VerbatimChar"/>
        </w:rPr>
        <w:t xml:space="preserve">public_oracle_local_inversion.py</w:t>
      </w:r>
      <w:r>
        <w:t xml:space="preserve"> </w:t>
      </w:r>
      <w:r>
        <w:t xml:space="preserve">takes an evaluation callable, dimensions, error budget, and independent sampling source. Its test generator never supplies the hidden coordinates to the adversary. Tests invert all 9, 27 and 81 targets for the original R1/R2/R3 local geometries, with two fixed generator seeds each. The complete test-call counts, including final checks, are 1,837/1,621, 8,032/6,840 and 25,172/27,296. A growing-dimension example with</w:t>
      </w:r>
      <w:r>
        <w:t xml:space="preserve"> </w:t>
      </w:r>
      <m:oMath>
        <m:d>
          <m:dPr>
            <m:begChr m:val="("/>
            <m:endChr m:val=")"/>
            <m:sepChr m:val=""/>
            <m:grow/>
          </m:dPr>
          <m:e>
            <m:r>
              <m:t>k</m:t>
            </m:r>
            <m:r>
              <m:rPr>
                <m:sty m:val="p"/>
              </m:rPr>
              <m:t>,</m:t>
            </m:r>
            <m:r>
              <m:t>d</m:t>
            </m:r>
          </m:e>
        </m:d>
        <m:r>
          <m:rPr>
            <m:sty m:val="p"/>
          </m:rPr>
          <m:t>=</m:t>
        </m:r>
        <m:d>
          <m:dPr>
            <m:begChr m:val="("/>
            <m:endChr m:val=")"/>
            <m:sepChr m:val=""/>
            <m:grow/>
          </m:dPr>
          <m:e>
            <m:r>
              <m:t>24</m:t>
            </m:r>
            <m:r>
              <m:rPr>
                <m:sty m:val="p"/>
              </m:rPr>
              <m:t>,</m:t>
            </m:r>
            <m:r>
              <m:t>3</m:t>
            </m:r>
          </m:e>
        </m:d>
      </m:oMath>
      <w:r>
        <w:t xml:space="preserve"> </w:t>
      </w:r>
      <w:r>
        <w:t xml:space="preserve">has</w:t>
      </w:r>
      <w:r>
        <w:t xml:space="preserve"> </w:t>
      </w:r>
      <m:oMath>
        <m:sSup>
          <m:e>
            <m:r>
              <m:t>3</m:t>
            </m:r>
          </m:e>
          <m:sup>
            <m:r>
              <m:t>k</m:t>
            </m:r>
          </m:sup>
        </m:sSup>
        <m:r>
          <m:rPr>
            <m:sty m:val="p"/>
          </m:rPr>
          <m:t>=</m:t>
        </m:r>
        <m:r>
          <m:t>282</m:t>
        </m:r>
        <m:r>
          <m:rPr>
            <m:sty m:val="p"/>
          </m:rPr>
          <m:t>,</m:t>
        </m:r>
        <m:r>
          <m:t>429</m:t>
        </m:r>
        <m:r>
          <m:rPr>
            <m:sty m:val="p"/>
          </m:rPr>
          <m:t>,</m:t>
        </m:r>
        <m:r>
          <m:t>536</m:t>
        </m:r>
        <m:r>
          <m:rPr>
            <m:sty m:val="p"/>
          </m:rPr>
          <m:t>,</m:t>
        </m:r>
        <m:r>
          <m:t>481</m:t>
        </m:r>
      </m:oMath>
      <w:r>
        <w:t xml:space="preserve"> </w:t>
      </w:r>
      <w:r>
        <w:t xml:space="preserve">possible inputs; 11,678 public evaluations suffice for preprocessing and twenty verified target tests in its fixed seed. These measured counts are finite experiments, not lower bounds or a proof of the probability estimate. The bound above assumes ideal independent uniform sampling; fixed seeds reproduce code behavior. The implementation checks both probability tails with exact rational arithmetic, increasing the floating-logarithm budget estimates if necessary, and covers very small failure budgets without overflowing a ratio.</w:t>
      </w:r>
    </w:p>
    <w:p>
      <w:pPr>
        <w:pStyle w:val="BodyText"/>
      </w:pPr>
      <w:r>
        <w:rPr>
          <w:bCs/>
          <w:b/>
        </w:rPr>
        <w:t xml:space="preserve">Corollary 4.8a (uniform public fiber sampling).</w:t>
      </w:r>
      <w:r>
        <w:t xml:space="preserve"> </w:t>
      </w:r>
      <w:r>
        <w:t xml:space="preserve">Conditional on a genuine recovered right inverse, let</w:t>
      </w:r>
      <w:r>
        <w:t xml:space="preserve"> </w:t>
      </w:r>
      <m:oMath>
        <m:r>
          <m:t>H</m:t>
        </m:r>
        <m:r>
          <m:rPr>
            <m:sty m:val="p"/>
          </m:rPr>
          <m:t>:</m:t>
        </m:r>
        <m:sSubSup>
          <m:e>
            <m:r>
              <m:rPr>
                <m:sty m:val="p"/>
                <m:scr m:val="double-struck"/>
              </m:rPr>
              <m:t>F</m:t>
            </m:r>
          </m:e>
          <m:sub>
            <m:r>
              <m:t>3</m:t>
            </m:r>
          </m:sub>
          <m:sup>
            <m:r>
              <m:t>r</m:t>
            </m:r>
          </m:sup>
        </m:sSubSup>
        <m:r>
          <m:rPr>
            <m:sty m:val="p"/>
          </m:rPr>
          <m:t>→</m:t>
        </m:r>
        <m:r>
          <m:t>C</m:t>
        </m:r>
        <m:d>
          <m:dPr>
            <m:begChr m:val="("/>
            <m:endChr m:val=")"/>
            <m:sepChr m:val=""/>
            <m:grow/>
          </m:dPr>
          <m:e>
            <m:r>
              <m:t>f</m:t>
            </m:r>
          </m:e>
        </m:d>
      </m:oMath>
      <w:r>
        <w:t xml:space="preserve"> </w:t>
      </w:r>
      <w:r>
        <w:t xml:space="preserve">be its linear shift map, so</w:t>
      </w:r>
      <w:r>
        <w:t xml:space="preserve"> </w:t>
      </w:r>
      <m:oMath>
        <m:sSub>
          <m:e>
            <m:r>
              <m:t>c</m:t>
            </m:r>
          </m:e>
          <m:sub>
            <m:r>
              <m:t>f</m:t>
            </m:r>
          </m:sub>
        </m:sSub>
        <m:d>
          <m:dPr>
            <m:begChr m:val="("/>
            <m:endChr m:val=")"/>
            <m:sepChr m:val=""/>
            <m:grow/>
          </m:dPr>
          <m:e>
            <m:r>
              <m:t>H</m:t>
            </m:r>
            <m:d>
              <m:dPr>
                <m:begChr m:val="("/>
                <m:endChr m:val=")"/>
                <m:sepChr m:val=""/>
                <m:grow/>
              </m:dPr>
              <m:e>
                <m:r>
                  <m:t>a</m:t>
                </m:r>
              </m:e>
            </m:d>
          </m:e>
        </m:d>
        <m:r>
          <m:rPr>
            <m:sty m:val="p"/>
          </m:rPr>
          <m:t>=</m:t>
        </m:r>
        <m:r>
          <m:t>a</m:t>
        </m:r>
      </m:oMath>
      <w:r>
        <w:t xml:space="preserve">. For any target</w:t>
      </w:r>
      <w:r>
        <w:t xml:space="preserve"> </w:t>
      </w:r>
      <m:oMath>
        <m:r>
          <m:t>t</m:t>
        </m:r>
      </m:oMath>
      <w:r>
        <w:t xml:space="preserve">, sample uniform</w:t>
      </w:r>
      <w:r>
        <w:t xml:space="preserve"> </w:t>
      </w:r>
      <m:oMath>
        <m:r>
          <m:t>z</m:t>
        </m:r>
        <m:r>
          <m:rPr>
            <m:sty m:val="p"/>
          </m:rPr>
          <m:t>∈</m:t>
        </m:r>
        <m:sSubSup>
          <m:e>
            <m:r>
              <m:rPr>
                <m:sty m:val="p"/>
                <m:scr m:val="double-struck"/>
              </m:rPr>
              <m:t>F</m:t>
            </m:r>
          </m:e>
          <m:sub>
            <m:r>
              <m:t>3</m:t>
            </m:r>
          </m:sub>
          <m:sup>
            <m:r>
              <m:t>k</m:t>
            </m:r>
          </m:sup>
        </m:sSubSup>
      </m:oMath>
      <w:r>
        <w:t xml:space="preserve"> </w:t>
      </w:r>
      <w:r>
        <w:t xml:space="preserve">and output</w:t>
      </w:r>
    </w:p>
    <w:p>
      <w:pPr>
        <w:pStyle w:val="BodyText"/>
      </w:pPr>
      <m:oMathPara>
        <m:oMathParaPr>
          <m:jc m:val="center"/>
        </m:oMathParaPr>
        <m:oMath>
          <m:r>
            <m:t>x</m:t>
          </m:r>
          <m:r>
            <m:rPr>
              <m:sty m:val="p"/>
            </m:rPr>
            <m:t>=</m:t>
          </m:r>
          <m:r>
            <m:t>z</m:t>
          </m:r>
          <m:r>
            <m:rPr>
              <m:sty m:val="p"/>
            </m:rPr>
            <m:t>+</m:t>
          </m:r>
          <m:r>
            <m:t>H</m:t>
          </m:r>
          <m:d>
            <m:dPr>
              <m:begChr m:val="("/>
              <m:endChr m:val=")"/>
              <m:sepChr m:val=""/>
              <m:grow/>
            </m:dPr>
            <m:e>
              <m:r>
                <m:t>t</m:t>
              </m:r>
              <m:r>
                <m:rPr>
                  <m:sty m:val="p"/>
                </m:rPr>
                <m:t>−</m:t>
              </m:r>
              <m:r>
                <m:t>f</m:t>
              </m:r>
              <m:d>
                <m:dPr>
                  <m:begChr m:val="("/>
                  <m:endChr m:val=")"/>
                  <m:sepChr m:val=""/>
                  <m:grow/>
                </m:dPr>
                <m:e>
                  <m:r>
                    <m:t>z</m:t>
                  </m:r>
                </m:e>
              </m:d>
            </m:e>
          </m:d>
          <m:r>
            <m:rPr>
              <m:sty m:val="p"/>
            </m:rPr>
            <m:t>.</m:t>
          </m:r>
        </m:oMath>
      </m:oMathPara>
    </w:p>
    <w:p>
      <w:pPr>
        <w:pStyle w:val="FirstParagraph"/>
      </w:pPr>
      <w:r>
        <w:t xml:space="preserve">The output is exactly uniform over</w:t>
      </w:r>
      <w:r>
        <w:t xml:space="preserve"> </w:t>
      </w:r>
      <m:oMath>
        <m:sSup>
          <m:e>
            <m:r>
              <m:t>f</m:t>
            </m:r>
          </m:e>
          <m:sup>
            <m:r>
              <m:rPr>
                <m:sty m:val="p"/>
              </m:rPr>
              <m:t>−</m:t>
            </m:r>
            <m:r>
              <m:t>1</m:t>
            </m:r>
          </m:sup>
        </m:sSup>
        <m:d>
          <m:dPr>
            <m:begChr m:val="("/>
            <m:endChr m:val=")"/>
            <m:sepChr m:val=""/>
            <m:grow/>
          </m:dPr>
          <m:e>
            <m:r>
              <m:t>t</m:t>
            </m:r>
          </m:e>
        </m:d>
      </m:oMath>
      <w:r>
        <w:t xml:space="preserve">, whose size is</w:t>
      </w:r>
      <w:r>
        <w:t xml:space="preserve"> </w:t>
      </w:r>
      <m:oMath>
        <m:sSup>
          <m:e>
            <m:r>
              <m:t>3</m:t>
            </m:r>
          </m:e>
          <m:sup>
            <m:r>
              <m:t>d</m:t>
            </m:r>
          </m:sup>
        </m:sSup>
      </m:oMath>
      <w:r>
        <w:t xml:space="preserve">.</w:t>
      </w:r>
    </w:p>
    <w:p>
      <w:pPr>
        <w:pStyle w:val="BodyText"/>
      </w:pPr>
      <w:r>
        <w:rPr>
          <w:bCs/>
          <w:b/>
        </w:rPr>
        <w:t xml:space="preserve">Proof.</w:t>
      </w:r>
      <w:r>
        <w:t xml:space="preserve"> </w:t>
      </w:r>
      <w:r>
        <w:t xml:space="preserve">The constant-shift identity makes the output satisfy</w:t>
      </w:r>
      <w:r>
        <w:t xml:space="preserve"> </w:t>
      </w:r>
      <m:oMath>
        <m:r>
          <m:t>f</m:t>
        </m:r>
        <m:d>
          <m:dPr>
            <m:begChr m:val="("/>
            <m:endChr m:val=")"/>
            <m:sepChr m:val=""/>
            <m:grow/>
          </m:dPr>
          <m:e>
            <m:r>
              <m:t>x</m:t>
            </m:r>
          </m:e>
        </m:d>
        <m:r>
          <m:rPr>
            <m:sty m:val="p"/>
          </m:rPr>
          <m:t>=</m:t>
        </m:r>
        <m:r>
          <m:t>t</m:t>
        </m:r>
      </m:oMath>
      <w:r>
        <w:t xml:space="preserve">. For any fixed</w:t>
      </w:r>
      <w:r>
        <w:t xml:space="preserve"> </w:t>
      </w:r>
      <m:oMath>
        <m:r>
          <m:t>x</m:t>
        </m:r>
      </m:oMath>
      <w:r>
        <w:t xml:space="preserve"> </w:t>
      </w:r>
      <w:r>
        <w:t xml:space="preserve">in that fiber, its input preimages are precisely</w:t>
      </w:r>
      <w:r>
        <w:t xml:space="preserve"> </w:t>
      </w:r>
      <m:oMath>
        <m:r>
          <m:t>z</m:t>
        </m:r>
        <m:r>
          <m:rPr>
            <m:sty m:val="p"/>
          </m:rPr>
          <m:t>=</m:t>
        </m:r>
        <m:r>
          <m:t>x</m:t>
        </m:r>
        <m:r>
          <m:rPr>
            <m:sty m:val="p"/>
          </m:rPr>
          <m:t>+</m:t>
        </m:r>
        <m:r>
          <m:t>H</m:t>
        </m:r>
        <m:d>
          <m:dPr>
            <m:begChr m:val="("/>
            <m:endChr m:val=")"/>
            <m:sepChr m:val=""/>
            <m:grow/>
          </m:dPr>
          <m:e>
            <m:r>
              <m:t>a</m:t>
            </m:r>
          </m:e>
        </m:d>
      </m:oMath>
      <w:r>
        <w:t xml:space="preserve">, one for every</w:t>
      </w:r>
      <w:r>
        <w:t xml:space="preserve"> </w:t>
      </w:r>
      <m:oMath>
        <m:r>
          <m:t>a</m:t>
        </m:r>
        <m:r>
          <m:rPr>
            <m:sty m:val="p"/>
          </m:rPr>
          <m:t>∈</m:t>
        </m:r>
        <m:sSubSup>
          <m:e>
            <m:r>
              <m:rPr>
                <m:sty m:val="p"/>
                <m:scr m:val="double-struck"/>
              </m:rPr>
              <m:t>F</m:t>
            </m:r>
          </m:e>
          <m:sub>
            <m:r>
              <m:t>3</m:t>
            </m:r>
          </m:sub>
          <m:sup>
            <m:r>
              <m:t>r</m:t>
            </m:r>
          </m:sup>
        </m:sSubSup>
      </m:oMath>
      <w:r>
        <w:t xml:space="preserve">. Substitution verifies this claim, and</w:t>
      </w:r>
      <w:r>
        <w:t xml:space="preserve"> </w:t>
      </w:r>
      <m:oMath>
        <m:r>
          <m:t>H</m:t>
        </m:r>
      </m:oMath>
      <w:r>
        <w:t xml:space="preserve"> </w:t>
      </w:r>
      <w:r>
        <w:t xml:space="preserve">is injective because</w:t>
      </w:r>
      <w:r>
        <w:t xml:space="preserve"> </w:t>
      </w:r>
      <m:oMath>
        <m:sSub>
          <m:e>
            <m:r>
              <m:t>c</m:t>
            </m:r>
          </m:e>
          <m:sub>
            <m:r>
              <m:t>f</m:t>
            </m:r>
          </m:sub>
        </m:sSub>
        <m:r>
          <m:rPr>
            <m:sty m:val="p"/>
          </m:rPr>
          <m:t>∘</m:t>
        </m:r>
        <m:r>
          <m:t>H</m:t>
        </m:r>
      </m:oMath>
      <w:r>
        <w:t xml:space="preserve"> </w:t>
      </w:r>
      <w:r>
        <w:t xml:space="preserve">is the identity. Every fiber point therefore has exactly</w:t>
      </w:r>
      <w:r>
        <w:t xml:space="preserve"> </w:t>
      </w:r>
      <m:oMath>
        <m:sSup>
          <m:e>
            <m:r>
              <m:t>3</m:t>
            </m:r>
          </m:e>
          <m:sup>
            <m:r>
              <m:t>r</m:t>
            </m:r>
          </m:sup>
        </m:sSup>
      </m:oMath>
      <w:r>
        <w:t xml:space="preserve"> </w:t>
      </w:r>
      <w:r>
        <w:t xml:space="preserve">preimages under the projection. Uniform input gives uniform output.</w:t>
      </w:r>
      <w:r>
        <w:t xml:space="preserve"> </w:t>
      </w:r>
      <m:oMath>
        <m:r>
          <m:rPr>
            <m:sty m:val="p"/>
          </m:rPr>
          <m:t>▫</m:t>
        </m:r>
      </m:oMath>
    </w:p>
    <w:p>
      <w:pPr>
        <w:pStyle w:val="BodyText"/>
      </w:pPr>
      <w:r>
        <w:rPr>
          <w:bCs/>
          <w:b/>
        </w:rPr>
        <w:t xml:space="preserve">Corollary 4.8b (a scoped local KEM wrapper cannot gain secrecy from correctness).</w:t>
      </w:r>
      <w:r>
        <w:t xml:space="preserve"> </w:t>
      </w:r>
      <w:r>
        <w:t xml:space="preserve">Consider the attempted wrapper that samples uniform</w:t>
      </w:r>
      <w:r>
        <w:t xml:space="preserve"> </w:t>
      </w:r>
      <m:oMath>
        <m:r>
          <m:t>x</m:t>
        </m:r>
      </m:oMath>
      <w:r>
        <w:t xml:space="preserve">, publishes only</w:t>
      </w:r>
      <w:r>
        <w:t xml:space="preserve"> </w:t>
      </w:r>
      <m:oMath>
        <m:r>
          <m:t>c</m:t>
        </m:r>
        <m:r>
          <m:t>t</m:t>
        </m:r>
        <m:r>
          <m:rPr>
            <m:sty m:val="p"/>
          </m:rPr>
          <m:t>=</m:t>
        </m:r>
        <m:r>
          <m:t>f</m:t>
        </m:r>
        <m:d>
          <m:dPr>
            <m:begChr m:val="("/>
            <m:endChr m:val=")"/>
            <m:sepChr m:val=""/>
            <m:grow/>
          </m:dPr>
          <m:e>
            <m:r>
              <m:t>x</m:t>
            </m:r>
          </m:e>
        </m:d>
      </m:oMath>
      <w:r>
        <w:t xml:space="preserve">, and derives</w:t>
      </w:r>
      <w:r>
        <w:t xml:space="preserve"> </w:t>
      </w:r>
      <m:oMath>
        <m:r>
          <m:t>K</m:t>
        </m:r>
        <m:r>
          <m:rPr>
            <m:sty m:val="p"/>
          </m:rPr>
          <m:t>=</m:t>
        </m:r>
        <m:r>
          <m:t>J</m:t>
        </m:r>
        <m:d>
          <m:dPr>
            <m:begChr m:val="("/>
            <m:endChr m:val=")"/>
            <m:sepChr m:val=""/>
            <m:grow/>
          </m:dPr>
          <m:e>
            <m:r>
              <m:t>p</m:t>
            </m:r>
            <m:r>
              <m:t>k</m:t>
            </m:r>
            <m:r>
              <m:rPr>
                <m:sty m:val="p"/>
              </m:rPr>
              <m:t>,</m:t>
            </m:r>
            <m:r>
              <m:t>x</m:t>
            </m:r>
            <m:r>
              <m:rPr>
                <m:sty m:val="p"/>
              </m:rPr>
              <m:t>,</m:t>
            </m:r>
            <m:r>
              <m:t>c</m:t>
            </m:r>
            <m:r>
              <m:t>t</m:t>
            </m:r>
          </m:e>
        </m:d>
      </m:oMath>
      <w:r>
        <w:t xml:space="preserve"> </w:t>
      </w:r>
      <w:r>
        <w:t xml:space="preserve">using a public deterministic function</w:t>
      </w:r>
      <w:r>
        <w:t xml:space="preserve"> </w:t>
      </w:r>
      <m:oMath>
        <m:r>
          <m:t>J</m:t>
        </m:r>
      </m:oMath>
      <w:r>
        <w:t xml:space="preserve">. Suppose its secret deterministic decapsulation has correctness error</w:t>
      </w:r>
      <w:r>
        <w:t xml:space="preserve"> </w:t>
      </w:r>
      <m:oMath>
        <m:r>
          <m:t>δ</m:t>
        </m:r>
      </m:oMath>
      <w:r>
        <w:t xml:space="preserve">, averaged over its actual key generation and uniform encapsulation. In the polynomial regime of Theorem 4.8, a public attacker recovers the honest session key with probability at least</w:t>
      </w:r>
      <w:r>
        <w:t xml:space="preserve"> </w:t>
      </w:r>
      <m:oMath>
        <m:r>
          <m:t>1</m:t>
        </m:r>
        <m:r>
          <m:rPr>
            <m:sty m:val="p"/>
          </m:rPr>
          <m:t>−</m:t>
        </m:r>
        <m:r>
          <m:t>2</m:t>
        </m:r>
        <m:r>
          <m:t>δ</m:t>
        </m:r>
        <m:r>
          <m:rPr>
            <m:sty m:val="p"/>
          </m:rPr>
          <m:t>−</m:t>
        </m:r>
        <m:r>
          <m:t>η</m:t>
        </m:r>
      </m:oMath>
      <w:r>
        <w:t xml:space="preserve">. No assumption about the hardness of recovering the originally sampled</w:t>
      </w:r>
      <w:r>
        <w:t xml:space="preserve"> </w:t>
      </w:r>
      <m:oMath>
        <m:r>
          <m:t>x</m:t>
        </m:r>
      </m:oMath>
      <w:r>
        <w:t xml:space="preserve"> </w:t>
      </w:r>
      <w:r>
        <w:t xml:space="preserve">changes this conclusion.</w:t>
      </w:r>
    </w:p>
    <w:p>
      <w:pPr>
        <w:pStyle w:val="BodyText"/>
      </w:pPr>
      <w:r>
        <w:rPr>
          <w:bCs/>
          <w:b/>
        </w:rPr>
        <w:t xml:space="preserve">Proof.</w:t>
      </w:r>
      <w:r>
        <w:t xml:space="preserve"> </w:t>
      </w:r>
      <w:r>
        <w:t xml:space="preserve">On sound basis recovery, the attacker independently samples</w:t>
      </w:r>
      <w:r>
        <w:t xml:space="preserve"> </w:t>
      </w:r>
      <m:oMath>
        <m:r>
          <m:t>x</m:t>
        </m:r>
        <m:r>
          <m:rPr>
            <m:sty m:val="p"/>
          </m:rPr>
          <m:t>′</m:t>
        </m:r>
      </m:oMath>
      <w:r>
        <w:t xml:space="preserve"> </w:t>
      </w:r>
      <w:r>
        <w:t xml:space="preserve">uniformly from the challenge fiber and returns</w:t>
      </w:r>
      <w:r>
        <w:t xml:space="preserve"> </w:t>
      </w:r>
      <m:oMath>
        <m:r>
          <m:t>J</m:t>
        </m:r>
        <m:d>
          <m:dPr>
            <m:begChr m:val="("/>
            <m:endChr m:val=")"/>
            <m:sepChr m:val=""/>
            <m:grow/>
          </m:dPr>
          <m:e>
            <m:r>
              <m:t>p</m:t>
            </m:r>
            <m:r>
              <m:t>k</m:t>
            </m:r>
            <m:r>
              <m:rPr>
                <m:sty m:val="p"/>
              </m:rPr>
              <m:t>,</m:t>
            </m:r>
            <m:r>
              <m:t>x</m:t>
            </m:r>
            <m:r>
              <m:rPr>
                <m:sty m:val="p"/>
              </m:rPr>
              <m:t>′</m:t>
            </m:r>
            <m:r>
              <m:rPr>
                <m:sty m:val="p"/>
              </m:rPr>
              <m:t>,</m:t>
            </m:r>
            <m:r>
              <m:t>c</m:t>
            </m:r>
            <m:r>
              <m:t>t</m:t>
            </m:r>
          </m:e>
        </m:d>
      </m:oMath>
      <w:r>
        <w:t xml:space="preserve">. Let</w:t>
      </w:r>
      <w:r>
        <w:t xml:space="preserve"> </w:t>
      </w:r>
      <m:oMath>
        <m:r>
          <m:t>E</m:t>
        </m:r>
      </m:oMath>
      <w:r>
        <w:t xml:space="preserve"> </w:t>
      </w:r>
      <w:r>
        <w:t xml:space="preserve">denote sound preprocessing and let</w:t>
      </w:r>
      <w:r>
        <w:t xml:space="preserve"> </w:t>
      </w:r>
      <m:oMath>
        <m:r>
          <m:t>e</m:t>
        </m:r>
        <m:d>
          <m:dPr>
            <m:begChr m:val="("/>
            <m:endChr m:val=")"/>
            <m:sepChr m:val=""/>
            <m:grow/>
          </m:dPr>
          <m:e>
            <m:r>
              <m:t>p</m:t>
            </m:r>
            <m:r>
              <m:t>k</m:t>
            </m:r>
            <m:r>
              <m:rPr>
                <m:sty m:val="p"/>
              </m:rPr>
              <m:t>,</m:t>
            </m:r>
            <m:r>
              <m:t>s</m:t>
            </m:r>
            <m:r>
              <m:t>k</m:t>
            </m:r>
            <m:r>
              <m:rPr>
                <m:sty m:val="p"/>
              </m:rPr>
              <m:t>,</m:t>
            </m:r>
            <m:r>
              <m:t>c</m:t>
            </m:r>
            <m:r>
              <m:t>t</m:t>
            </m:r>
          </m:e>
        </m:d>
      </m:oMath>
      <w:r>
        <w:t xml:space="preserve"> </w:t>
      </w:r>
      <w:r>
        <w:t xml:space="preserve">be the conditional honest-decapsulation error. For every fixed key, ciphertext and sound basis, the honest</w:t>
      </w:r>
      <w:r>
        <w:t xml:space="preserve"> </w:t>
      </w:r>
      <m:oMath>
        <m:r>
          <m:t>x</m:t>
        </m:r>
      </m:oMath>
      <w:r>
        <w:t xml:space="preserve"> </w:t>
      </w:r>
      <w:r>
        <w:t xml:space="preserve">and the fresh</w:t>
      </w:r>
      <w:r>
        <w:t xml:space="preserve"> </w:t>
      </w:r>
      <m:oMath>
        <m:r>
          <m:t>x</m:t>
        </m:r>
        <m:r>
          <m:rPr>
            <m:sty m:val="p"/>
          </m:rPr>
          <m:t>′</m:t>
        </m:r>
      </m:oMath>
      <w:r>
        <w:t xml:space="preserve"> </w:t>
      </w:r>
      <w:r>
        <w:t xml:space="preserve">have the same uniform fiber distribution. Hence the probability of</w:t>
      </w:r>
      <w:r>
        <w:t xml:space="preserve"> </w:t>
      </w:r>
      <m:oMath>
        <m:r>
          <m:t>E</m:t>
        </m:r>
      </m:oMath>
      <w:r>
        <w:t xml:space="preserve"> </w:t>
      </w:r>
      <w:r>
        <w:t xml:space="preserve">together with either key disagreeing with the deterministic decapsulation result is at most</w:t>
      </w:r>
      <w:r>
        <w:t xml:space="preserve"> </w:t>
      </w:r>
      <m:oMath>
        <m:r>
          <m:t>δ</m:t>
        </m:r>
      </m:oMath>
      <w:r>
        <w:t xml:space="preserve">, after averaging over the original key and ciphertext distribution. A union bound gives key agreement at least</w:t>
      </w:r>
      <w:r>
        <w:t xml:space="preserve"> </w:t>
      </w:r>
      <m:oMath>
        <m:r>
          <m:rPr>
            <m:sty m:val="p"/>
          </m:rPr>
          <m:t>Pr</m:t>
        </m:r>
        <m:d>
          <m:dPr>
            <m:begChr m:val="["/>
            <m:endChr m:val="]"/>
            <m:sepChr m:val=""/>
            <m:grow/>
          </m:dPr>
          <m:e>
            <m:r>
              <m:t>E</m:t>
            </m:r>
          </m:e>
        </m:d>
        <m:r>
          <m:rPr>
            <m:sty m:val="p"/>
          </m:rPr>
          <m:t>−</m:t>
        </m:r>
        <m:r>
          <m:t>2</m:t>
        </m:r>
        <m:r>
          <m:t>δ</m:t>
        </m:r>
        <m:r>
          <m:rPr>
            <m:sty m:val="p"/>
          </m:rPr>
          <m:t>≥</m:t>
        </m:r>
        <m:r>
          <m:t>1</m:t>
        </m:r>
        <m:r>
          <m:rPr>
            <m:sty m:val="p"/>
          </m:rPr>
          <m:t>−</m:t>
        </m:r>
        <m:r>
          <m:t>η</m:t>
        </m:r>
        <m:r>
          <m:rPr>
            <m:sty m:val="p"/>
          </m:rPr>
          <m:t>−</m:t>
        </m:r>
        <m:r>
          <m:t>2</m:t>
        </m:r>
        <m:r>
          <m:t>δ</m:t>
        </m:r>
      </m:oMath>
      <w:r>
        <w:t xml:space="preserve">. This uses no assertion that correctness error remains</w:t>
      </w:r>
      <w:r>
        <w:t xml:space="preserve"> </w:t>
      </w:r>
      <m:oMath>
        <m:r>
          <m:t>δ</m:t>
        </m:r>
      </m:oMath>
      <w:r>
        <w:t xml:space="preserve"> </w:t>
      </w:r>
      <w:r>
        <w:t xml:space="preserve">under a key distribution conditioned on successful preprocessing. Lemma 1.1 converts this polynomial-time recovery to key indistinguishability failure.</w:t>
      </w:r>
      <w:r>
        <w:t xml:space="preserve"> </w:t>
      </w:r>
      <m:oMath>
        <m:r>
          <m:rPr>
            <m:sty m:val="p"/>
          </m:rPr>
          <m:t>▫</m:t>
        </m:r>
      </m:oMath>
    </w:p>
    <w:p>
      <w:pPr>
        <w:pStyle w:val="BodyText"/>
      </w:pPr>
      <w:r>
        <w:t xml:space="preserve">This corollary covers exactly the stated uniform-input, local-only ciphertext wrapper. Extra ciphertext binding information, a restricted input sampler, additional secrets shared before encapsulation, or a different global map changes the model. Such a change needs a new construction and proof; it is neither proved secure nor ruled out by this corollary.</w:t>
      </w:r>
    </w:p>
    <w:bookmarkEnd w:id="33"/>
    <w:bookmarkEnd w:id="34"/>
    <w:bookmarkStart w:id="36"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5"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5"/>
    <w:bookmarkEnd w:id="36"/>
    <w:bookmarkStart w:id="37"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7"/>
    <w:bookmarkStart w:id="38"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8"/>
    <w:bookmarkStart w:id="40"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9"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9"/>
    <w:bookmarkEnd w:id="40"/>
    <w:bookmarkStart w:id="43"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41"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41"/>
    <w:bookmarkStart w:id="42"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42"/>
    <w:bookmarkEnd w:id="43"/>
    <w:bookmarkStart w:id="44"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44"/>
    <w:bookmarkStart w:id="45"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5"/>
    <w:bookmarkStart w:id="58" w:name="Xe648b1b6ee4ad46cdea84b3f4a56d864d2eab7b"/>
    <w:p>
      <w:pPr>
        <w:pStyle w:val="Heading1"/>
      </w:pPr>
      <w:r>
        <w:t xml:space="preserve">12. Further structural cryptanalysis toward NCSG-only security</w:t>
      </w:r>
    </w:p>
    <w:bookmarkStart w:id="46"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profile</w:t>
            </w:r>
          </w:p>
        </w:tc>
        <w:tc>
          <w:tcPr/>
          <w:p>
            <w:pPr>
              <w:pStyle w:val="Compact"/>
              <w:jc w:val="right"/>
            </w:pPr>
            <w:r>
              <w:t xml:space="preserve">Public label matrix (bytes)</w:t>
            </w:r>
          </w:p>
        </w:tc>
        <w:tc>
          <w:tcPr/>
          <w:p>
            <w:pPr>
              <w:pStyle w:val="Compact"/>
              <w:jc w:val="right"/>
            </w:pPr>
            <w:r>
              <w:t xml:space="preserve">Ciphertext (bytes)</w:t>
            </w:r>
          </w:p>
        </w:tc>
      </w:tr>
      <w:tr>
        <w:tc>
          <w:tcPr/>
          <w:p>
            <w:pPr>
              <w:pStyle w:val="Compact"/>
              <w:jc w:val="left"/>
            </w:pPr>
            <w:r>
              <w:t xml:space="preserve">SGD-R1</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6"/>
    <w:bookmarkStart w:id="47"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7"/>
    <w:bookmarkStart w:id="48"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8"/>
    <w:bookmarkStart w:id="49"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9"/>
    <w:bookmarkStart w:id="50"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50"/>
    <w:bookmarkStart w:id="51"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Adding local constraints that vanish at the same witness cannot make this span full: every added generator still lies in the proper kernel of evaluation at that witness. Constraints that do not vanish there abandon the stated decoding argument and require a different construction.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51"/>
    <w:bookmarkStart w:id="52"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52"/>
    <w:bookmarkStart w:id="53"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rPr>
          <w:rStyle w:val="VerbatimChar"/>
        </w:rPr>
        <w:t xml:space="preserve">research-2028/math/multidirection_cocycle.py</w:t>
      </w:r>
      <w:r>
        <w:t xml:space="preserve">,</w:t>
      </w:r>
      <w:r>
        <w:t xml:space="preserve"> </w:t>
      </w:r>
      <w:r>
        <w:rPr>
          <w:rStyle w:val="VerbatimChar"/>
        </w:rPr>
        <w:t xml:space="preserve">research-2028/attacks/public_ideal_membership_break.py</w:t>
      </w:r>
      <w:r>
        <w:t xml:space="preserve">, and</w:t>
      </w:r>
      <w:r>
        <w:t xml:space="preserve"> </w:t>
      </w:r>
      <w:r>
        <w:rPr>
          <w:rStyle w:val="VerbatimChar"/>
        </w:rPr>
        <w:t xml:space="preserve">research-2028/NCSG_ONLY_RESEARCH_STATUS.md</w:t>
      </w:r>
      <w:r>
        <w:t xml:space="preserve">.</w:t>
      </w:r>
    </w:p>
    <w:bookmarkEnd w:id="53"/>
    <w:bookmarkStart w:id="56" w:name="Xee9f0a5980011898d339f6578cfaa829d0e3b4d"/>
    <w:p>
      <w:pPr>
        <w:pStyle w:val="Heading2"/>
      </w:pPr>
      <w:r>
        <w:t xml:space="preserve">12.9 Round 8: public global witness recovery under bounded primal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4">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when an order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w:t>
      </w:r>
      <w:r>
        <w:t xml:space="preserve">is supplied or found efficiently. The implemented min-fill heuristic need not find an optimal order; low treewidth alone is not a guarantee about that heuristic. Newly generated residual factors contain at most</w:t>
      </w:r>
      <w:r>
        <w:t xml:space="preserve"> </w:t>
      </w:r>
      <m:oMath>
        <m:sSup>
          <m:e>
            <m:r>
              <m:t>3</m:t>
            </m:r>
          </m:e>
          <m:sup>
            <m:r>
              <m:t>w</m:t>
            </m:r>
          </m:sup>
        </m:sSup>
      </m:oMath>
      <w:r>
        <w:t xml:space="preserve"> </w:t>
      </w:r>
      <w:r>
        <w:t xml:space="preserve">rows, while input-factor storage is included in</w:t>
      </w:r>
      <w:r>
        <w:t xml:space="preserve"> </w:t>
      </w:r>
      <m:oMath>
        <m:r>
          <m:t>L</m:t>
        </m:r>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5">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6"/>
    <w:bookmarkStart w:id="57" w:name="Xe4e3614ddc030a3daa0eae2fa555316a297e64a"/>
    <w:p>
      <w:pPr>
        <w:pStyle w:val="Heading2"/>
      </w:pPr>
      <w:r>
        <w:t xml:space="preserve">12.10 Global shift recovery can remain efficient at high primal width</w:t>
      </w:r>
    </w:p>
    <w:p>
      <w:pPr>
        <w:pStyle w:val="FirstParagraph"/>
      </w:pPr>
      <w:r>
        <w:t xml:space="preserve">Increasing primal width avoids only the particular low-width bound of Section 12.9. It need not remove the algebraic structure of the source factors.</w:t>
      </w:r>
    </w:p>
    <w:p>
      <w:pPr>
        <w:pStyle w:val="BodyText"/>
      </w:pPr>
      <w:r>
        <w:rPr>
          <w:bCs/>
          <w:b/>
        </w:rPr>
        <w:t xml:space="preserve">Theorem 12.10 (public global constant-shift criterion).</w:t>
      </w:r>
      <w:r>
        <w:t xml:space="preserve"> </w:t>
      </w:r>
      <w:r>
        <w:t xml:space="preserve">Let</w:t>
      </w:r>
      <w:r>
        <w:t xml:space="preserve"> </w:t>
      </w:r>
      <m:oMath>
        <m:r>
          <m:t>F</m:t>
        </m:r>
        <m:d>
          <m:dPr>
            <m:begChr m:val="("/>
            <m:endChr m:val=")"/>
            <m:sepChr m:val=""/>
            <m:grow/>
          </m:dPr>
          <m:e>
            <m:r>
              <m:t>x</m:t>
            </m:r>
          </m:e>
        </m:d>
        <m:r>
          <m:rPr>
            <m:sty m:val="p"/>
          </m:rPr>
          <m:t>=</m:t>
        </m:r>
        <m:sSubSup>
          <m:e>
            <m:d>
              <m:dPr>
                <m:begChr m:val="("/>
                <m:endChr m:val=")"/>
                <m:sepChr m:val=""/>
                <m:grow/>
              </m:dPr>
              <m:e>
                <m:sSub>
                  <m:e>
                    <m:r>
                      <m:t>f</m:t>
                    </m:r>
                  </m:e>
                  <m:sub>
                    <m:r>
                      <m:t>i</m:t>
                    </m:r>
                  </m:sub>
                </m:sSub>
                <m:d>
                  <m:dPr>
                    <m:begChr m:val="("/>
                    <m:endChr m:val=")"/>
                    <m:sepChr m:val=""/>
                    <m:grow/>
                  </m:dPr>
                  <m:e>
                    <m:r>
                      <m:t>x</m:t>
                    </m:r>
                    <m:sSub>
                      <m:e>
                        <m:r>
                          <m:rPr>
                            <m:sty m:val="p"/>
                          </m:rPr>
                          <m:t>|</m:t>
                        </m:r>
                      </m:e>
                      <m:sub>
                        <m:sSub>
                          <m:e>
                            <m:r>
                              <m:t>S</m:t>
                            </m:r>
                          </m:e>
                          <m:sub>
                            <m:r>
                              <m:t>i</m:t>
                            </m:r>
                          </m:sub>
                        </m:sSub>
                      </m:sub>
                    </m:sSub>
                  </m:e>
                </m:d>
              </m:e>
            </m:d>
          </m:e>
          <m:sub>
            <m:r>
              <m:t>i</m:t>
            </m:r>
            <m:r>
              <m:rPr>
                <m:sty m:val="p"/>
              </m:rPr>
              <m:t>=</m:t>
            </m:r>
            <m:r>
              <m:t>1</m:t>
            </m:r>
          </m:sub>
          <m:sup>
            <m:r>
              <m:t>m</m:t>
            </m:r>
          </m:sup>
        </m:sSubSup>
      </m:oMath>
      <w:r>
        <w:t xml:space="preserve">, with complete public local ternary function tables and public scopes. Write</w:t>
      </w:r>
      <w:r>
        <w:t xml:space="preserve"> </w:t>
      </w:r>
      <m:oMath>
        <m:sSub>
          <m:e>
            <m:r>
              <m:t>C</m:t>
            </m:r>
          </m:e>
          <m:sub>
            <m:r>
              <m:t>i</m:t>
            </m:r>
          </m:sub>
        </m:sSub>
        <m:r>
          <m:rPr>
            <m:sty m:val="p"/>
          </m:rPr>
          <m:t>=</m:t>
        </m:r>
        <m:r>
          <m:t>C</m:t>
        </m:r>
        <m:d>
          <m:dPr>
            <m:begChr m:val="("/>
            <m:endChr m:val=")"/>
            <m:sepChr m:val=""/>
            <m:grow/>
          </m:dPr>
          <m:e>
            <m:sSub>
              <m:e>
                <m:r>
                  <m:t>f</m:t>
                </m:r>
              </m:e>
              <m:sub>
                <m:r>
                  <m:t>i</m:t>
                </m:r>
              </m:sub>
            </m:sSub>
          </m:e>
        </m:d>
      </m:oMath>
      <w:r>
        <w:t xml:space="preserve"> </w:t>
      </w:r>
      <w:r>
        <w:t xml:space="preserve">and</w:t>
      </w:r>
      <w:r>
        <w:t xml:space="preserve"> </w:t>
      </w:r>
      <m:oMath>
        <m:sSub>
          <m:e>
            <m:r>
              <m:t>c</m:t>
            </m:r>
          </m:e>
          <m:sub>
            <m:r>
              <m:t>i</m:t>
            </m:r>
          </m:sub>
        </m:sSub>
        <m:d>
          <m:dPr>
            <m:begChr m:val="("/>
            <m:endChr m:val=")"/>
            <m:sepChr m:val=""/>
            <m:grow/>
          </m:dPr>
          <m:e>
            <m:r>
              <m:t>h</m:t>
            </m:r>
          </m:e>
        </m:d>
        <m:r>
          <m:rPr>
            <m:sty m:val="p"/>
          </m:rPr>
          <m:t>=</m:t>
        </m:r>
        <m:sSub>
          <m:e>
            <m:r>
              <m:t>f</m:t>
            </m:r>
          </m:e>
          <m:sub>
            <m:r>
              <m:t>i</m:t>
            </m:r>
          </m:sub>
        </m:sSub>
        <m:d>
          <m:dPr>
            <m:begChr m:val="("/>
            <m:endChr m:val=")"/>
            <m:sepChr m:val=""/>
            <m:grow/>
          </m:dPr>
          <m:e>
            <m:r>
              <m:t>h</m:t>
            </m:r>
          </m:e>
        </m:d>
        <m:r>
          <m:rPr>
            <m:sty m:val="p"/>
          </m:rPr>
          <m:t>−</m:t>
        </m:r>
        <m:sSub>
          <m:e>
            <m:r>
              <m:t>f</m:t>
            </m:r>
          </m:e>
          <m:sub>
            <m:r>
              <m:t>i</m:t>
            </m:r>
          </m:sub>
        </m:sSub>
        <m:d>
          <m:dPr>
            <m:begChr m:val="("/>
            <m:endChr m:val=")"/>
            <m:sepChr m:val=""/>
            <m:grow/>
          </m:dPr>
          <m:e>
            <m:r>
              <m:t>0</m:t>
            </m:r>
          </m:e>
        </m:d>
      </m:oMath>
      <w:r>
        <w:t xml:space="preserve"> </w:t>
      </w:r>
      <w:r>
        <w:t xml:space="preserve">for its constant-shift subspace and increment map. Define</w:t>
      </w:r>
    </w:p>
    <w:p>
      <w:pPr>
        <w:pStyle w:val="BodyText"/>
      </w:pPr>
      <m:oMathPara>
        <m:oMathParaPr>
          <m:jc m:val="center"/>
        </m:oMathParaPr>
        <m:oMath>
          <m:r>
            <m:t>D</m:t>
          </m:r>
          <m:r>
            <m:rPr>
              <m:sty m:val="p"/>
            </m:rPr>
            <m:t>=</m:t>
          </m:r>
          <m:r>
            <m:rPr>
              <m:sty m:val="p"/>
            </m:rPr>
            <m:t>{</m:t>
          </m:r>
          <m:r>
            <m:t>h</m:t>
          </m:r>
          <m:r>
            <m:rPr>
              <m:sty m:val="p"/>
            </m:rPr>
            <m:t>∈</m:t>
          </m:r>
          <m:sSubSup>
            <m:e>
              <m:r>
                <m:rPr>
                  <m:sty m:val="p"/>
                  <m:scr m:val="double-struck"/>
                </m:rPr>
                <m:t>F</m:t>
              </m:r>
            </m:e>
            <m:sub>
              <m:r>
                <m:t>3</m:t>
              </m:r>
            </m:sub>
            <m:sup>
              <m:r>
                <m:t>n</m:t>
              </m:r>
            </m:sup>
          </m:sSubSup>
          <m:r>
            <m:rPr>
              <m:sty m:val="p"/>
            </m:rPr>
            <m:t>:</m:t>
          </m:r>
          <m:r>
            <m:t>h</m:t>
          </m:r>
          <m:sSub>
            <m:e>
              <m:r>
                <m:rPr>
                  <m:sty m:val="p"/>
                </m:rPr>
                <m:t>|</m:t>
              </m:r>
            </m:e>
            <m:sub>
              <m:sSub>
                <m:e>
                  <m:r>
                    <m:t>S</m:t>
                  </m:r>
                </m:e>
                <m:sub>
                  <m:r>
                    <m:t>i</m:t>
                  </m:r>
                </m:sub>
              </m:sSub>
            </m:sub>
          </m:sSub>
          <m:r>
            <m:rPr>
              <m:sty m:val="p"/>
            </m:rPr>
            <m:t>∈</m:t>
          </m:r>
          <m:sSub>
            <m:e>
              <m:r>
                <m:t>C</m:t>
              </m:r>
            </m:e>
            <m:sub>
              <m:r>
                <m:t>i</m:t>
              </m:r>
            </m:sub>
          </m:sSub>
          <m:r>
            <m:rPr>
              <m:nor/>
              <m:sty m:val="p"/>
            </m:rPr>
            <m:t> for every </m:t>
          </m:r>
          <m:r>
            <m:t>i</m:t>
          </m:r>
          <m:r>
            <m:rPr>
              <m:sty m:val="p"/>
            </m:rPr>
            <m:t>}</m:t>
          </m:r>
          <m:r>
            <m:rPr>
              <m:sty m:val="p"/>
            </m:rPr>
            <m:t>,</m:t>
          </m:r>
        </m:oMath>
      </m:oMathPara>
    </w:p>
    <w:p>
      <w:pPr>
        <w:pStyle w:val="FirstParagraph"/>
      </w:pPr>
      <m:oMathPara>
        <m:oMathParaPr>
          <m:jc m:val="center"/>
        </m:oMathParaPr>
        <m:oMath>
          <m:r>
            <m:t>Γ</m:t>
          </m:r>
          <m:d>
            <m:dPr>
              <m:begChr m:val="("/>
              <m:endChr m:val=")"/>
              <m:sepChr m:val=""/>
              <m:grow/>
            </m:dPr>
            <m:e>
              <m:r>
                <m:t>h</m:t>
              </m:r>
            </m:e>
          </m:d>
          <m:r>
            <m:rPr>
              <m:sty m:val="p"/>
            </m:rPr>
            <m:t>=</m:t>
          </m:r>
          <m:sSubSup>
            <m:e>
              <m:d>
                <m:dPr>
                  <m:begChr m:val="("/>
                  <m:endChr m:val=")"/>
                  <m:sepChr m:val=""/>
                  <m:grow/>
                </m:dPr>
                <m:e>
                  <m:sSub>
                    <m:e>
                      <m:r>
                        <m:t>c</m:t>
                      </m:r>
                    </m:e>
                    <m:sub>
                      <m:r>
                        <m:t>i</m:t>
                      </m:r>
                    </m:sub>
                  </m:sSub>
                  <m:d>
                    <m:dPr>
                      <m:begChr m:val="("/>
                      <m:endChr m:val=")"/>
                      <m:sepChr m:val=""/>
                      <m:grow/>
                    </m:dPr>
                    <m:e>
                      <m:r>
                        <m:t>h</m:t>
                      </m:r>
                      <m:sSub>
                        <m:e>
                          <m:r>
                            <m:rPr>
                              <m:sty m:val="p"/>
                            </m:rPr>
                            <m:t>|</m:t>
                          </m:r>
                        </m:e>
                        <m:sub>
                          <m:sSub>
                            <m:e>
                              <m:r>
                                <m:t>S</m:t>
                              </m:r>
                            </m:e>
                            <m:sub>
                              <m:r>
                                <m:t>i</m:t>
                              </m:r>
                            </m:sub>
                          </m:sSub>
                        </m:sub>
                      </m:sSub>
                    </m:e>
                  </m:d>
                </m:e>
              </m:d>
            </m:e>
            <m:sub>
              <m:r>
                <m:t>i</m:t>
              </m:r>
              <m:r>
                <m:rPr>
                  <m:sty m:val="p"/>
                </m:rPr>
                <m:t>=</m:t>
              </m:r>
              <m:r>
                <m:t>1</m:t>
              </m:r>
            </m:sub>
            <m:sup>
              <m:r>
                <m:t>m</m:t>
              </m:r>
            </m:sup>
          </m:sSubSup>
          <m:r>
            <m:rPr>
              <m:sty m:val="p"/>
            </m:rPr>
            <m:t>.</m:t>
          </m:r>
        </m:oMath>
      </m:oMathPara>
    </w:p>
    <w:p>
      <w:pPr>
        <w:pStyle w:val="FirstParagraph"/>
      </w:pPr>
      <w:r>
        <w:t xml:space="preserve">Both</w:t>
      </w:r>
      <w:r>
        <w:t xml:space="preserve"> </w:t>
      </w:r>
      <m:oMath>
        <m:r>
          <m:t>D</m:t>
        </m:r>
      </m:oMath>
      <w:r>
        <w:t xml:space="preserve"> </w:t>
      </w:r>
      <w:r>
        <w:t xml:space="preserve">and</w:t>
      </w:r>
      <w:r>
        <w:t xml:space="preserve"> </w:t>
      </w:r>
      <m:oMath>
        <m:r>
          <m:t>Γ</m:t>
        </m:r>
      </m:oMath>
      <w:r>
        <w:t xml:space="preserve"> </w:t>
      </w:r>
      <w:r>
        <w:t xml:space="preserve">are computable by public finite-field linear algebra after enumerating the local constant shifts. For every target</w:t>
      </w:r>
      <w:r>
        <w:t xml:space="preserve"> </w:t>
      </w:r>
      <m:oMath>
        <m:r>
          <m:t>t</m:t>
        </m:r>
      </m:oMath>
      <w:r>
        <w:t xml:space="preserve"> </w:t>
      </w:r>
      <w:r>
        <w:t xml:space="preserve">with</w:t>
      </w:r>
      <w:r>
        <w:t xml:space="preserve"> </w:t>
      </w:r>
      <m:oMath>
        <m:r>
          <m:t>t</m:t>
        </m:r>
        <m:r>
          <m:rPr>
            <m:sty m:val="p"/>
          </m:rPr>
          <m:t>−</m:t>
        </m:r>
        <m:r>
          <m:t>F</m:t>
        </m:r>
        <m:d>
          <m:dPr>
            <m:begChr m:val="("/>
            <m:endChr m:val=")"/>
            <m:sepChr m:val=""/>
            <m:grow/>
          </m:dPr>
          <m:e>
            <m:r>
              <m:t>0</m:t>
            </m:r>
          </m:e>
        </m:d>
        <m:r>
          <m:rPr>
            <m:sty m:val="p"/>
          </m:rPr>
          <m:t>∈</m:t>
        </m:r>
        <m:r>
          <m:rPr>
            <m:sty m:val="p"/>
          </m:rPr>
          <m:t>im</m:t>
        </m:r>
        <m:r>
          <m:t>Γ</m:t>
        </m:r>
      </m:oMath>
      <w:r>
        <w:t xml:space="preserve">, the attacker recovers a complete global witness. If</w:t>
      </w:r>
      <w:r>
        <w:t xml:space="preserve"> </w:t>
      </w:r>
      <m:oMath>
        <m:r>
          <m:t>Γ</m:t>
        </m:r>
      </m:oMath>
      <w:r>
        <w:t xml:space="preserve"> </w:t>
      </w:r>
      <w:r>
        <w:t xml:space="preserve">is onto the full joint output space, every joint target is publicly invertible. The cost is polynomial in the total explicit local table encoding length and global dimensions, independently of primal width.</w:t>
      </w:r>
    </w:p>
    <w:p>
      <w:pPr>
        <w:pStyle w:val="BodyText"/>
      </w:pPr>
      <w:r>
        <w:rPr>
          <w:bCs/>
          <w:b/>
        </w:rPr>
        <w:t xml:space="preserve">Proof.</w:t>
      </w:r>
      <w:r>
        <w:t xml:space="preserve"> </w:t>
      </w:r>
      <w:r>
        <w:t xml:space="preserve">Constant-shift sets are linear: derivatives telescope under addition of shifts, and scalar multiplication follows in</w:t>
      </w:r>
      <w:r>
        <w:t xml:space="preserve"> </w:t>
      </w:r>
      <m:oMath>
        <m:sSub>
          <m:e>
            <m:r>
              <m:rPr>
                <m:sty m:val="p"/>
                <m:scr m:val="double-struck"/>
              </m:rPr>
              <m:t>F</m:t>
            </m:r>
          </m:e>
          <m:sub>
            <m:r>
              <m:t>3</m:t>
            </m:r>
          </m:sub>
        </m:sSub>
      </m:oMath>
      <w:r>
        <w:t xml:space="preserve">. Their increment maps are linear for the same reason. Compute each</w:t>
      </w:r>
      <w:r>
        <w:t xml:space="preserve"> </w:t>
      </w:r>
      <m:oMath>
        <m:sSub>
          <m:e>
            <m:r>
              <m:t>C</m:t>
            </m:r>
          </m:e>
          <m:sub>
            <m:r>
              <m:t>i</m:t>
            </m:r>
          </m:sub>
        </m:sSub>
      </m:oMath>
      <w:r>
        <w:t xml:space="preserve"> </w:t>
      </w:r>
      <w:r>
        <w:t xml:space="preserve">by testing its candidate local shifts against every local input. Compute its annihilator and lift those homogeneous linear equations to the global coordinates. Their common kernel is exactly</w:t>
      </w:r>
      <w:r>
        <w:t xml:space="preserve"> </w:t>
      </w:r>
      <m:oMath>
        <m:r>
          <m:t>D</m:t>
        </m:r>
      </m:oMath>
      <w:r>
        <w:t xml:space="preserve">. For a basis of this kernel, evaluate the corresponding public increments to obtain a matrix for</w:t>
      </w:r>
      <w:r>
        <w:t xml:space="preserve"> </w:t>
      </w:r>
      <m:oMath>
        <m:r>
          <m:t>Γ</m:t>
        </m:r>
      </m:oMath>
      <w:r>
        <w:t xml:space="preserve">. The identities in each factor imply</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Γ</m:t>
        </m:r>
        <m:d>
          <m:dPr>
            <m:begChr m:val="("/>
            <m:endChr m:val=")"/>
            <m:sepChr m:val=""/>
            <m:grow/>
          </m:dPr>
          <m:e>
            <m:r>
              <m:t>h</m:t>
            </m:r>
          </m:e>
        </m:d>
      </m:oMath>
      <w:r>
        <w:t xml:space="preserve"> </w:t>
      </w:r>
      <w:r>
        <w:t xml:space="preserve">for every</w:t>
      </w:r>
      <w:r>
        <w:t xml:space="preserve"> </w:t>
      </w:r>
      <m:oMath>
        <m:r>
          <m:t>h</m:t>
        </m:r>
        <m:r>
          <m:rPr>
            <m:sty m:val="p"/>
          </m:rPr>
          <m:t>∈</m:t>
        </m:r>
        <m:r>
          <m:t>D</m:t>
        </m:r>
      </m:oMath>
      <w:r>
        <w:t xml:space="preserve">. Solve</w:t>
      </w:r>
      <w:r>
        <w:t xml:space="preserve"> </w:t>
      </w:r>
      <m:oMath>
        <m:r>
          <m:t>Γ</m:t>
        </m:r>
        <m:d>
          <m:dPr>
            <m:begChr m:val="("/>
            <m:endChr m:val=")"/>
            <m:sepChr m:val=""/>
            <m:grow/>
          </m:dPr>
          <m:e>
            <m:r>
              <m:t>h</m:t>
            </m:r>
          </m:e>
        </m:d>
        <m:r>
          <m:rPr>
            <m:sty m:val="p"/>
          </m:rPr>
          <m:t>=</m:t>
        </m:r>
        <m:r>
          <m:t>t</m:t>
        </m:r>
        <m:r>
          <m:rPr>
            <m:sty m:val="p"/>
          </m:rPr>
          <m:t>−</m:t>
        </m:r>
        <m:r>
          <m:t>F</m:t>
        </m:r>
        <m:d>
          <m:dPr>
            <m:begChr m:val="("/>
            <m:endChr m:val=")"/>
            <m:sepChr m:val=""/>
            <m:grow/>
          </m:dPr>
          <m:e>
            <m:r>
              <m:t>0</m:t>
            </m:r>
          </m:e>
        </m:d>
      </m:oMath>
      <w:r>
        <w:t xml:space="preserve"> </w:t>
      </w:r>
      <w:r>
        <w:t xml:space="preserve">and return</w:t>
      </w:r>
      <w:r>
        <w:t xml:space="preserve"> </w:t>
      </w:r>
      <m:oMath>
        <m:r>
          <m:t>h</m:t>
        </m:r>
      </m:oMath>
      <w:r>
        <w:t xml:space="preserve">; independently verify the public equations. Each local search is at worst quadratic in its explicit domain size, and the remaining operations are polynomial linear algebra. If the linear system is inconsistent, the method reports</w:t>
      </w:r>
      <w:r>
        <w:t xml:space="preserve"> </w:t>
      </w:r>
      <w:r>
        <w:rPr>
          <w:bCs/>
          <w:b/>
        </w:rPr>
        <w:t xml:space="preserve">inconclusive</w:t>
      </w:r>
      <w:r>
        <w:t xml:space="preserve">, because a solution outside the orbit</w:t>
      </w:r>
      <w:r>
        <w:t xml:space="preserve"> </w:t>
      </w:r>
      <m:oMath>
        <m:r>
          <m:t>D</m:t>
        </m:r>
      </m:oMath>
      <w:r>
        <w:t xml:space="preserve"> </w:t>
      </w:r>
      <w:r>
        <w:t xml:space="preserve">may still exist.</w:t>
      </w:r>
      <w:r>
        <w:t xml:space="preserve"> </w:t>
      </w:r>
      <m:oMath>
        <m:r>
          <m:rPr>
            <m:sty m:val="p"/>
          </m:rPr>
          <m:t>▫</m:t>
        </m:r>
      </m:oMath>
    </w:p>
    <w:p>
      <w:pPr>
        <w:pStyle w:val="BodyText"/>
      </w:pPr>
      <w:r>
        <w:rPr>
          <w:bCs/>
          <w:b/>
        </w:rPr>
        <w:t xml:space="preserve">Explicit high-width easy family.</w:t>
      </w:r>
      <w:r>
        <w:t xml:space="preserve"> </w:t>
      </w:r>
      <w:r>
        <w:t xml:space="preserve">Fix</w:t>
      </w:r>
      <w:r>
        <w:t xml:space="preserve"> </w:t>
      </w:r>
      <m:oMath>
        <m:r>
          <m:t>d</m:t>
        </m:r>
        <m:r>
          <m:rPr>
            <m:sty m:val="p"/>
          </m:rPr>
          <m:t>≥</m:t>
        </m:r>
        <m:r>
          <m:t>2</m:t>
        </m:r>
      </m:oMath>
      <w:r>
        <w:t xml:space="preserve"> </w:t>
      </w:r>
      <w:r>
        <w:t xml:space="preserve">and</w:t>
      </w:r>
      <w:r>
        <w:t xml:space="preserve"> </w:t>
      </w:r>
      <m:oMath>
        <m:r>
          <m:t>r</m:t>
        </m:r>
        <m:r>
          <m:rPr>
            <m:sty m:val="p"/>
          </m:rPr>
          <m:t>≥</m:t>
        </m:r>
        <m:r>
          <m:t>1</m:t>
        </m:r>
      </m:oMath>
      <w:r>
        <w:t xml:space="preserve">. Take</w:t>
      </w:r>
      <w:r>
        <w:t xml:space="preserve"> </w:t>
      </w:r>
      <m:oMath>
        <m:r>
          <m:t>q</m:t>
        </m:r>
        <m:r>
          <m:rPr>
            <m:sty m:val="p"/>
          </m:rPr>
          <m:t>≥</m:t>
        </m:r>
        <m:r>
          <m:t>d</m:t>
        </m:r>
      </m:oMath>
      <w:r>
        <w:t xml:space="preserve"> </w:t>
      </w:r>
      <w:r>
        <w:t xml:space="preserve">shared right variables. For every</w:t>
      </w:r>
      <w:r>
        <w:t xml:space="preserve"> </w:t>
      </w:r>
      <m:oMath>
        <m:r>
          <m:t>d</m:t>
        </m:r>
      </m:oMath>
      <w:r>
        <w:t xml:space="preserve">-subset of them, add one source-form factor with its own</w:t>
      </w:r>
      <w:r>
        <w:t xml:space="preserve"> </w:t>
      </w:r>
      <m:oMath>
        <m:r>
          <m:t>r</m:t>
        </m:r>
      </m:oMath>
      <w:r>
        <w:t xml:space="preserve"> </w:t>
      </w:r>
      <w:r>
        <w:t xml:space="preserve">private left variables. Let each local</w:t>
      </w:r>
      <w:r>
        <w:t xml:space="preserve"> </w:t>
      </w:r>
      <m:oMath>
        <m:sSub>
          <m:e>
            <m:r>
              <m:t>B</m:t>
            </m:r>
          </m:e>
          <m:sub>
            <m:r>
              <m:t>i</m:t>
            </m:r>
          </m:sub>
        </m:sSub>
      </m:oMath>
      <w:r>
        <w:t xml:space="preserve"> </w:t>
      </w:r>
      <w:r>
        <w:t xml:space="preserve">be invertible block upper triangular, so its transformed right block depends only on the shared variables, while its left block depends invertibly on its private variables. Each factor is of the original form</w:t>
      </w:r>
      <w:r>
        <w:t xml:space="preserve"> </w:t>
      </w:r>
      <m:oMath>
        <m:sSub>
          <m:e>
            <m:r>
              <m:t>A</m:t>
            </m:r>
          </m:e>
          <m:sub>
            <m:r>
              <m:t>i</m:t>
            </m:r>
          </m:sub>
        </m:sSub>
        <m:sSub>
          <m:e>
            <m:r>
              <m:t>u</m:t>
            </m:r>
          </m:e>
          <m:sub>
            <m:r>
              <m:t>L</m:t>
            </m:r>
            <m:r>
              <m:rPr>
                <m:sty m:val="p"/>
              </m:rPr>
              <m:t>,</m:t>
            </m:r>
            <m:r>
              <m:t>i</m:t>
            </m:r>
          </m:sub>
        </m:sSub>
        <m:r>
          <m:rPr>
            <m:sty m:val="p"/>
          </m:rPr>
          <m:t>+</m:t>
        </m:r>
        <m:sSub>
          <m:e>
            <m:r>
              <m:t>Δ</m:t>
            </m:r>
          </m:e>
          <m:sub>
            <m:sSub>
              <m:e>
                <m:r>
                  <m:t>a</m:t>
                </m:r>
              </m:e>
              <m:sub>
                <m:r>
                  <m:t>i</m:t>
                </m:r>
              </m:sub>
            </m:sSub>
          </m:sub>
        </m:sSub>
        <m:sSub>
          <m:e>
            <m:r>
              <m:t>Q</m:t>
            </m:r>
          </m:e>
          <m:sub>
            <m:r>
              <m:t>i</m:t>
            </m:r>
          </m:sub>
        </m:sSub>
        <m:d>
          <m:dPr>
            <m:begChr m:val="("/>
            <m:endChr m:val=")"/>
            <m:sepChr m:val=""/>
            <m:grow/>
          </m:dPr>
          <m:e>
            <m:sSub>
              <m:e>
                <m:r>
                  <m:t>u</m:t>
                </m:r>
              </m:e>
              <m:sub>
                <m:r>
                  <m:t>R</m:t>
                </m:r>
                <m:r>
                  <m:rPr>
                    <m:sty m:val="p"/>
                  </m:rPr>
                  <m:t>,</m:t>
                </m:r>
                <m:r>
                  <m:t>i</m:t>
                </m:r>
              </m:sub>
            </m:sSub>
          </m:e>
        </m:d>
      </m:oMath>
      <w:r>
        <w:t xml:space="preserve">.</w:t>
      </w:r>
    </w:p>
    <w:p>
      <w:pPr>
        <w:pStyle w:val="BodyText"/>
      </w:pPr>
      <w:r>
        <w:t xml:space="preserve">Every change to one factor’s private left variables is a global constant shift, affecting no other factor, and maps onto that factor’s output. Consequently</w:t>
      </w:r>
      <w:r>
        <w:t xml:space="preserve"> </w:t>
      </w:r>
      <m:oMath>
        <m:r>
          <m:t>Γ</m:t>
        </m:r>
      </m:oMath>
      <w:r>
        <w:t xml:space="preserve"> </w:t>
      </w:r>
      <w:r>
        <w:t xml:space="preserve">is surjective. Yet the shared variables form a clique</w:t>
      </w:r>
      <w:r>
        <w:t xml:space="preserve"> </w:t>
      </w:r>
      <m:oMath>
        <m:sSub>
          <m:e>
            <m:r>
              <m:t>K</m:t>
            </m:r>
          </m:e>
          <m:sub>
            <m:r>
              <m:t>q</m:t>
            </m:r>
          </m:sub>
        </m:sSub>
      </m:oMath>
      <w:r>
        <w:t xml:space="preserve"> </w:t>
      </w:r>
      <w:r>
        <w:t xml:space="preserve">in the primal graph. Each local scope also forms a clique of size</w:t>
      </w:r>
      <w:r>
        <w:t xml:space="preserve"> </w:t>
      </w:r>
      <m:oMath>
        <m:r>
          <m:t>r</m:t>
        </m:r>
        <m:r>
          <m:rPr>
            <m:sty m:val="p"/>
          </m:rPr>
          <m:t>+</m:t>
        </m:r>
        <m:r>
          <m:t>d</m:t>
        </m:r>
      </m:oMath>
      <w:r>
        <w:t xml:space="preserve">. Eliminating all private variables first and then shared variables attains width</w:t>
      </w:r>
      <w:r>
        <w:t xml:space="preserve"> </w:t>
      </w:r>
      <m:oMath>
        <m:r>
          <m:rPr>
            <m:sty m:val="p"/>
          </m:rPr>
          <m:t>max</m:t>
        </m:r>
        <m:d>
          <m:dPr>
            <m:begChr m:val="("/>
            <m:endChr m:val=")"/>
            <m:sepChr m:val=""/>
            <m:grow/>
          </m:dPr>
          <m:e>
            <m:r>
              <m:t>q</m:t>
            </m:r>
            <m:r>
              <m:rPr>
                <m:sty m:val="p"/>
              </m:rPr>
              <m:t>−</m:t>
            </m:r>
            <m:r>
              <m:t>1</m:t>
            </m:r>
            <m:r>
              <m:rPr>
                <m:sty m:val="p"/>
              </m:rPr>
              <m:t>,</m:t>
            </m:r>
            <m:r>
              <m:t>r</m:t>
            </m:r>
            <m:r>
              <m:rPr>
                <m:sty m:val="p"/>
              </m:rPr>
              <m:t>+</m:t>
            </m:r>
            <m:r>
              <m:t>d</m:t>
            </m:r>
            <m:r>
              <m:rPr>
                <m:sty m:val="p"/>
              </m:rPr>
              <m:t>−</m:t>
            </m:r>
            <m:r>
              <m:t>1</m:t>
            </m:r>
          </m:e>
        </m:d>
      </m:oMath>
      <w:r>
        <w:t xml:space="preserve">, matching the clique lower bound. For fixed</w:t>
      </w:r>
      <w:r>
        <w:t xml:space="preserve"> </w:t>
      </w:r>
      <m:oMath>
        <m:r>
          <m:t>d</m:t>
        </m:r>
        <m:r>
          <m:rPr>
            <m:sty m:val="p"/>
          </m:rPr>
          <m:t>,</m:t>
        </m:r>
        <m:r>
          <m:t>r</m:t>
        </m:r>
      </m:oMath>
      <w:r>
        <w:t xml:space="preserve">, both the number of factors</w:t>
      </w:r>
      <w:r>
        <w:t xml:space="preserve"> </w:t>
      </w:r>
      <m:oMath>
        <m:d>
          <m:dPr>
            <m:begChr m:val="("/>
            <m:endChr m:val=")"/>
            <m:sepChr m:val=""/>
            <m:grow/>
          </m:dPr>
          <m:e>
            <m:f>
              <m:fPr>
                <m:type m:val="noBar"/>
              </m:fPr>
              <m:num>
                <m:r>
                  <m:t>q</m:t>
                </m:r>
              </m:num>
              <m:den>
                <m:r>
                  <m:t>d</m:t>
                </m:r>
              </m:den>
            </m:f>
          </m:e>
        </m:d>
      </m:oMath>
      <w:r>
        <w:t xml:space="preserve"> </w:t>
      </w:r>
      <w:r>
        <w:t xml:space="preserve">and local table sizes remain polynomial in</w:t>
      </w:r>
      <w:r>
        <w:t xml:space="preserve"> </w:t>
      </w:r>
      <m:oMath>
        <m:r>
          <m:t>q</m:t>
        </m:r>
      </m:oMath>
      <w:r>
        <w:t xml:space="preserve">, while primal width grows without bound. This supplies an explicit counterexample to the assertion that high primal width by itself establishes witness hardness.</w:t>
      </w:r>
    </w:p>
    <w:p>
      <w:pPr>
        <w:pStyle w:val="BodyText"/>
      </w:pPr>
      <w:r>
        <w:rPr>
          <w:bCs/>
          <w:b/>
        </w:rPr>
        <w:t xml:space="preserve">Distribution boundary.</w:t>
      </w:r>
      <w:r>
        <w:t xml:space="preserve"> </w:t>
      </w:r>
      <w:r>
        <w:t xml:space="preserve">The example deliberately uses block upper triangular local matrices; it is not the uniform-</w:t>
      </w:r>
      <m:oMath>
        <m:r>
          <m:t>G</m:t>
        </m:r>
        <m:sSub>
          <m:e>
            <m:r>
              <m:t>L</m:t>
            </m:r>
          </m:e>
          <m:sub>
            <m:r>
              <m:t>k</m:t>
            </m:r>
          </m:sub>
        </m:sSub>
      </m:oMath>
      <w:r>
        <w:t xml:space="preserve"> </w:t>
      </w:r>
      <w:r>
        <w:t xml:space="preserve">source distribution and does not show that arbitrary random overlaps have a surjective global increment map. The executable tests include source-form overlapping factors for which no useful global constant shift exists. Returning inconclusive on such an instance establishes neither security nor unsatisfiability. Full public function tables are needed for this exact algorithm; a single target relation alone is not the same input.</w:t>
      </w:r>
    </w:p>
    <w:p>
      <w:pPr>
        <w:pStyle w:val="BodyText"/>
      </w:pPr>
      <w:r>
        <w:rPr>
          <w:bCs/>
          <w:b/>
        </w:rPr>
        <w:t xml:space="preserve">Finite evidence.</w:t>
      </w:r>
      <w:r>
        <w:t xml:space="preserve"> </w:t>
      </w:r>
      <w:r>
        <w:t xml:space="preserve">With fixed</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3</m:t>
            </m:r>
            <m:r>
              <m:rPr>
                <m:sty m:val="p"/>
              </m:rPr>
              <m:t>,</m:t>
            </m:r>
            <m:r>
              <m:t>2</m:t>
            </m:r>
            <m:r>
              <m:rPr>
                <m:sty m:val="p"/>
              </m:rPr>
              <m:t>,</m:t>
            </m:r>
            <m:r>
              <m:t>1</m:t>
            </m:r>
          </m:e>
        </m:d>
      </m:oMath>
      <w:r>
        <w:t xml:space="preserve"> </w:t>
      </w:r>
      <w:r>
        <w:t xml:space="preserve">and</w:t>
      </w:r>
      <w:r>
        <w:t xml:space="preserve"> </w:t>
      </w:r>
      <m:oMath>
        <m:r>
          <m:t>q</m:t>
        </m:r>
        <m:r>
          <m:rPr>
            <m:sty m:val="p"/>
          </m:rPr>
          <m:t>=</m:t>
        </m:r>
        <m:r>
          <m:t>4</m:t>
        </m:r>
        <m:r>
          <m:rPr>
            <m:sty m:val="p"/>
          </m:rPr>
          <m:t>,</m:t>
        </m:r>
        <m:r>
          <m:t>8</m:t>
        </m:r>
        <m:r>
          <m:rPr>
            <m:sty m:val="p"/>
          </m:rPr>
          <m:t>,</m:t>
        </m:r>
        <m:r>
          <m:t>12</m:t>
        </m:r>
      </m:oMath>
      <w:r>
        <w:t xml:space="preserve">, the test families have respectively 6, 28 and 66 factors, full increment ranks 6, 28 and 66, and primal widths 3, 7 and 11. A separate family uses the original R1 local geometry. Independent exhaustive checks on 32 small arbitrary global maps compare the recovered shift dimension and increment rank with complete ground truth. Satisfiable targets outside the shift image are deliberately tested and must be reported as inconclusive. These are reproducible algebraic counterexamples, not calibrated attacks on a completed replacement KEM.</w:t>
      </w:r>
    </w:p>
    <w:bookmarkEnd w:id="57"/>
    <w:bookmarkEnd w:id="58"/>
    <w:bookmarkStart w:id="59" w:name="Xcd158b9d3f06b4a07edfd0a58591f1d8a4791da"/>
    <w:p>
      <w:pPr>
        <w:pStyle w:val="Heading1"/>
      </w:pPr>
      <w:r>
        <w:t xml:space="preserve">13. Verification, limitations and responsible next steps</w:t>
      </w:r>
    </w:p>
    <w:p>
      <w:pPr>
        <w:pStyle w:val="FirstParagraph"/>
      </w:pPr>
      <w:r>
        <w:t xml:space="preserve">The 11 October follow-up adds Theorem 4.8, its two fiber/key-recovery corollaries, and Theorem 12.10. Their proofs concern the stated mathematical models. Python regression tests are not proof-assistant verification of either those proofs or the implementation. No machine-checked IND-CPA, IND-CCA or QROM security theorem is present. The follow-up also fixes a dictionary-order defect in Round 6: skipping the first table entry could omit a valid projective direction when zero was not first. A reordered-table regression now checks exact recovery. The manuscript publishing workflow checks both manuscript sources and all mathematical/build inputs before committing generated files, preventing obsolete evidence from being published after a concurrent change.</w:t>
      </w:r>
    </w:p>
    <w:p>
      <w:pPr>
        <w:pStyle w:val="BodyText"/>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9"/>
    <w:bookmarkStart w:id="60" w:name="conclusion"/>
    <w:p>
      <w:pPr>
        <w:pStyle w:val="Heading1"/>
      </w:pPr>
      <w:r>
        <w:t xml:space="preserve">14. Conclusion</w:t>
      </w:r>
    </w:p>
    <w:p>
      <w:pPr>
        <w:pStyle w:val="FirstParagraph"/>
      </w:pPr>
      <w:r>
        <w:t xml:space="preserve">The public-evaluation and uniform-sampling results exclude a broad local repair regime, while the compatible-shift theorem excludes high primal width as a sufficient global repair. Neither supplies a new secret recovery mechanism. Round 8 additionally proves that overlap alone cannot guarantee NCSG witness hardness when the public global primal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60"/>
    <w:bookmarkStart w:id="61" w:name="references"/>
    <w:p>
      <w:pPr>
        <w:pStyle w:val="Heading1"/>
      </w:pPr>
      <w:r>
        <w:t xml:space="preserve">References</w:t>
      </w:r>
    </w:p>
    <w:p>
      <w:pPr>
        <w:pStyle w:val="FirstParagraph"/>
      </w:pPr>
      <w:r>
        <w:t xml:space="preserve">[1] I. S. Reed and G. Solomon. Polynomial Codes over Certain Finite Fields.</w:t>
      </w:r>
      <w:r>
        <w:t xml:space="preserve"> </w:t>
      </w:r>
      <w:r>
        <w:rPr>
          <w:iCs/>
          <w:i/>
        </w:rPr>
        <w:t xml:space="preserve">Journal of the Society for Industrial and Applied Mathematics</w:t>
      </w:r>
      <w:r>
        <w:t xml:space="preserve"> </w:t>
      </w:r>
      <w:r>
        <w:t xml:space="preserve">8(2), 300–304, 1960. https://doi.org/10.1137/0108018</w:t>
      </w:r>
    </w:p>
    <w:p>
      <w:pPr>
        <w:pStyle w:val="BodyText"/>
      </w:pPr>
      <w:r>
        <w:t xml:space="preserve">[2] S. Gao. A New Algorithm for Decoding Reed–Solomon Codes. In</w:t>
      </w:r>
      <w:r>
        <w:t xml:space="preserve"> </w:t>
      </w:r>
      <w:r>
        <w:rPr>
          <w:iCs/>
          <w:i/>
        </w:rPr>
        <w:t xml:space="preserve">Communications, Information and Network Security</w:t>
      </w:r>
      <w:r>
        <w:t xml:space="preserve">, 2003.</w:t>
      </w:r>
    </w:p>
    <w:p>
      <w:pPr>
        <w:pStyle w:val="BodyText"/>
      </w:pPr>
      <w:r>
        <w:t xml:space="preserve">[3] A. Couvreur et al. Distinguisher-Based Attacks on Public-Key Cryptosystems Using Reed–Solomon Codes.</w:t>
      </w:r>
      <w:r>
        <w:t xml:space="preserve"> </w:t>
      </w:r>
      <w:r>
        <w:rPr>
          <w:iCs/>
          <w:i/>
        </w:rPr>
        <w:t xml:space="preserve">Designs, Codes and Cryptography</w:t>
      </w:r>
      <w:r>
        <w:t xml:space="preserve"> </w:t>
      </w:r>
      <w:r>
        <w:t xml:space="preserve">73, 641–666, 2014. https://arxiv.org/abs/1307.6458</w:t>
      </w:r>
    </w:p>
    <w:p>
      <w:pPr>
        <w:pStyle w:val="BodyText"/>
      </w:pPr>
      <w:r>
        <w:t xml:space="preserve">[4] J. Ge, H. Liao and R. Xue. Measure-Rewind-Extract: Tighter Proofs of One-Way to Hiding and CCA Security in the Quantum Random Oracle Model.</w:t>
      </w:r>
      <w:r>
        <w:t xml:space="preserve"> </w:t>
      </w:r>
      <w:r>
        <w:rPr>
          <w:iCs/>
          <w:i/>
        </w:rPr>
        <w:t xml:space="preserve">ASIACRYPT 2024</w:t>
      </w:r>
      <w:r>
        <w:t xml:space="preserve">. https://eprint.iacr.org/2024/777</w:t>
      </w:r>
    </w:p>
    <w:p>
      <w:pPr>
        <w:pStyle w:val="BodyText"/>
      </w:pPr>
      <w:r>
        <w:t xml:space="preserve">[5] N. Bindel et al. Tighter Proofs of CCA Security in the Quantum Random Oracle Model.</w:t>
      </w:r>
      <w:r>
        <w:t xml:space="preserve"> </w:t>
      </w:r>
      <w:r>
        <w:rPr>
          <w:iCs/>
          <w:i/>
        </w:rPr>
        <w:t xml:space="preserve">TCC 2019</w:t>
      </w:r>
      <w:r>
        <w:t xml:space="preserve">.</w:t>
      </w:r>
    </w:p>
    <w:p>
      <w:pPr>
        <w:pStyle w:val="BodyText"/>
      </w:pPr>
      <w:r>
        <w:t xml:space="preserve">[8] Girish Nallan Chakravathy and Sreedevi Kannan. SG-DIFRA: An Attack-Driven NCSG KEM with Secret Incidence and MDS Coding. Author-supplied 26-page source manuscript; original binary timestamp 11 September 2026. The extracted archive is not a bit-identical PDF copy.</w:t>
      </w:r>
    </w:p>
    <w:p>
      <w:pPr>
        <w:pStyle w:val="BodyText"/>
      </w:pPr>
      <w:r>
        <w:t xml:space="preserve">[9] I. M. Hair and A. Sahai. Public Key Encryption from High-Corruption Constraint Satisfaction Problems. arXiv:2604.10479, 2026. https://arxiv.org/abs/2604.10479. Conceptual prior-art comparison; not a construction ingredient.</w:t>
      </w:r>
    </w:p>
    <w:p>
      <w:pPr>
        <w:pStyle w:val="BodyText"/>
      </w:pPr>
      <w:r>
        <w:t xml:space="preserve">[10] A. Couvreur, R. Pratihar, N. Tanısalı and I. Zappatore. On the Structure of the Schur Squares of Twisted Generalized Reed-Solomon Codes and Application to Cryptanalysis.</w:t>
      </w:r>
      <w:r>
        <w:t xml:space="preserve"> </w:t>
      </w:r>
      <w:r>
        <w:rPr>
          <w:iCs/>
          <w:i/>
        </w:rPr>
        <w:t xml:space="preserve">PQCrypto 2025</w:t>
      </w:r>
      <w:r>
        <w:t xml:space="preserve">. https://arxiv.org/abs/2412.15160. Archived code-based iteration context.</w:t>
      </w:r>
    </w:p>
    <w:p>
      <w:pPr>
        <w:pStyle w:val="BodyText"/>
      </w:pPr>
      <w:r>
        <w:t xml:space="preserve">[11] R. Dechter. Bucket Elimination: A Unifying Framework for Reasoning.</w:t>
      </w:r>
      <w:r>
        <w:t xml:space="preserve"> </w:t>
      </w:r>
      <w:r>
        <w:rPr>
          <w:iCs/>
          <w:i/>
        </w:rPr>
        <w:t xml:space="preserve">Artificial Intelligence</w:t>
      </w:r>
      <w:r>
        <w:t xml:space="preserve"> </w:t>
      </w:r>
      <w:r>
        <w:t xml:space="preserve">113(1–2), 41–85, 1999. https://doi.org/10.1016/S0004-3702(99)00059-4</w:t>
      </w:r>
    </w:p>
    <w:p>
      <w:pPr>
        <w:pStyle w:val="BodyText"/>
      </w:pPr>
      <w:r>
        <w:t xml:space="preserve">[12] O. Goldreich. Foundations of Cryptography — A Primer. Author-hosted manuscript, 2005, Sections 1.1 and 2.1. https://www.wisdom.weizmann.ac.il/~oded/PSX/foc-sur04c.pdf</w:t>
      </w:r>
    </w:p>
    <w:p>
      <w:pPr>
        <w:pStyle w:val="BodyText"/>
      </w:pPr>
      <w:r>
        <w:t xml:space="preserve">[13] IACR. EUROCRYPT 2027 official conference calendar. Submission deadline 17 September 2026 at 23:59 AoE. https://eurocrypt.iacr.org/2027/. Checked 10 October 2026.</w:t>
      </w:r>
    </w:p>
    <w:p>
      <w:pPr>
        <w:pStyle w:val="BodyText"/>
      </w:pPr>
      <w:r>
        <w:t xml:space="preserve">Reference labels [6] and [7] are unused and are left unassigned to preserve existing historical reference identifiers.</w:t>
      </w:r>
    </w:p>
    <w:bookmarkEnd w:id="61"/>
    <w:bookmarkStart w:id="62"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62"/>
    <w:bookmarkStart w:id="6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_rels/footnotes.xml.rels><?xml version="1.0" encoding="UTF-8"?><Relationships xmlns="http://schemas.openxmlformats.org/package/2006/relationships"><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2026-10-11T06:21:44Z</dcterms:created>
  <dcterms:modified xsi:type="dcterms:W3CDTF">2026-10-11T06:21:44Z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updated 11 October 2026</vt:lpwstr>
  </property>
</Properties>
</file>