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Round-8 global attack.</w:t>
      </w:r>
      <w:r>
        <w:t xml:space="preserve"> </w:t>
      </w:r>
      <w:r>
        <w:t xml:space="preserve">Publicly known, low-treewidth incidence graphs still allow exact recovery of globally satisfying witnesses, even when source-form ternary NCSG factors overlap. We prove the corresponding public variable-elimination bound and reproduce the attack on overlapping original R1/R2/R3 source-style local geometries. This rules out overlap</w:t>
      </w:r>
      <w:r>
        <w:t xml:space="preserve"> </w:t>
      </w:r>
      <w:r>
        <w:rPr>
          <w:iCs/>
          <w:i/>
        </w:rPr>
        <w:t xml:space="preserve">alone</w:t>
      </w:r>
      <w:r>
        <w:t xml:space="preserve"> </w:t>
      </w:r>
      <w:r>
        <w:t xml:space="preserve">as a trapdoor but does not break all possible global schemes or validate an IND-CCA KEM.</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31"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Profile</w:t>
            </w:r>
            <w:r>
              <w:t xml:space="preserve"> </w:t>
            </w:r>
            <m:oMath>
              <m:d>
                <m:dPr>
                  <m:begChr m:val="("/>
                  <m:endChr m:val=")"/>
                  <m:sepChr m:val=""/>
                  <m:grow/>
                </m:dPr>
                <m:e>
                  <m:r>
                    <m:t>k</m:t>
                  </m:r>
                  <m:r>
                    <m:rPr>
                      <m:sty m:val="p"/>
                    </m:rPr>
                    <m:t>,</m:t>
                  </m:r>
                  <m:r>
                    <m:t>d</m:t>
                  </m:r>
                  <m:r>
                    <m:rPr>
                      <m:sty m:val="p"/>
                    </m:rPr>
                    <m:t>,</m:t>
                  </m:r>
                  <m:r>
                    <m:t>r</m:t>
                  </m:r>
                </m:e>
              </m:d>
            </m:oMath>
          </w:p>
        </w:tc>
        <w:tc>
          <w:tcPr/>
          <w:p>
            <w:pPr>
              <w:pStyle w:val="Compact"/>
              <w:jc w:val="right"/>
            </w:pPr>
            <m:oMath>
              <m:r>
                <m:t>L</m:t>
              </m:r>
            </m:oMath>
          </w:p>
        </w:tc>
        <w:tc>
          <w:tcPr/>
          <w:p>
            <w:pPr>
              <w:pStyle w:val="Compact"/>
              <w:jc w:val="right"/>
            </w:pPr>
            <m:oMath>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r>
              <w:t xml:space="preserve"> </w:t>
            </w: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Start w:id="29"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Exact finite upper bound on recovery failure</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8</m:t>
              </m:r>
              <m:r>
                <m:rPr>
                  <m:sty m:val="p"/>
                </m:rPr>
                <m:t>/</m:t>
              </m:r>
              <m:r>
                <m:t>19683</m:t>
              </m:r>
              <m:r>
                <m:rPr>
                  <m:sty m:val="p"/>
                </m:rPr>
                <m:t>≈</m:t>
              </m:r>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rPr>
          <w:bCs/>
          <w:b/>
        </w:rPr>
        <w:t xml:space="preserve">Code and independent finite certificates.</w:t>
      </w:r>
      <w:r>
        <w:t xml:space="preserve"> </w:t>
      </w:r>
      <w:r>
        <w:t xml:space="preserve">The script at research-2028/attacks/public_second_difference_subspace_recovery.py 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29"/>
    <w:bookmarkStart w:id="30" w:name="X9bc62414c08fc16f93a4d86b8b711afbf03e446"/>
    <w:p>
      <w:pPr>
        <w:pStyle w:val="Heading2"/>
      </w:pPr>
      <w:r>
        <w:t xml:space="preserve">4.4 Round-7 unconditional public local inversion: first differences eliminate the proposed local trapdoor</w:t>
      </w:r>
    </w:p>
    <w:p>
      <w:pPr>
        <w:pStyle w:val="FirstParagraph"/>
      </w:pPr>
      <w:r>
        <w:rPr>
          <w:bCs/>
          <w:b/>
        </w:rPr>
        <w:t xml:space="preserve">Outcome of the Round-6 repair check.</w:t>
      </w:r>
      <w:r>
        <w:t xml:space="preserve"> </w:t>
      </w:r>
      <w:r>
        <w:t xml:space="preserve">Round 6 established the public recoverability of a hidden</w:t>
      </w:r>
      <w:r>
        <w:t xml:space="preserve"> </w:t>
      </w:r>
      <m:oMath>
        <m:d>
          <m:dPr>
            <m:begChr m:val="("/>
            <m:endChr m:val=")"/>
            <m:sepChr m:val=""/>
            <m:grow/>
          </m:dPr>
          <m:e>
            <m:r>
              <m:t>r</m:t>
            </m:r>
            <m:r>
              <m:rPr>
                <m:sty m:val="p"/>
              </m:rPr>
              <m:t>+</m:t>
            </m:r>
            <m:r>
              <m:t>1</m:t>
            </m:r>
          </m:e>
        </m:d>
      </m:oMath>
      <w:r>
        <w:t xml:space="preserve">-dimensional second-difference direction subspace. Its theorem and regression tests remained valid, but</w:t>
      </w:r>
      <w:r>
        <w:t xml:space="preserve"> </w:t>
      </w:r>
      <w:r>
        <w:rPr>
          <w:bCs/>
          <w:b/>
        </w:rPr>
        <w:t xml:space="preserve">the underlying original MaxEnt predicate was not repaired</w:t>
      </w:r>
      <w:r>
        <w:t xml:space="preserve">: that weakness is inherent in the publicly specified function form. Round 7 strengthens the result from probable detection of a hidden direction subspace to</w:t>
      </w:r>
      <w:r>
        <w:t xml:space="preserve"> </w:t>
      </w:r>
      <w:r>
        <w:rPr>
          <w:bCs/>
          <w:b/>
        </w:rPr>
        <w:t xml:space="preserve">unconditional exact public inversion of every local predicate target</w:t>
      </w:r>
      <w:r>
        <w:t xml:space="preserve"> </w:t>
      </w:r>
      <w:r>
        <w:t xml:space="preserve">in the explicit-table model. This rules out using</w:t>
      </w:r>
      <w:r>
        <w:t xml:space="preserve"> </w:t>
      </w:r>
      <w:r>
        <w:rPr>
          <w:iCs/>
          <w:i/>
        </w:rPr>
        <w:t xml:space="preserve">the original local predicate’s preimage problem</w:t>
      </w:r>
      <w:r>
        <w:t xml:space="preserve"> </w:t>
      </w:r>
      <w:r>
        <w:t xml:space="preserve">as the secret inversion trapdoor of a new KEM. It does</w:t>
      </w:r>
      <w:r>
        <w:t xml:space="preserve"> </w:t>
      </w:r>
      <w:r>
        <w:rPr>
          <w:bCs/>
          <w:b/>
        </w:rPr>
        <w:t xml:space="preserve">not</w:t>
      </w:r>
      <w:r>
        <w:t xml:space="preserve"> </w:t>
      </w:r>
      <w:r>
        <w:t xml:space="preserve">solve an arbitrary</w:t>
      </w:r>
      <w:r>
        <w:t xml:space="preserve"> </w:t>
      </w:r>
      <w:r>
        <w:rPr>
          <w:iCs/>
          <w:i/>
        </w:rPr>
        <w:t xml:space="preserve">joint</w:t>
      </w:r>
      <w:r>
        <w:t xml:space="preserve"> </w:t>
      </w:r>
      <w:r>
        <w:t xml:space="preserve">NCSG constraint system, break the independent GF(1024) dense-label ciphertext directly, or supply a replacement KEM.</w:t>
      </w:r>
    </w:p>
    <w:p>
      <w:pPr>
        <w:pStyle w:val="BodyText"/>
      </w:pPr>
      <w:r>
        <w:t xml:space="preserve">Fix the original local publicly evaluable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sSubSup>
            <m:e>
              <m:r>
                <m:rPr>
                  <m:sty m:val="p"/>
                  <m:scr m:val="double-struck"/>
                </m:rPr>
                <m:t>F</m:t>
              </m:r>
            </m:e>
            <m:sub>
              <m:r>
                <m:t>3</m:t>
              </m:r>
            </m:sub>
            <m:sup>
              <m:r>
                <m:t>r</m:t>
              </m:r>
            </m:sup>
          </m:sSubSup>
          <m:r>
            <m:rPr>
              <m:sty m:val="p"/>
            </m:rPr>
            <m:t>×</m:t>
          </m:r>
          <m:sSubSup>
            <m:e>
              <m:r>
                <m:rPr>
                  <m:sty m:val="p"/>
                  <m:scr m:val="double-struck"/>
                </m:rPr>
                <m:t>F</m:t>
              </m:r>
            </m:e>
            <m:sub>
              <m:r>
                <m:t>3</m:t>
              </m:r>
            </m:sub>
            <m:sup>
              <m:r>
                <m:t>d</m:t>
              </m:r>
            </m:sup>
          </m:sSubSup>
          <m:r>
            <m:rPr>
              <m:sty m:val="p"/>
            </m:rPr>
            <m:t>.</m:t>
          </m:r>
        </m:oMath>
      </m:oMathPara>
    </w:p>
    <w:p>
      <w:pPr>
        <w:pStyle w:val="FirstParagraph"/>
      </w:pPr>
      <w:r>
        <w:t xml:space="preserve">Here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and</w:t>
      </w:r>
      <w:r>
        <w:t xml:space="preserve"> </w:t>
      </w:r>
      <m:oMath>
        <m:sSub>
          <m:e>
            <m:r>
              <m:t>Q</m:t>
            </m:r>
          </m:e>
          <m:sub>
            <m:r>
              <m:t>0</m:t>
            </m:r>
          </m:sub>
        </m:sSub>
      </m:oMath>
      <w:r>
        <w:t xml:space="preserve"> </w:t>
      </w:r>
      <w:r>
        <w:t xml:space="preserve">is</w:t>
      </w:r>
      <w:r>
        <w:t xml:space="preserve"> </w:t>
      </w:r>
      <w:r>
        <w:rPr>
          <w:bCs/>
          <w:b/>
        </w:rPr>
        <w:t xml:space="preserve">arbitrary</w:t>
      </w:r>
      <w:r>
        <w:t xml:space="preserve">, not necessarily uniformly sampled. Define the publicly testable constant-derivative direction set</w:t>
      </w:r>
    </w:p>
    <w:p>
      <w:pPr>
        <w:pStyle w:val="BodyText"/>
      </w:pPr>
      <m:oMathPara>
        <m:oMathParaPr>
          <m:jc m:val="center"/>
        </m:oMathParaPr>
        <m:oMath>
          <m:r>
            <m:t>C</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r>
            <m:t> </m:t>
          </m:r>
          <m:r>
            <m:t>f</m:t>
          </m:r>
          <m:d>
            <m:dPr>
              <m:begChr m:val="("/>
              <m:endChr m:val=")"/>
              <m:sepChr m:val=""/>
              <m:grow/>
            </m:dPr>
            <m:e>
              <m:r>
                <m:t>x</m:t>
              </m:r>
              <m:r>
                <m:rPr>
                  <m:sty m:val="p"/>
                </m:rPr>
                <m:t>+</m:t>
              </m:r>
              <m:r>
                <m:t>h</m:t>
              </m:r>
            </m:e>
          </m:d>
          <m:r>
            <m:rPr>
              <m:sty m:val="p"/>
            </m:rPr>
            <m:t>−</m:t>
          </m:r>
          <m:r>
            <m:t>f</m:t>
          </m:r>
          <m:d>
            <m:dPr>
              <m:begChr m:val="("/>
              <m:endChr m:val=")"/>
              <m:sepChr m:val=""/>
              <m:grow/>
            </m:dPr>
            <m:e>
              <m:r>
                <m:t>x</m:t>
              </m:r>
            </m:e>
          </m:d>
          <m:r>
            <m:rPr>
              <m:nor/>
              <m:sty m:val="p"/>
            </m:rPr>
            <m:t> is independent of </m:t>
          </m:r>
          <m:r>
            <m:t>x</m:t>
          </m:r>
          <m:r>
            <m:rPr>
              <m:sty m:val="p"/>
            </m:rPr>
            <m:t>}</m:t>
          </m:r>
          <m:r>
            <m:rPr>
              <m:sty m:val="p"/>
            </m:rPr>
            <m:t>.</m:t>
          </m:r>
        </m:oMath>
      </m:oMathPara>
    </w:p>
    <w:p>
      <w:pPr>
        <w:pStyle w:val="FirstParagraph"/>
      </w:pPr>
      <w:r>
        <w:t xml:space="preserve">For</w:t>
      </w:r>
      <w:r>
        <w:t xml:space="preserve"> </w:t>
      </w:r>
      <m:oMath>
        <m:r>
          <m:t>h</m:t>
        </m:r>
        <m:r>
          <m:rPr>
            <m:sty m:val="p"/>
          </m:rPr>
          <m:t>∈</m:t>
        </m:r>
        <m:r>
          <m:t>C</m:t>
        </m:r>
        <m:d>
          <m:dPr>
            <m:begChr m:val="("/>
            <m:endChr m:val=")"/>
            <m:sepChr m:val=""/>
            <m:grow/>
          </m:dPr>
          <m:e>
            <m:r>
              <m:t>f</m:t>
            </m:r>
          </m:e>
        </m:d>
      </m:oMath>
      <w:r>
        <w:t xml:space="preserve"> </w:t>
      </w:r>
      <w:r>
        <w:t xml:space="preserve">let</w:t>
      </w:r>
      <w:r>
        <w:t xml:space="preserve"> </w:t>
      </w:r>
      <m:oMath>
        <m:sSub>
          <m:e>
            <m:r>
              <m:t>c</m:t>
            </m:r>
          </m:e>
          <m:sub>
            <m:r>
              <m:t>f</m:t>
            </m:r>
          </m:sub>
        </m:sSub>
        <m:d>
          <m:dPr>
            <m:begChr m:val="("/>
            <m:endChr m:val=")"/>
            <m:sepChr m:val=""/>
            <m:grow/>
          </m:dPr>
          <m:e>
            <m:r>
              <m:t>h</m:t>
            </m:r>
          </m:e>
        </m:d>
        <m:r>
          <m:rPr>
            <m:sty m:val="p"/>
          </m:rPr>
          <m:t>=</m:t>
        </m:r>
        <m:r>
          <m:t>f</m:t>
        </m:r>
        <m:d>
          <m:dPr>
            <m:begChr m:val="("/>
            <m:endChr m:val=")"/>
            <m:sepChr m:val=""/>
            <m:grow/>
          </m:dPr>
          <m:e>
            <m:r>
              <m:t>h</m:t>
            </m:r>
          </m:e>
        </m:d>
        <m:r>
          <m:rPr>
            <m:sty m:val="p"/>
          </m:rPr>
          <m:t>−</m:t>
        </m:r>
        <m:r>
          <m:t>f</m:t>
        </m:r>
        <m:d>
          <m:dPr>
            <m:begChr m:val="("/>
            <m:endChr m:val=")"/>
            <m:sepChr m:val=""/>
            <m:grow/>
          </m:dPr>
          <m:e>
            <m:r>
              <m:t>0</m:t>
            </m:r>
          </m:e>
        </m:d>
      </m:oMath>
      <w:r>
        <w:t xml:space="preserve">. Unlike Theorem 4.5, this test uses</w:t>
      </w:r>
      <w:r>
        <w:t xml:space="preserve"> </w:t>
      </w:r>
      <w:r>
        <w:rPr>
          <w:bCs/>
          <w:b/>
        </w:rPr>
        <w:t xml:space="preserve">first differences</w:t>
      </w:r>
      <w:r>
        <w:t xml:space="preserve">, and the result below does not need a distributional probability bound.</w:t>
      </w:r>
    </w:p>
    <w:p>
      <w:pPr>
        <w:pStyle w:val="BodyText"/>
      </w:pPr>
      <w:r>
        <w:rPr>
          <w:bCs/>
          <w:b/>
        </w:rPr>
        <w:t xml:space="preserve">Theorem 4.6 (unconditional public local right inverse).</w:t>
      </w:r>
      <w:r>
        <w:t xml:space="preserve"> </w:t>
      </w:r>
      <w:r>
        <w:t xml:space="preserve">For every legitimate</w:t>
      </w:r>
      <w:r>
        <w:t xml:space="preserve"> </w:t>
      </w:r>
      <m:oMath>
        <m:r>
          <m:t>A</m:t>
        </m:r>
        <m:r>
          <m:rPr>
            <m:sty m:val="p"/>
          </m:rPr>
          <m:t>,</m:t>
        </m:r>
        <m:r>
          <m:t>B</m:t>
        </m:r>
        <m:r>
          <m:rPr>
            <m:sty m:val="p"/>
          </m:rPr>
          <m:t>,</m:t>
        </m:r>
        <m:r>
          <m:t>a</m:t>
        </m:r>
        <m:r>
          <m:rPr>
            <m:sty m:val="p"/>
          </m:rPr>
          <m:t>,</m:t>
        </m:r>
        <m:sSub>
          <m:e>
            <m:r>
              <m:t>Q</m:t>
            </m:r>
          </m:e>
          <m:sub>
            <m:r>
              <m:t>0</m:t>
            </m:r>
          </m:sub>
        </m:sSub>
      </m:oMath>
      <w:r>
        <w:t xml:space="preserve">, the set</w:t>
      </w:r>
      <w:r>
        <w:t xml:space="preserve"> </w:t>
      </w:r>
      <m:oMath>
        <m:r>
          <m:t>C</m:t>
        </m:r>
        <m:d>
          <m:dPr>
            <m:begChr m:val="("/>
            <m:endChr m:val=")"/>
            <m:sepChr m:val=""/>
            <m:grow/>
          </m:dPr>
          <m:e>
            <m:r>
              <m:t>f</m:t>
            </m:r>
          </m:e>
        </m:d>
      </m:oMath>
      <w:r>
        <w:t xml:space="preserve"> </w:t>
      </w:r>
      <w:r>
        <w:t xml:space="preserve">is a linear subspace of</w:t>
      </w:r>
      <w:r>
        <w:t xml:space="preserve"> </w:t>
      </w:r>
      <m:oMath>
        <m:sSubSup>
          <m:e>
            <m:r>
              <m:rPr>
                <m:sty m:val="p"/>
                <m:scr m:val="double-struck"/>
              </m:rPr>
              <m:t>F</m:t>
            </m:r>
          </m:e>
          <m:sub>
            <m:r>
              <m:t>3</m:t>
            </m:r>
          </m:sub>
          <m:sup>
            <m:r>
              <m:t>k</m:t>
            </m:r>
          </m:sup>
        </m:sSubSup>
      </m:oMath>
      <w:r>
        <w:t xml:space="preserve">, and</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a</w:t>
      </w:r>
      <w:r>
        <w:t xml:space="preserve"> </w:t>
      </w:r>
      <w:r>
        <w:rPr>
          <w:bCs/>
          <w:b/>
        </w:rPr>
        <w:t xml:space="preserve">surjective linear map</w:t>
      </w:r>
      <w:r>
        <w:t xml:space="preserve">. Consequently a deterministic public-only algorithm, given the complete publicly evaluable truth table of</w:t>
      </w:r>
      <w:r>
        <w:t xml:space="preserve"> </w:t>
      </w:r>
      <m:oMath>
        <m:r>
          <m:t>f</m:t>
        </m:r>
      </m:oMath>
      <w:r>
        <w:t xml:space="preserve"> </w:t>
      </w:r>
      <w:r>
        <w:t xml:space="preserve">and any target</w:t>
      </w:r>
      <w:r>
        <w:t xml:space="preserve"> </w:t>
      </w:r>
      <m:oMath>
        <m:r>
          <m:t>t</m:t>
        </m:r>
        <m:r>
          <m:rPr>
            <m:sty m:val="p"/>
          </m:rPr>
          <m:t>∈</m:t>
        </m:r>
        <m:sSubSup>
          <m:e>
            <m:r>
              <m:rPr>
                <m:sty m:val="p"/>
                <m:scr m:val="double-struck"/>
              </m:rPr>
              <m:t>F</m:t>
            </m:r>
          </m:e>
          <m:sub>
            <m:r>
              <m:t>3</m:t>
            </m:r>
          </m:sub>
          <m:sup>
            <m:r>
              <m:t>r</m:t>
            </m:r>
          </m:sup>
        </m:sSubSup>
      </m:oMath>
      <w:r>
        <w:t xml:space="preserve">, outputs an assignment</w:t>
      </w:r>
      <w:r>
        <w:t xml:space="preserve"> </w:t>
      </w:r>
      <m:oMath>
        <m:sSub>
          <m:e>
            <m:r>
              <m:t>x</m:t>
            </m:r>
          </m:e>
          <m:sub>
            <m:r>
              <m:t>t</m:t>
            </m:r>
          </m:sub>
        </m:sSub>
      </m:oMath>
      <w:r>
        <w:t xml:space="preserve"> </w:t>
      </w:r>
      <w:r>
        <w:t xml:space="preserve">with</w:t>
      </w:r>
    </w:p>
    <w:p>
      <w:pPr>
        <w:pStyle w:val="BodyText"/>
      </w:pPr>
      <m:oMathPara>
        <m:oMathParaPr>
          <m:jc m:val="center"/>
        </m:oMathParaPr>
        <m:oMath>
          <m:r>
            <m:t>f</m:t>
          </m:r>
          <m:d>
            <m:dPr>
              <m:begChr m:val="("/>
              <m:endChr m:val=")"/>
              <m:sepChr m:val=""/>
              <m:grow/>
            </m:dPr>
            <m:e>
              <m:sSub>
                <m:e>
                  <m:r>
                    <m:t>x</m:t>
                  </m:r>
                </m:e>
                <m:sub>
                  <m:r>
                    <m:t>t</m:t>
                  </m:r>
                </m:sub>
              </m:sSub>
            </m:e>
          </m:d>
          <m:r>
            <m:rPr>
              <m:sty m:val="p"/>
            </m:rPr>
            <m:t>=</m:t>
          </m:r>
          <m:r>
            <m:t>t</m:t>
          </m:r>
        </m:oMath>
      </m:oMathPara>
    </w:p>
    <w:p>
      <w:pPr>
        <w:pStyle w:val="FirstParagraph"/>
      </w:pPr>
      <w:r>
        <w:rPr>
          <w:bCs/>
          <w:b/>
        </w:rPr>
        <w:t xml:space="preserve">with success probability exactly one</w:t>
      </w:r>
      <w:r>
        <w:t xml:space="preserve">. The algorithm uses at most</w:t>
      </w:r>
      <w:r>
        <w:t xml:space="preserve"> </w:t>
      </w:r>
      <m:oMath>
        <m:r>
          <m:t>O</m:t>
        </m:r>
        <m:d>
          <m:dPr>
            <m:begChr m:val="("/>
            <m:endChr m:val=")"/>
            <m:sepChr m:val=""/>
            <m:grow/>
          </m:dPr>
          <m:e>
            <m:r>
              <m:t>k</m:t>
            </m:r>
            <m:r>
              <m:t>r</m:t>
            </m:r>
            <m:sSup>
              <m:e>
                <m:r>
                  <m:t>3</m:t>
                </m:r>
              </m:e>
              <m:sup>
                <m:r>
                  <m:t>2</m:t>
                </m:r>
                <m:r>
                  <m:t>k</m:t>
                </m:r>
              </m:sup>
            </m:sSup>
            <m:r>
              <m:rPr>
                <m:sty m:val="p"/>
              </m:rPr>
              <m:t>+</m:t>
            </m:r>
            <m:r>
              <m:t>k</m:t>
            </m:r>
            <m:sSup>
              <m:e>
                <m:r>
                  <m:t>r</m:t>
                </m:r>
              </m:e>
              <m:sup>
                <m:r>
                  <m:t>3</m:t>
                </m:r>
              </m:sup>
            </m:sSup>
          </m:e>
        </m:d>
      </m:oMath>
      <w:r>
        <w:t xml:space="preserve"> </w:t>
      </w:r>
      <w:r>
        <w:t xml:space="preserve">elementary field operations for preprocessing and</w:t>
      </w:r>
      <w:r>
        <w:t xml:space="preserve"> </w:t>
      </w:r>
      <m:oMath>
        <m:r>
          <m:t>O</m:t>
        </m:r>
        <m:d>
          <m:dPr>
            <m:begChr m:val="("/>
            <m:endChr m:val=")"/>
            <m:sepChr m:val=""/>
            <m:grow/>
          </m:dPr>
          <m:e>
            <m:r>
              <m:t>k</m:t>
            </m:r>
            <m:r>
              <m:t>r</m:t>
            </m:r>
            <m:r>
              <m:rPr>
                <m:sty m:val="p"/>
              </m:rPr>
              <m:t>+</m:t>
            </m:r>
            <m:sSup>
              <m:e>
                <m:r>
                  <m:t>r</m:t>
                </m:r>
              </m:e>
              <m:sup>
                <m:r>
                  <m:t>3</m:t>
                </m:r>
              </m:sup>
            </m:sSup>
          </m:e>
        </m:d>
      </m:oMath>
      <w:r>
        <w:t xml:space="preserve"> </w:t>
      </w:r>
      <w:r>
        <w:t xml:space="preserve">per target with a recovered</w:t>
      </w:r>
      <w:r>
        <w:t xml:space="preserve"> </w:t>
      </w:r>
      <m:oMath>
        <m:r>
          <m:t>r</m:t>
        </m:r>
      </m:oMath>
      <w:r>
        <w:t xml:space="preserve">-element independent increment basis. It never knows or recovers the secret sampled coordinate matrices.</w:t>
      </w:r>
    </w:p>
    <w:p>
      <w:pPr>
        <w:pStyle w:val="BodyText"/>
      </w:pPr>
      <w:r>
        <w:rPr>
          <w:bCs/>
          <w:b/>
        </w:rPr>
        <w:t xml:space="preserve">Proof.</w:t>
      </w:r>
      <w:r>
        <w:t xml:space="preserve"> </w:t>
      </w:r>
      <w:r>
        <w:t xml:space="preserve">Translation identities show that any pair</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satisfies</w:t>
      </w:r>
    </w:p>
    <w:p>
      <w:pPr>
        <w:pStyle w:val="BodyText"/>
      </w:pPr>
      <m:oMathPara>
        <m:oMathParaPr>
          <m:jc m:val="center"/>
        </m:oMathParaPr>
        <m:oMath>
          <m:r>
            <m:t>f</m:t>
          </m:r>
          <m:d>
            <m:dPr>
              <m:begChr m:val="("/>
              <m:endChr m:val=")"/>
              <m:sepChr m:val=""/>
              <m:grow/>
            </m:dPr>
            <m:e>
              <m:r>
                <m:t>x</m:t>
              </m:r>
              <m:r>
                <m:rPr>
                  <m:sty m:val="p"/>
                </m:rPr>
                <m:t>+</m:t>
              </m:r>
              <m:r>
                <m:t>h</m:t>
              </m:r>
              <m:r>
                <m:rPr>
                  <m:sty m:val="p"/>
                </m:rPr>
                <m:t>+</m:t>
              </m:r>
              <m:r>
                <m:t>h</m:t>
              </m:r>
              <m:r>
                <m:rPr>
                  <m:sty m:val="p"/>
                </m:rPr>
                <m:t>′</m:t>
              </m:r>
            </m:e>
          </m:d>
          <m:r>
            <m:rPr>
              <m:sty m:val="p"/>
            </m:rPr>
            <m:t>−</m:t>
          </m:r>
          <m:r>
            <m:t>f</m:t>
          </m:r>
          <m:d>
            <m:dPr>
              <m:begChr m:val="("/>
              <m:endChr m:val=")"/>
              <m:sepChr m:val=""/>
              <m:grow/>
            </m:dPr>
            <m:e>
              <m:r>
                <m:t>x</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r>
            <m:rPr>
              <m:sty m:val="p"/>
            </m:rPr>
            <m:t>,</m:t>
          </m:r>
        </m:oMath>
      </m:oMathPara>
    </w:p>
    <w:p>
      <w:pPr>
        <w:pStyle w:val="FirstParagraph"/>
      </w:pPr>
      <w:r>
        <w:t xml:space="preserve">and hence</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and</w:t>
      </w:r>
      <w:r>
        <w:t xml:space="preserve"> </w:t>
      </w:r>
      <m:oMath>
        <m:sSub>
          <m:e>
            <m:r>
              <m:t>c</m:t>
            </m:r>
          </m:e>
          <m:sub>
            <m:r>
              <m:t>f</m:t>
            </m:r>
          </m:sub>
        </m:sSub>
        <m:d>
          <m:dPr>
            <m:begChr m:val="("/>
            <m:endChr m:val=")"/>
            <m:sepChr m:val=""/>
            <m:grow/>
          </m:dPr>
          <m:e>
            <m:r>
              <m:t>h</m:t>
            </m:r>
            <m:r>
              <m:rPr>
                <m:sty m:val="p"/>
              </m:rPr>
              <m:t>+</m:t>
            </m:r>
            <m:r>
              <m:t>h</m:t>
            </m:r>
            <m:r>
              <m:rPr>
                <m:sty m:val="p"/>
              </m:rPr>
              <m:t>′</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oMath>
      <w:r>
        <w:t xml:space="preserve">. Negatives and zero are also in</w:t>
      </w:r>
      <w:r>
        <w:t xml:space="preserve"> </w:t>
      </w:r>
      <m:oMath>
        <m:r>
          <m:t>C</m:t>
        </m:r>
        <m:d>
          <m:dPr>
            <m:begChr m:val="("/>
            <m:endChr m:val=")"/>
            <m:sepChr m:val=""/>
            <m:grow/>
          </m:dPr>
          <m:e>
            <m:r>
              <m:t>f</m:t>
            </m:r>
          </m:e>
        </m:d>
      </m:oMath>
      <w:r>
        <w:t xml:space="preserve">, so</w:t>
      </w:r>
      <w:r>
        <w:t xml:space="preserve"> </w:t>
      </w:r>
      <m:oMath>
        <m:r>
          <m:t>C</m:t>
        </m:r>
        <m:d>
          <m:dPr>
            <m:begChr m:val="("/>
            <m:endChr m:val=")"/>
            <m:sepChr m:val=""/>
            <m:grow/>
          </m:dPr>
          <m:e>
            <m:r>
              <m:t>f</m:t>
            </m:r>
          </m:e>
        </m:d>
      </m:oMath>
      <w:r>
        <w:t xml:space="preserve"> </w:t>
      </w:r>
      <w:r>
        <w:t xml:space="preserve">is a subspace and</w:t>
      </w:r>
      <w:r>
        <w:t xml:space="preserve"> </w:t>
      </w:r>
      <m:oMath>
        <m:sSub>
          <m:e>
            <m:r>
              <m:t>c</m:t>
            </m:r>
          </m:e>
          <m:sub>
            <m:r>
              <m:t>f</m:t>
            </m:r>
          </m:sub>
        </m:sSub>
      </m:oMath>
      <w:r>
        <w:t xml:space="preserve"> </w:t>
      </w:r>
      <w:r>
        <w:t xml:space="preserve">is linear. Now consider the private-but-mathematically well-defined left shift space</w:t>
      </w:r>
    </w:p>
    <w:p>
      <w:pPr>
        <w:pStyle w:val="BodyText"/>
      </w:pPr>
      <m:oMathPara>
        <m:oMathParaPr>
          <m:jc m:val="center"/>
        </m:oMathParaPr>
        <m:oMath>
          <m:sSub>
            <m:e>
              <m:r>
                <m:t>W</m:t>
              </m:r>
            </m:e>
            <m:sub>
              <m:r>
                <m:t>0</m:t>
              </m:r>
            </m:sub>
          </m:sSub>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r>
            <m:rPr>
              <m:sty m:val="p"/>
            </m:rPr>
            <m:t>.</m:t>
          </m:r>
        </m:oMath>
      </m:oMathPara>
    </w:p>
    <w:p>
      <w:pPr>
        <w:pStyle w:val="FirstParagraph"/>
      </w:pPr>
      <w:r>
        <w:t xml:space="preserve">For every</w:t>
      </w:r>
      <w:r>
        <w:t xml:space="preserve"> </w:t>
      </w:r>
      <m:oMath>
        <m:r>
          <m:t>h</m:t>
        </m:r>
        <m:r>
          <m:rPr>
            <m:sty m:val="p"/>
          </m:rPr>
          <m:t>∈</m:t>
        </m:r>
        <m:sSub>
          <m:e>
            <m:r>
              <m:t>W</m:t>
            </m:r>
          </m:e>
          <m:sub>
            <m:r>
              <m:t>0</m:t>
            </m:r>
          </m:sub>
        </m:sSub>
      </m:oMath>
      <w:r>
        <w:t xml:space="preserve">, writing</w:t>
      </w:r>
      <w:r>
        <w:t xml:space="preserve"> </w:t>
      </w:r>
      <m:oMath>
        <m:r>
          <m:t>B</m:t>
        </m:r>
        <m:r>
          <m:t>h</m:t>
        </m:r>
        <m:r>
          <m:rPr>
            <m:sty m:val="p"/>
          </m:rPr>
          <m:t>=</m:t>
        </m:r>
        <m:d>
          <m:dPr>
            <m:begChr m:val="("/>
            <m:endChr m:val=")"/>
            <m:sepChr m:val=""/>
            <m:grow/>
          </m:dPr>
          <m:e>
            <m:r>
              <m:t>v</m:t>
            </m:r>
            <m:r>
              <m:rPr>
                <m:sty m:val="p"/>
              </m:rPr>
              <m:t>,</m:t>
            </m:r>
            <m:r>
              <m:t>0</m:t>
            </m:r>
          </m:e>
        </m:d>
      </m:oMath>
      <w:r>
        <w:t xml:space="preserve">, one has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r>
            <m:t>v</m:t>
          </m:r>
        </m:oMath>
      </m:oMathPara>
    </w:p>
    <w:p>
      <w:pPr>
        <w:pStyle w:val="FirstParagraph"/>
      </w:pPr>
      <w:r>
        <w:rPr>
          <w:bCs/>
          <w:b/>
        </w:rPr>
        <w:t xml:space="preserve">for every</w:t>
      </w:r>
      <w:r>
        <w:t xml:space="preserve"> </w:t>
      </w:r>
      <m:oMath>
        <m:r>
          <m:t>x</m:t>
        </m:r>
      </m:oMath>
      <w:r>
        <w:t xml:space="preserve">, regardless of</w:t>
      </w:r>
      <w:r>
        <w:t xml:space="preserve"> </w:t>
      </w:r>
      <m:oMath>
        <m:sSub>
          <m:e>
            <m:r>
              <m:t>Q</m:t>
            </m:r>
          </m:e>
          <m:sub>
            <m:r>
              <m:t>0</m:t>
            </m:r>
          </m:sub>
        </m:sSub>
      </m:oMath>
      <w:r>
        <w:t xml:space="preserve"> </w:t>
      </w:r>
      <w:r>
        <w:t xml:space="preserve">or</w:t>
      </w:r>
      <w:r>
        <w:t xml:space="preserve"> </w:t>
      </w:r>
      <m:oMath>
        <m:r>
          <m:t>a</m:t>
        </m:r>
      </m:oMath>
      <w:r>
        <w:t xml:space="preserve">. Thus</w:t>
      </w:r>
      <w:r>
        <w:t xml:space="preserve"> </w:t>
      </w:r>
      <m:oMath>
        <m:sSub>
          <m:e>
            <m:r>
              <m:t>W</m:t>
            </m:r>
          </m:e>
          <m:sub>
            <m:r>
              <m:t>0</m:t>
            </m:r>
          </m:sub>
        </m:sSub>
        <m:r>
          <m:rPr>
            <m:sty m:val="p"/>
          </m:rPr>
          <m:t>⊆</m:t>
        </m:r>
        <m:r>
          <m:t>C</m:t>
        </m:r>
        <m:d>
          <m:dPr>
            <m:begChr m:val="("/>
            <m:endChr m:val=")"/>
            <m:sepChr m:val=""/>
            <m:grow/>
          </m:dPr>
          <m:e>
            <m:r>
              <m:t>f</m:t>
            </m:r>
          </m:e>
        </m:d>
      </m:oMath>
      <w:r>
        <w:t xml:space="preserve">. On the subspace</w:t>
      </w:r>
      <w:r>
        <w:t xml:space="preserve"> </w:t>
      </w:r>
      <m:oMath>
        <m:sSub>
          <m:e>
            <m:r>
              <m:t>W</m:t>
            </m:r>
          </m:e>
          <m:sub>
            <m:r>
              <m:t>0</m:t>
            </m:r>
          </m:sub>
        </m:sSub>
      </m:oMath>
      <w:r>
        <w:t xml:space="preserve">, the map</w:t>
      </w:r>
      <w:r>
        <w:t xml:space="preserve"> </w:t>
      </w:r>
      <m:oMath>
        <m:r>
          <m:t>h</m:t>
        </m:r>
        <m:r>
          <m:rPr>
            <m:sty m:val="p"/>
          </m:rPr>
          <m:t>↦</m:t>
        </m:r>
        <m:sSub>
          <m:e>
            <m:r>
              <m:t>c</m:t>
            </m:r>
          </m:e>
          <m:sub>
            <m:r>
              <m:t>f</m:t>
            </m:r>
          </m:sub>
        </m:sSub>
        <m:d>
          <m:dPr>
            <m:begChr m:val="("/>
            <m:endChr m:val=")"/>
            <m:sepChr m:val=""/>
            <m:grow/>
          </m:dPr>
          <m:e>
            <m:r>
              <m:t>h</m:t>
            </m:r>
          </m:e>
        </m:d>
      </m:oMath>
      <w:r>
        <w:t xml:space="preserve"> </w:t>
      </w:r>
      <w:r>
        <w:t xml:space="preserve">is a linear isomorphism onto</w:t>
      </w:r>
      <w:r>
        <w:t xml:space="preserve"> </w:t>
      </w:r>
      <m:oMath>
        <m:sSubSup>
          <m:e>
            <m:r>
              <m:rPr>
                <m:sty m:val="p"/>
                <m:scr m:val="double-struck"/>
              </m:rPr>
              <m:t>F</m:t>
            </m:r>
          </m:e>
          <m:sub>
            <m:r>
              <m:t>3</m:t>
            </m:r>
          </m:sub>
          <m:sup>
            <m:r>
              <m:t>r</m:t>
            </m:r>
          </m:sup>
        </m:sSubSup>
      </m:oMath>
      <w:r>
        <w:t xml:space="preserve"> </w:t>
      </w:r>
      <w:r>
        <w:t xml:space="preserve">because</w:t>
      </w:r>
      <w:r>
        <w:t xml:space="preserve"> </w:t>
      </w:r>
      <m:oMath>
        <m:r>
          <m:t>A</m:t>
        </m:r>
      </m:oMath>
      <w:r>
        <w:t xml:space="preserve"> </w:t>
      </w:r>
      <w:r>
        <w:t xml:space="preserve">and</w:t>
      </w:r>
      <w:r>
        <w:t xml:space="preserve"> </w:t>
      </w:r>
      <m:oMath>
        <m:r>
          <m:t>B</m:t>
        </m:r>
      </m:oMath>
      <w:r>
        <w:t xml:space="preserve"> </w:t>
      </w:r>
      <w:r>
        <w:t xml:space="preserve">are invertible. Therefore the</w:t>
      </w:r>
      <w:r>
        <w:t xml:space="preserve"> </w:t>
      </w:r>
      <w:r>
        <w:rPr>
          <w:iCs/>
          <w:i/>
        </w:rPr>
        <w:t xml:space="preserve">publicly defined</w:t>
      </w:r>
      <w:r>
        <w:t xml:space="preserve"> </w:t>
      </w:r>
      <w:r>
        <w:t xml:space="preserve">map</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necessarily surjective.</w:t>
      </w:r>
    </w:p>
    <w:p>
      <w:pPr>
        <w:pStyle w:val="BodyText"/>
      </w:pPr>
      <w:r>
        <w:t xml:space="preserve">The public algorithm enumerates candidate</w:t>
      </w:r>
      <w:r>
        <w:t xml:space="preserve"> </w:t>
      </w:r>
      <m:oMath>
        <m:r>
          <m:t>h</m:t>
        </m:r>
      </m:oMath>
      <w:r>
        <w:t xml:space="preserve">, checks</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over all public inputs</w:t>
      </w:r>
      <w:r>
        <w:t xml:space="preserve"> </w:t>
      </w:r>
      <m:oMath>
        <m:r>
          <m:t>x</m:t>
        </m:r>
      </m:oMath>
      <w:r>
        <w:t xml:space="preserve">, retains only genuinely constant derivatives, and selects</w:t>
      </w:r>
      <w:r>
        <w:t xml:space="preserve"> </w:t>
      </w:r>
      <m:oMath>
        <m:r>
          <m:t>r</m:t>
        </m:r>
      </m:oMath>
      <w:r>
        <w:t xml:space="preserve"> </w:t>
      </w:r>
      <w:r>
        <w:t xml:space="preserve">directions</w:t>
      </w:r>
      <w:r>
        <w:t xml:space="preserve"> </w:t>
      </w:r>
      <m:oMath>
        <m:sSub>
          <m:e>
            <m:r>
              <m:t>h</m:t>
            </m:r>
          </m:e>
          <m:sub>
            <m:r>
              <m:t>1</m:t>
            </m:r>
          </m:sub>
        </m:sSub>
        <m:r>
          <m:rPr>
            <m:sty m:val="p"/>
          </m:rPr>
          <m:t>,</m:t>
        </m:r>
        <m:r>
          <m:rPr>
            <m:sty m:val="p"/>
          </m:rPr>
          <m:t>…</m:t>
        </m:r>
        <m:r>
          <m:rPr>
            <m:sty m:val="p"/>
          </m:rPr>
          <m:t>,</m:t>
        </m:r>
        <m:sSub>
          <m:e>
            <m:r>
              <m:t>h</m:t>
            </m:r>
          </m:e>
          <m:sub>
            <m:r>
              <m:t>r</m:t>
            </m:r>
          </m:sub>
        </m:sSub>
      </m:oMath>
      <w:r>
        <w:t xml:space="preserve"> </w:t>
      </w:r>
      <w:r>
        <w:t xml:space="preserve">whose</w:t>
      </w:r>
      <w:r>
        <w:t xml:space="preserve"> </w:t>
      </w:r>
      <w:r>
        <w:rPr>
          <w:bCs/>
          <w:b/>
        </w:rPr>
        <w:t xml:space="preserve">public output increments</w:t>
      </w:r>
      <w:r>
        <w:t xml:space="preserve"> </w:t>
      </w:r>
      <m:oMath>
        <m:sSub>
          <m:e>
            <m:r>
              <m:t>c</m:t>
            </m:r>
          </m:e>
          <m:sub>
            <m:r>
              <m:t>f</m:t>
            </m:r>
          </m:sub>
        </m:sSub>
        <m:d>
          <m:dPr>
            <m:begChr m:val="("/>
            <m:endChr m:val=")"/>
            <m:sepChr m:val=""/>
            <m:grow/>
          </m:dPr>
          <m:e>
            <m:sSub>
              <m:e>
                <m:r>
                  <m:t>h</m:t>
                </m:r>
              </m:e>
              <m:sub>
                <m:r>
                  <m:t>j</m:t>
                </m:r>
              </m:sub>
            </m:sSub>
          </m:e>
        </m:d>
      </m:oMath>
      <w:r>
        <w:t xml:space="preserve"> </w:t>
      </w:r>
      <w:r>
        <w:t xml:space="preserve">are linearly independent. Such directions exist because the image of</w:t>
      </w:r>
      <w:r>
        <w:t xml:space="preserve"> </w:t>
      </w:r>
      <m:oMath>
        <m:sSub>
          <m:e>
            <m:r>
              <m:t>c</m:t>
            </m:r>
          </m:e>
          <m:sub>
            <m:r>
              <m:t>f</m:t>
            </m:r>
          </m:sub>
        </m:sSub>
      </m:oMath>
      <w:r>
        <w:t xml:space="preserve"> </w:t>
      </w:r>
      <w:r>
        <w:t xml:space="preserve">is the entire output space. Solve the public linear system</w:t>
      </w:r>
    </w:p>
    <w:p>
      <w:pPr>
        <w:pStyle w:val="BodyText"/>
      </w:pPr>
      <m:oMathPara>
        <m:oMathParaPr>
          <m:jc m:val="center"/>
        </m:oMathParaPr>
        <m:oMath>
          <m:nary>
            <m:naryPr>
              <m:chr m:val="∑"/>
              <m:limLoc m:val="undOvr"/>
              <m:subHide m:val="off"/>
              <m:supHide m:val="off"/>
            </m:naryPr>
            <m:sub>
              <m:r>
                <m:t>j</m:t>
              </m:r>
              <m:r>
                <m:rPr>
                  <m:sty m:val="p"/>
                </m:rPr>
                <m:t>=</m:t>
              </m:r>
              <m:r>
                <m:t>1</m:t>
              </m:r>
            </m:sub>
            <m:sup>
              <m:r>
                <m:t>r</m:t>
              </m:r>
            </m:sup>
            <m:e>
              <m:sSub>
                <m:e>
                  <m:r>
                    <m:t>γ</m:t>
                  </m:r>
                </m:e>
                <m:sub>
                  <m:r>
                    <m:t>j</m:t>
                  </m:r>
                </m:sub>
              </m:sSub>
            </m:e>
          </m:nary>
          <m:sSub>
            <m:e>
              <m:r>
                <m:t>c</m:t>
              </m:r>
            </m:e>
            <m:sub>
              <m:r>
                <m:t>f</m:t>
              </m:r>
            </m:sub>
          </m:sSub>
          <m:d>
            <m:dPr>
              <m:begChr m:val="("/>
              <m:endChr m:val=")"/>
              <m:sepChr m:val=""/>
              <m:grow/>
            </m:dPr>
            <m:e>
              <m:sSub>
                <m:e>
                  <m:r>
                    <m:t>h</m:t>
                  </m:r>
                </m:e>
                <m:sub>
                  <m:r>
                    <m:t>j</m:t>
                  </m:r>
                </m:sub>
              </m:sSub>
            </m:e>
          </m:d>
          <m:r>
            <m:rPr>
              <m:sty m:val="p"/>
            </m:rPr>
            <m:t>=</m:t>
          </m:r>
          <m:r>
            <m:t>t</m:t>
          </m:r>
          <m:r>
            <m:rPr>
              <m:sty m:val="p"/>
            </m:rPr>
            <m:t>−</m:t>
          </m:r>
          <m:r>
            <m:t>f</m:t>
          </m:r>
          <m:d>
            <m:dPr>
              <m:begChr m:val="("/>
              <m:endChr m:val=")"/>
              <m:sepChr m:val=""/>
              <m:grow/>
            </m:dPr>
            <m:e>
              <m:r>
                <m:t>0</m:t>
              </m:r>
            </m:e>
          </m:d>
        </m:oMath>
      </m:oMathPara>
    </w:p>
    <w:p>
      <w:pPr>
        <w:pStyle w:val="FirstParagraph"/>
      </w:pPr>
      <w:r>
        <w:t xml:space="preserve">and return</w:t>
      </w:r>
    </w:p>
    <w:p>
      <w:pPr>
        <w:pStyle w:val="BodyText"/>
      </w:pPr>
      <m:oMathPara>
        <m:oMathParaPr>
          <m:jc m:val="center"/>
        </m:oMathParaPr>
        <m:oMath>
          <m:sSub>
            <m:e>
              <m:r>
                <m:t>x</m:t>
              </m:r>
            </m:e>
            <m:sub>
              <m:r>
                <m:t>t</m:t>
              </m:r>
            </m:sub>
          </m:sSub>
          <m:r>
            <m:rPr>
              <m:sty m:val="p"/>
            </m:rPr>
            <m:t>=</m:t>
          </m:r>
          <m:nary>
            <m:naryPr>
              <m:chr m:val="∑"/>
              <m:limLoc m:val="undOvr"/>
              <m:subHide m:val="off"/>
              <m:supHide m:val="off"/>
            </m:naryPr>
            <m:sub>
              <m:r>
                <m:t>j</m:t>
              </m:r>
              <m:r>
                <m:rPr>
                  <m:sty m:val="p"/>
                </m:rPr>
                <m:t>=</m:t>
              </m:r>
              <m:r>
                <m:t>1</m:t>
              </m:r>
            </m:sub>
            <m:sup>
              <m:r>
                <m:t>r</m:t>
              </m:r>
            </m:sup>
            <m:e>
              <m:sSub>
                <m:e>
                  <m:r>
                    <m:t>γ</m:t>
                  </m:r>
                </m:e>
                <m:sub>
                  <m:r>
                    <m:t>j</m:t>
                  </m:r>
                </m:sub>
              </m:sSub>
            </m:e>
          </m:nary>
          <m:sSub>
            <m:e>
              <m:r>
                <m:t>h</m:t>
              </m:r>
            </m:e>
            <m:sub>
              <m:r>
                <m:t>j</m:t>
              </m:r>
            </m:sub>
          </m:sSub>
          <m:r>
            <m:rPr>
              <m:sty m:val="p"/>
            </m:rPr>
            <m:t>.</m:t>
          </m:r>
        </m:oMath>
      </m:oMathPara>
    </w:p>
    <w:p>
      <w:pPr>
        <w:pStyle w:val="FirstParagraph"/>
      </w:pPr>
      <w:r>
        <w:t xml:space="preserve">By additivity</w:t>
      </w:r>
      <w:r>
        <w:t xml:space="preserve"> </w:t>
      </w:r>
      <m:oMath>
        <m:r>
          <m:t>f</m:t>
        </m:r>
        <m:d>
          <m:dPr>
            <m:begChr m:val="("/>
            <m:endChr m:val=")"/>
            <m:sepChr m:val=""/>
            <m:grow/>
          </m:dPr>
          <m:e>
            <m:sSub>
              <m:e>
                <m:r>
                  <m:t>x</m:t>
                </m:r>
              </m:e>
              <m:sub>
                <m:r>
                  <m:t>t</m:t>
                </m:r>
              </m:sub>
            </m:sSub>
          </m:e>
        </m:d>
        <m:r>
          <m:rPr>
            <m:sty m:val="p"/>
          </m:rPr>
          <m:t>=</m:t>
        </m:r>
        <m:r>
          <m:t>f</m:t>
        </m:r>
        <m:d>
          <m:dPr>
            <m:begChr m:val="("/>
            <m:endChr m:val=")"/>
            <m:sepChr m:val=""/>
            <m:grow/>
          </m:dPr>
          <m:e>
            <m:r>
              <m:t>0</m:t>
            </m:r>
          </m:e>
        </m:d>
        <m:r>
          <m:rPr>
            <m:sty m:val="p"/>
          </m:rPr>
          <m:t>+</m:t>
        </m:r>
        <m:sSub>
          <m:e>
            <m:r>
              <m:t>c</m:t>
            </m:r>
          </m:e>
          <m:sub>
            <m:r>
              <m:t>f</m:t>
            </m:r>
          </m:sub>
        </m:sSub>
        <m:d>
          <m:dPr>
            <m:begChr m:val="("/>
            <m:endChr m:val=")"/>
            <m:sepChr m:val=""/>
            <m:grow/>
          </m:dPr>
          <m:e>
            <m:sSub>
              <m:e>
                <m:r>
                  <m:t>x</m:t>
                </m:r>
              </m:e>
              <m:sub>
                <m:r>
                  <m:t>t</m:t>
                </m:r>
              </m:sub>
            </m:sSub>
          </m:e>
        </m:d>
        <m:r>
          <m:rPr>
            <m:sty m:val="p"/>
          </m:rPr>
          <m:t>=</m:t>
        </m:r>
        <m:r>
          <m:t>t</m:t>
        </m:r>
      </m:oMath>
      <w:r>
        <w:t xml:space="preserve">. This holds for</w:t>
      </w:r>
      <w:r>
        <w:t xml:space="preserve"> </w:t>
      </w:r>
      <w:r>
        <w:rPr>
          <w:bCs/>
          <w:b/>
        </w:rPr>
        <w:t xml:space="preserve">every target and every potential table</w:t>
      </w:r>
      <w:r>
        <w:t xml:space="preserve">, with no randomized oracle or hardness assumption.</w:t>
      </w:r>
      <w:r>
        <w:t xml:space="preserve"> </w:t>
      </w:r>
      <m:oMath>
        <m:r>
          <m:rPr>
            <m:sty m:val="p"/>
          </m:rPr>
          <m:t>▫</m:t>
        </m:r>
      </m:oMath>
    </w:p>
    <w:p>
      <w:pPr>
        <w:pStyle w:val="BodyText"/>
      </w:pPr>
      <w:r>
        <w:rPr>
          <w:bCs/>
          <w:b/>
        </w:rPr>
        <w:t xml:space="preserve">Corollary 4.6a (public translation equivalence of all local target fibers).</w:t>
      </w:r>
      <w:r>
        <w:t xml:space="preserve"> </w:t>
      </w:r>
      <w:r>
        <w:t xml:space="preserve">For</w:t>
      </w:r>
      <w:r>
        <w:t xml:space="preserve"> </w:t>
      </w:r>
      <w:r>
        <w:rPr>
          <w:iCs/>
          <w:i/>
        </w:rPr>
        <w:t xml:space="preserve">any</w:t>
      </w:r>
      <w:r>
        <w:t xml:space="preserve"> </w:t>
      </w:r>
      <w:r>
        <w:t xml:space="preserve">two public local targets</w:t>
      </w:r>
      <w:r>
        <w:t xml:space="preserve"> </w:t>
      </w:r>
      <m:oMath>
        <m:r>
          <m:t>b</m:t>
        </m:r>
        <m:r>
          <m:rPr>
            <m:sty m:val="p"/>
          </m:rPr>
          <m:t>,</m:t>
        </m:r>
        <m:r>
          <m:t>b</m:t>
        </m:r>
        <m:r>
          <m:rPr>
            <m:sty m:val="p"/>
          </m:rPr>
          <m:t>′</m:t>
        </m:r>
        <m:r>
          <m:rPr>
            <m:sty m:val="p"/>
          </m:rPr>
          <m:t>∈</m:t>
        </m:r>
        <m:sSubSup>
          <m:e>
            <m:r>
              <m:rPr>
                <m:sty m:val="p"/>
                <m:scr m:val="double-struck"/>
              </m:rPr>
              <m:t>F</m:t>
            </m:r>
          </m:e>
          <m:sub>
            <m:r>
              <m:t>3</m:t>
            </m:r>
          </m:sub>
          <m:sup>
            <m:r>
              <m:t>r</m:t>
            </m:r>
          </m:sup>
        </m:sSubSup>
      </m:oMath>
      <w:r>
        <w:t xml:space="preserve">, a public-only algorithm computes</w:t>
      </w:r>
      <w:r>
        <w:t xml:space="preserve"> </w:t>
      </w:r>
      <m:oMath>
        <m:r>
          <m:t>h</m:t>
        </m:r>
      </m:oMath>
      <w:r>
        <w:t xml:space="preserve"> </w:t>
      </w:r>
      <w:r>
        <w:t xml:space="preserve">such that</w:t>
      </w:r>
    </w:p>
    <w:p>
      <w:pPr>
        <w:pStyle w:val="BodyText"/>
      </w:pPr>
      <m:oMathPara>
        <m:oMathParaPr>
          <m:jc m:val="center"/>
        </m:oMathParaPr>
        <m:oMath>
          <m:sSup>
            <m:e>
              <m:r>
                <m:t>f</m:t>
              </m:r>
            </m:e>
            <m:sup>
              <m:r>
                <m:rPr>
                  <m:sty m:val="p"/>
                </m:rPr>
                <m:t>−</m:t>
              </m:r>
              <m:r>
                <m:t>1</m:t>
              </m:r>
            </m:sup>
          </m:sSup>
          <m:d>
            <m:dPr>
              <m:begChr m:val="("/>
              <m:endChr m:val=")"/>
              <m:sepChr m:val=""/>
              <m:grow/>
            </m:dPr>
            <m:e>
              <m:r>
                <m:t>b</m:t>
              </m:r>
              <m:r>
                <m:rPr>
                  <m:sty m:val="p"/>
                </m:rPr>
                <m:t>′</m:t>
              </m:r>
            </m:e>
          </m:d>
          <m:r>
            <m:rPr>
              <m:sty m:val="p"/>
            </m:rPr>
            <m:t>=</m:t>
          </m:r>
          <m:sSup>
            <m:e>
              <m:r>
                <m:t>f</m:t>
              </m:r>
            </m:e>
            <m:sup>
              <m:r>
                <m:rPr>
                  <m:sty m:val="p"/>
                </m:rPr>
                <m:t>−</m:t>
              </m:r>
              <m:r>
                <m:t>1</m:t>
              </m:r>
            </m:sup>
          </m:sSup>
          <m:d>
            <m:dPr>
              <m:begChr m:val="("/>
              <m:endChr m:val=")"/>
              <m:sepChr m:val=""/>
              <m:grow/>
            </m:dPr>
            <m:e>
              <m:r>
                <m:t>b</m:t>
              </m:r>
            </m:e>
          </m:d>
          <m:r>
            <m:rPr>
              <m:sty m:val="p"/>
            </m:rPr>
            <m:t>+</m:t>
          </m:r>
          <m:r>
            <m:t>h</m:t>
          </m:r>
          <m:r>
            <m:rPr>
              <m:sty m:val="p"/>
            </m:rPr>
            <m:t>.</m:t>
          </m:r>
        </m:oMath>
      </m:oMathPara>
    </w:p>
    <w:p>
      <w:pPr>
        <w:pStyle w:val="FirstParagraph"/>
      </w:pPr>
      <w:r>
        <w:rPr>
          <w:bCs/>
          <w:b/>
        </w:rPr>
        <w:t xml:space="preserve">Proof.</w:t>
      </w:r>
      <w:r>
        <w:t xml:space="preserve"> </w:t>
      </w:r>
      <w:r>
        <w:t xml:space="preserve">Theorem 4.6 supplies a public</w:t>
      </w:r>
      <w:r>
        <w:t xml:space="preserve"> </w:t>
      </w:r>
      <m:oMath>
        <m:r>
          <m:t>h</m:t>
        </m:r>
        <m:r>
          <m:rPr>
            <m:sty m:val="p"/>
          </m:rPr>
          <m:t>∈</m:t>
        </m:r>
        <m:r>
          <m:t>C</m:t>
        </m:r>
        <m:d>
          <m:dPr>
            <m:begChr m:val="("/>
            <m:endChr m:val=")"/>
            <m:sepChr m:val=""/>
            <m:grow/>
          </m:dPr>
          <m:e>
            <m:r>
              <m:t>f</m:t>
            </m:r>
          </m:e>
        </m:d>
      </m:oMath>
      <w:r>
        <w:t xml:space="preserve"> </w:t>
      </w:r>
      <w:r>
        <w:t xml:space="preserve">with</w:t>
      </w:r>
      <w:r>
        <w:t xml:space="preserve"> </w:t>
      </w:r>
      <m:oMath>
        <m:sSub>
          <m:e>
            <m:r>
              <m:t>c</m:t>
            </m:r>
          </m:e>
          <m:sub>
            <m:r>
              <m:t>f</m:t>
            </m:r>
          </m:sub>
        </m:sSub>
        <m:d>
          <m:dPr>
            <m:begChr m:val="("/>
            <m:endChr m:val=")"/>
            <m:sepChr m:val=""/>
            <m:grow/>
          </m:dPr>
          <m:e>
            <m:r>
              <m:t>h</m:t>
            </m:r>
          </m:e>
        </m:d>
        <m:r>
          <m:rPr>
            <m:sty m:val="p"/>
          </m:rPr>
          <m:t>=</m:t>
        </m:r>
        <m:r>
          <m:t>b</m:t>
        </m:r>
        <m:r>
          <m:rPr>
            <m:sty m:val="p"/>
          </m:rPr>
          <m:t>′</m:t>
        </m:r>
        <m:r>
          <m:rPr>
            <m:sty m:val="p"/>
          </m:rPr>
          <m:t>−</m:t>
        </m:r>
        <m:r>
          <m:t>b</m:t>
        </m:r>
      </m:oMath>
      <w:r>
        <w:t xml:space="preserve">. By the definition of</w:t>
      </w:r>
      <w:r>
        <w:t xml:space="preserve"> </w:t>
      </w:r>
      <m:oMath>
        <m:r>
          <m:t>C</m:t>
        </m:r>
        <m:d>
          <m:dPr>
            <m:begChr m:val="("/>
            <m:endChr m:val=")"/>
            <m:sepChr m:val=""/>
            <m:grow/>
          </m:dPr>
          <m:e>
            <m:r>
              <m:t>f</m:t>
            </m:r>
          </m:e>
        </m:d>
      </m:oMath>
      <w:r>
        <w:t xml:space="preser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b</m:t>
        </m:r>
        <m:r>
          <m:rPr>
            <m:sty m:val="p"/>
          </m:rPr>
          <m:t>′</m:t>
        </m:r>
        <m:r>
          <m:rPr>
            <m:sty m:val="p"/>
          </m:rPr>
          <m:t>−</m:t>
        </m:r>
        <m:r>
          <m:t>b</m:t>
        </m:r>
      </m:oMath>
      <w:r>
        <w:t xml:space="preserve"> </w:t>
      </w:r>
      <w:r>
        <w:t xml:space="preserve">for</w:t>
      </w:r>
      <w:r>
        <w:t xml:space="preserve"> </w:t>
      </w:r>
      <w:r>
        <w:rPr>
          <w:bCs/>
          <w:b/>
        </w:rPr>
        <w:t xml:space="preserve">every</w:t>
      </w:r>
      <w:r>
        <w:t xml:space="preserve"> </w:t>
      </w:r>
      <m:oMath>
        <m:r>
          <m:t>x</m:t>
        </m:r>
      </m:oMath>
      <w:r>
        <w:t xml:space="preserve">. Translation by</w:t>
      </w:r>
      <w:r>
        <w:t xml:space="preserve"> </w:t>
      </w:r>
      <m:oMath>
        <m:r>
          <m:t>h</m:t>
        </m:r>
      </m:oMath>
      <w:r>
        <w:t xml:space="preserve"> </w:t>
      </w:r>
      <w:r>
        <w:t xml:space="preserve">is invertible, so it bijectively carries all of</w:t>
      </w:r>
      <w:r>
        <w:t xml:space="preserve"> </w:t>
      </w:r>
      <m:oMath>
        <m:sSup>
          <m:e>
            <m:r>
              <m:t>f</m:t>
            </m:r>
          </m:e>
          <m:sup>
            <m:r>
              <m:rPr>
                <m:sty m:val="p"/>
              </m:rPr>
              <m:t>−</m:t>
            </m:r>
            <m:r>
              <m:t>1</m:t>
            </m:r>
          </m:sup>
        </m:sSup>
        <m:d>
          <m:dPr>
            <m:begChr m:val="("/>
            <m:endChr m:val=")"/>
            <m:sepChr m:val=""/>
            <m:grow/>
          </m:dPr>
          <m:e>
            <m:r>
              <m:t>b</m:t>
            </m:r>
          </m:e>
        </m:d>
      </m:oMath>
      <w:r>
        <w:t xml:space="preserve"> </w:t>
      </w:r>
      <w:r>
        <w:t xml:space="preserve">onto all of</w:t>
      </w:r>
      <w:r>
        <w:t xml:space="preserve"> </w:t>
      </w:r>
      <m:oMath>
        <m:sSup>
          <m:e>
            <m:r>
              <m:t>f</m:t>
            </m:r>
          </m:e>
          <m:sup>
            <m:r>
              <m:rPr>
                <m:sty m:val="p"/>
              </m:rPr>
              <m:t>−</m:t>
            </m:r>
            <m:r>
              <m:t>1</m:t>
            </m:r>
          </m:sup>
        </m:sSup>
        <m:d>
          <m:dPr>
            <m:begChr m:val="("/>
            <m:endChr m:val=")"/>
            <m:sepChr m:val=""/>
            <m:grow/>
          </m:dPr>
          <m:e>
            <m:r>
              <m:t>b</m:t>
            </m:r>
            <m:r>
              <m:rPr>
                <m:sty m:val="p"/>
              </m:rPr>
              <m:t>′</m:t>
            </m:r>
          </m:e>
        </m:d>
      </m:oMath>
      <w:r>
        <w:t xml:space="preserve">.</w:t>
      </w:r>
      <w:r>
        <w:t xml:space="preserve"> </w:t>
      </w:r>
      <m:oMath>
        <m:r>
          <m:rPr>
            <m:sty m:val="p"/>
          </m:rPr>
          <m:t>▫</m:t>
        </m:r>
      </m:oMath>
      <w:r>
        <w:t xml:space="preserve"> </w:t>
      </w:r>
      <w:r>
        <w:t xml:space="preserve">This equivalence is stronger than finding a single preimage and needs neither an original secret witness nor a probabilistic generic hardness assumption. It remains</w:t>
      </w:r>
      <w:r>
        <w:t xml:space="preserve"> </w:t>
      </w:r>
      <w:r>
        <w:rPr>
          <w:bCs/>
          <w:b/>
        </w:rPr>
        <w:t xml:space="preserve">local</w:t>
      </w:r>
      <w:r>
        <w:t xml:space="preserve">: overlapping global constraints cannot generally be translated independently.</w:t>
      </w:r>
    </w:p>
    <w:p>
      <w:pPr>
        <w:pStyle w:val="BodyText"/>
      </w:pPr>
      <w:r>
        <w:rPr>
          <w:bCs/>
          <w:b/>
        </w:rPr>
        <w:t xml:space="preserve">Meaning of the computational bound.</w:t>
      </w:r>
      <w:r>
        <w:t xml:space="preserve"> </w:t>
      </w:r>
      <w:r>
        <w:t xml:space="preserve">Exhaustively verifying one direction requires</w:t>
      </w:r>
      <w:r>
        <w:t xml:space="preserve"> </w:t>
      </w:r>
      <m:oMath>
        <m:sSup>
          <m:e>
            <m:r>
              <m:t>3</m:t>
            </m:r>
          </m:e>
          <m:sup>
            <m:r>
              <m:t>k</m:t>
            </m:r>
          </m:sup>
        </m:sSup>
      </m:oMath>
      <w:r>
        <w:t xml:space="preserve"> </w:t>
      </w:r>
      <w:r>
        <w:t xml:space="preserve">function evaluations and there are at most</w:t>
      </w:r>
      <w:r>
        <w:t xml:space="preserve"> </w:t>
      </w:r>
      <m:oMath>
        <m:sSup>
          <m:e>
            <m:r>
              <m:t>3</m:t>
            </m:r>
          </m:e>
          <m:sup>
            <m:r>
              <m:t>k</m:t>
            </m:r>
          </m:sup>
        </m:sSup>
      </m:oMath>
      <w:r>
        <w:t xml:space="preserve"> </w:t>
      </w:r>
      <w:r>
        <w:t xml:space="preserve">directions. The loose upper bound</w:t>
      </w:r>
      <w:r>
        <w:t xml:space="preserve"> </w:t>
      </w:r>
      <m:oMath>
        <m:r>
          <m:t>O</m:t>
        </m:r>
        <m:d>
          <m:dPr>
            <m:begChr m:val="("/>
            <m:endChr m:val=")"/>
            <m:sepChr m:val=""/>
            <m:grow/>
          </m:dPr>
          <m:e>
            <m:r>
              <m:t>k</m:t>
            </m:r>
            <m:r>
              <m:t>r</m:t>
            </m:r>
            <m:sSup>
              <m:e>
                <m:r>
                  <m:t>3</m:t>
                </m:r>
              </m:e>
              <m:sup>
                <m:r>
                  <m:t>2</m:t>
                </m:r>
                <m:r>
                  <m:t>k</m:t>
                </m:r>
              </m:sup>
            </m:sSup>
          </m:e>
        </m:d>
      </m:oMath>
      <w:r>
        <w:t xml:space="preserve"> </w:t>
      </w:r>
      <w:r>
        <w:t xml:space="preserve">is therefore polynomial in the size of an</w:t>
      </w:r>
      <w:r>
        <w:t xml:space="preserve"> </w:t>
      </w:r>
      <w:r>
        <w:rPr>
          <w:bCs/>
          <w:b/>
        </w:rPr>
        <w:t xml:space="preserve">explicit</w:t>
      </w:r>
      <w:r>
        <w:t xml:space="preserve"> </w:t>
      </w:r>
      <w:r>
        <w:t xml:space="preserve">truth table, which is appropriate to the original locally enumerated construction: the frozen inputs have sizes</w:t>
      </w:r>
      <w:r>
        <w:t xml:space="preserve"> </w:t>
      </w:r>
      <m:oMath>
        <m:sSup>
          <m:e>
            <m:r>
              <m:t>3</m:t>
            </m:r>
          </m:e>
          <m:sup>
            <m:r>
              <m:t>5</m:t>
            </m:r>
          </m:sup>
        </m:sSup>
        <m:r>
          <m:rPr>
            <m:sty m:val="p"/>
          </m:rPr>
          <m:t>=</m:t>
        </m:r>
        <m:r>
          <m:t>243</m:t>
        </m:r>
      </m:oMath>
      <w:r>
        <w:t xml:space="preserve">,</w:t>
      </w:r>
      <w:r>
        <w:t xml:space="preserve"> </w:t>
      </w:r>
      <m:oMath>
        <m:sSup>
          <m:e>
            <m:r>
              <m:t>3</m:t>
            </m:r>
          </m:e>
          <m:sup>
            <m:r>
              <m:t>7</m:t>
            </m:r>
          </m:sup>
        </m:sSup>
        <m:r>
          <m:rPr>
            <m:sty m:val="p"/>
          </m:rPr>
          <m:t>=</m:t>
        </m:r>
        <m:r>
          <m:t>2187</m:t>
        </m:r>
      </m:oMath>
      <w:r>
        <w:t xml:space="preserve">, and</w:t>
      </w:r>
      <w:r>
        <w:t xml:space="preserve"> </w:t>
      </w:r>
      <m:oMath>
        <m:sSup>
          <m:e>
            <m:r>
              <m:t>3</m:t>
            </m:r>
          </m:e>
          <m:sup>
            <m:r>
              <m:t>9</m:t>
            </m:r>
          </m:sup>
        </m:sSup>
        <m:r>
          <m:rPr>
            <m:sty m:val="p"/>
          </m:rPr>
          <m:t>=</m:t>
        </m:r>
        <m:r>
          <m:t>19683</m:t>
        </m:r>
      </m:oMath>
      <w:r>
        <w:t xml:space="preserve">. This does</w:t>
      </w:r>
      <w:r>
        <w:t xml:space="preserve"> </w:t>
      </w:r>
      <w:r>
        <w:rPr>
          <w:bCs/>
          <w:b/>
        </w:rPr>
        <w:t xml:space="preserve">not</w:t>
      </w:r>
      <w:r>
        <w:t xml:space="preserve"> </w:t>
      </w:r>
      <w:r>
        <w:t xml:space="preserve">imply polynomial inversion in the</w:t>
      </w:r>
      <w:r>
        <w:t xml:space="preserve"> </w:t>
      </w:r>
      <w:r>
        <w:rPr>
          <w:iCs/>
          <w:i/>
        </w:rPr>
        <w:t xml:space="preserve">succinct input dimension</w:t>
      </w:r>
      <w:r>
        <w:t xml:space="preserve"> </w:t>
      </w:r>
      <m:oMath>
        <m:r>
          <m:t>k</m:t>
        </m:r>
      </m:oMath>
      <w:r>
        <w:t xml:space="preserve"> </w:t>
      </w:r>
      <w:r>
        <w:t xml:space="preserve">for an arbitrary circuit representation when</w:t>
      </w:r>
      <w:r>
        <w:t xml:space="preserve"> </w:t>
      </w:r>
      <m:oMath>
        <m:r>
          <m:t>k</m:t>
        </m:r>
      </m:oMath>
      <w:r>
        <w:t xml:space="preserve"> </w:t>
      </w:r>
      <w:r>
        <w:t xml:space="preserve">grows. Rather, the original small public local map cannot serve as a hidden trapdoor because valid inverse images can be synthesized openly and reused for all targets after one preprocessing pass. Nor does locally solving every predicate separately necessarily solve overlapping global constraints.</w:t>
      </w:r>
    </w:p>
    <w:p>
      <w:pPr>
        <w:pStyle w:val="BodyText"/>
      </w:pPr>
      <w:r>
        <w:rPr>
          <w:bCs/>
          <w:b/>
        </w:rPr>
        <w:t xml:space="preserve">Theorem 4.7 (exact finite bound for identifying the original left shift space).</w:t>
      </w:r>
      <w:r>
        <w:t xml:space="preserve"> </w:t>
      </w:r>
      <w:r>
        <w:t xml:space="preserve">For a uniformly independently sampled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with</w:t>
      </w:r>
      <w:r>
        <w:t xml:space="preserve"> </w:t>
      </w:r>
      <m:oMath>
        <m:r>
          <m:t>d</m:t>
        </m:r>
        <m:r>
          <m:rPr>
            <m:sty m:val="p"/>
          </m:rPr>
          <m:t>≥</m:t>
        </m:r>
        <m:r>
          <m:t>2</m:t>
        </m:r>
      </m:oMath>
      <w:r>
        <w:t xml:space="preserve">, the hidden</w:t>
      </w:r>
      <w:r>
        <w:t xml:space="preserve"> </w:t>
      </w:r>
      <m:oMath>
        <m:r>
          <m:t>r</m:t>
        </m:r>
      </m:oMath>
      <w:r>
        <w:t xml:space="preserve">-dimensional</w:t>
      </w:r>
      <w:r>
        <w:t xml:space="preserve"> </w:t>
      </w:r>
      <m:oMath>
        <m:sSub>
          <m:e>
            <m:r>
              <m:t>W</m:t>
            </m:r>
          </m:e>
          <m:sub>
            <m:r>
              <m:t>0</m:t>
            </m:r>
          </m:sub>
        </m:sSub>
      </m:oMath>
      <w:r>
        <w:t xml:space="preserve"> </w:t>
      </w:r>
      <w:r>
        <w:t xml:space="preserve">is not only contained in</w:t>
      </w:r>
      <w:r>
        <w:t xml:space="preserve"> </w:t>
      </w:r>
      <m:oMath>
        <m:r>
          <m:t>C</m:t>
        </m:r>
        <m:d>
          <m:dPr>
            <m:begChr m:val="("/>
            <m:endChr m:val=")"/>
            <m:sepChr m:val=""/>
            <m:grow/>
          </m:dPr>
          <m:e>
            <m:r>
              <m:t>f</m:t>
            </m:r>
          </m:e>
        </m:d>
      </m:oMath>
      <w:r>
        <w:t xml:space="preserve">; except with the following explicitly bounded probability, it</w:t>
      </w:r>
      <w:r>
        <w:t xml:space="preserve"> </w:t>
      </w:r>
      <w:r>
        <w:rPr>
          <w:bCs/>
          <w:b/>
        </w:rPr>
        <w:t xml:space="preserve">equals</w:t>
      </w:r>
      <w:r>
        <w:t xml:space="preserve"> </w:t>
      </w:r>
      <m:oMath>
        <m:r>
          <m:t>C</m:t>
        </m:r>
        <m:d>
          <m:dPr>
            <m:begChr m:val="("/>
            <m:endChr m:val=")"/>
            <m:sepChr m:val=""/>
            <m:grow/>
          </m:dPr>
          <m:e>
            <m:r>
              <m:t>f</m:t>
            </m:r>
          </m:e>
        </m:d>
      </m:oMath>
      <w:r>
        <w:t xml:space="preserve">:</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t>C</m:t>
              </m:r>
              <m:d>
                <m:dPr>
                  <m:begChr m:val="("/>
                  <m:endChr m:val=")"/>
                  <m:sepChr m:val=""/>
                  <m:grow/>
                </m:dPr>
                <m:e>
                  <m:r>
                    <m:t>f</m:t>
                  </m:r>
                </m:e>
              </m:d>
              <m:r>
                <m:rPr>
                  <m:sty m:val="p"/>
                </m:rPr>
                <m:t>≠</m:t>
              </m:r>
              <m:sSub>
                <m:e>
                  <m:r>
                    <m:t>W</m:t>
                  </m:r>
                </m:e>
                <m:sub>
                  <m:r>
                    <m:t>0</m:t>
                  </m:r>
                </m:sub>
              </m:sSub>
            </m:e>
          </m:d>
          <m:r>
            <m:t> </m:t>
          </m:r>
          <m:r>
            <m:rPr>
              <m:sty m:val="p"/>
            </m:rPr>
            <m:t>≤</m:t>
          </m:r>
          <m:r>
            <m:t> </m:t>
          </m:r>
          <m:f>
            <m:fPr>
              <m:type m:val="bar"/>
            </m:fPr>
            <m:num>
              <m:r>
                <m:t>2</m:t>
              </m:r>
              <m:r>
                <m:rPr>
                  <m:sty m:val="p"/>
                </m:rPr>
                <m:t>⋅</m:t>
              </m:r>
              <m:sSup>
                <m:e>
                  <m:r>
                    <m:t>3</m:t>
                  </m:r>
                </m:e>
                <m:sup>
                  <m:r>
                    <m:t>r</m:t>
                  </m:r>
                </m:sup>
              </m:sSup>
            </m:num>
            <m:den>
              <m:sSup>
                <m:e>
                  <m:r>
                    <m:t>3</m:t>
                  </m:r>
                </m:e>
                <m:sup>
                  <m:r>
                    <m:t>r</m:t>
                  </m:r>
                  <m:d>
                    <m:dPr>
                      <m:begChr m:val="("/>
                      <m:endChr m:val=")"/>
                      <m:sepChr m:val=""/>
                      <m:grow/>
                    </m:dPr>
                    <m:e>
                      <m:sSup>
                        <m:e>
                          <m:r>
                            <m:t>3</m:t>
                          </m:r>
                        </m:e>
                        <m:sup>
                          <m:r>
                            <m:t>d</m:t>
                          </m:r>
                          <m:r>
                            <m:rPr>
                              <m:sty m:val="p"/>
                            </m:rPr>
                            <m:t>−</m:t>
                          </m:r>
                          <m:r>
                            <m:t>1</m:t>
                          </m:r>
                        </m:sup>
                      </m:sSup>
                      <m:r>
                        <m:rPr>
                          <m:sty m:val="p"/>
                        </m:rPr>
                        <m:t>−</m:t>
                      </m:r>
                      <m:r>
                        <m:t>1</m:t>
                      </m:r>
                    </m:e>
                  </m:d>
                </m:sup>
              </m:sSup>
            </m:den>
          </m:f>
          <m:r>
            <m:rPr>
              <m:sty m:val="p"/>
            </m:rPr>
            <m:t>+</m:t>
          </m:r>
          <m:f>
            <m:fPr>
              <m:type m:val="bar"/>
            </m:fPr>
            <m:num>
              <m:d>
                <m:dPr>
                  <m:begChr m:val="("/>
                  <m:endChr m:val=")"/>
                  <m:sepChr m:val=""/>
                  <m:grow/>
                </m:dPr>
                <m:e>
                  <m:sSup>
                    <m:e>
                      <m:r>
                        <m:t>3</m:t>
                      </m:r>
                    </m:e>
                    <m:sup>
                      <m:r>
                        <m:t>d</m:t>
                      </m:r>
                    </m:sup>
                  </m:sSup>
                  <m:r>
                    <m:rPr>
                      <m:sty m:val="p"/>
                    </m:rPr>
                    <m:t>−</m:t>
                  </m:r>
                  <m:r>
                    <m:t>3</m:t>
                  </m:r>
                </m:e>
              </m:d>
              <m:r>
                <m:t> </m:t>
              </m:r>
              <m:sSup>
                <m:e>
                  <m:r>
                    <m:t>3</m:t>
                  </m:r>
                </m:e>
                <m:sup>
                  <m:r>
                    <m:t>r</m:t>
                  </m:r>
                </m:sup>
              </m:sSup>
            </m:num>
            <m:den>
              <m:sSup>
                <m:e>
                  <m:r>
                    <m:t>3</m:t>
                  </m:r>
                </m:e>
                <m:sup>
                  <m:r>
                    <m:t>r</m:t>
                  </m:r>
                  <m:d>
                    <m:dPr>
                      <m:begChr m:val="("/>
                      <m:endChr m:val=")"/>
                      <m:sepChr m:val=""/>
                      <m:grow/>
                    </m:dPr>
                    <m:e>
                      <m:r>
                        <m:t>4</m:t>
                      </m:r>
                      <m:r>
                        <m:rPr>
                          <m:sty m:val="p"/>
                        </m:rPr>
                        <m:t>⋅</m:t>
                      </m:r>
                      <m:sSup>
                        <m:e>
                          <m:r>
                            <m:t>3</m:t>
                          </m:r>
                        </m:e>
                        <m:sup>
                          <m:r>
                            <m:t>d</m:t>
                          </m:r>
                          <m:r>
                            <m:rPr>
                              <m:sty m:val="p"/>
                            </m:rPr>
                            <m:t>−</m:t>
                          </m:r>
                          <m:r>
                            <m:t>2</m:t>
                          </m:r>
                        </m:sup>
                      </m:sSup>
                      <m:r>
                        <m:rPr>
                          <m:sty m:val="p"/>
                        </m:rPr>
                        <m:t>−</m:t>
                      </m:r>
                      <m:r>
                        <m:t>1</m:t>
                      </m:r>
                    </m:e>
                  </m:d>
                </m:sup>
              </m:sSup>
            </m:den>
          </m:f>
          <m:r>
            <m:rPr>
              <m:sty m:val="p"/>
            </m:rPr>
            <m:t>.</m:t>
          </m:r>
        </m:oMath>
      </m:oMathPara>
    </w:p>
    <w:p>
      <w:pPr>
        <w:pStyle w:val="FirstParagraph"/>
      </w:pPr>
      <w:r>
        <w:rPr>
          <w:bCs/>
          <w:b/>
        </w:rPr>
        <w:t xml:space="preserve">Proof.</w:t>
      </w:r>
      <w:r>
        <w:t xml:space="preserve"> </w:t>
      </w:r>
      <w:r>
        <w:t xml:space="preserve">For any</w:t>
      </w:r>
      <w:r>
        <w:t xml:space="preserve"> </w:t>
      </w:r>
      <m:oMath>
        <m:r>
          <m:t>h</m:t>
        </m:r>
      </m:oMath>
      <w:r>
        <w:t xml:space="preserve"> </w:t>
      </w:r>
      <w:r>
        <w:t xml:space="preserve">with</w:t>
      </w:r>
      <w:r>
        <w:t xml:space="preserve"> </w:t>
      </w:r>
      <m:oMath>
        <m:r>
          <m:t>B</m:t>
        </m:r>
        <m:r>
          <m:t>h</m:t>
        </m:r>
        <m:r>
          <m:rPr>
            <m:sty m:val="p"/>
          </m:rPr>
          <m:t>=</m:t>
        </m:r>
        <m:d>
          <m:dPr>
            <m:begChr m:val="("/>
            <m:endChr m:val=")"/>
            <m:sepChr m:val=""/>
            <m:grow/>
          </m:dPr>
          <m:e>
            <m:r>
              <m:t>v</m:t>
            </m:r>
            <m:r>
              <m:rPr>
                <m:sty m:val="p"/>
              </m:rPr>
              <m:t>,</m:t>
            </m:r>
            <m:r>
              <m:t>b</m:t>
            </m:r>
          </m:e>
        </m:d>
      </m:oMath>
      <w:r>
        <w:t xml:space="preserve">, the first difference is constant in</w:t>
      </w:r>
      <w:r>
        <w:t xml:space="preserve"> </w:t>
      </w:r>
      <m:oMath>
        <m:r>
          <m:t>x</m:t>
        </m:r>
      </m:oMath>
      <w:r>
        <w:t xml:space="preserve"> </w:t>
      </w:r>
      <w:r>
        <w:t xml:space="preserve">if and only if the right-block mixed operator</w:t>
      </w:r>
    </w:p>
    <w:p>
      <w:pPr>
        <w:pStyle w:val="BodyText"/>
      </w:pPr>
      <m:oMathPara>
        <m:oMathParaPr>
          <m:jc m:val="center"/>
        </m:oMathParaPr>
        <m:oMath>
          <m:d>
            <m:dPr>
              <m:begChr m:val="("/>
              <m:endChr m:val=")"/>
              <m:sepChr m:val=""/>
              <m:grow/>
            </m:dPr>
            <m:e>
              <m:sSub>
                <m:e>
                  <m:r>
                    <m:rPr>
                      <m:sty m:val="p"/>
                      <m:scr m:val="sans-serif"/>
                    </m:rPr>
                    <m:t>T</m:t>
                  </m:r>
                </m:e>
                <m:sub>
                  <m:r>
                    <m:t>b</m:t>
                  </m:r>
                </m:sub>
              </m:sSub>
              <m:r>
                <m:rPr>
                  <m:sty m:val="p"/>
                </m:rPr>
                <m:t>−</m:t>
              </m:r>
              <m:r>
                <m:t>I</m:t>
              </m:r>
            </m:e>
          </m:d>
          <m:d>
            <m:dPr>
              <m:begChr m:val="("/>
              <m:endChr m:val=")"/>
              <m:sepChr m:val=""/>
              <m:grow/>
            </m:dPr>
            <m:e>
              <m:sSub>
                <m:e>
                  <m:r>
                    <m:rPr>
                      <m:sty m:val="p"/>
                      <m:scr m:val="sans-serif"/>
                    </m:rPr>
                    <m:t>T</m:t>
                  </m:r>
                </m:e>
                <m:sub>
                  <m:r>
                    <m:t>a</m:t>
                  </m:r>
                </m:sub>
              </m:sSub>
              <m:r>
                <m:rPr>
                  <m:sty m:val="p"/>
                </m:rPr>
                <m:t>−</m:t>
              </m:r>
              <m:r>
                <m:t>I</m:t>
              </m:r>
            </m:e>
          </m:d>
          <m:sSub>
            <m:e>
              <m:r>
                <m:t>Q</m:t>
              </m:r>
            </m:e>
            <m:sub>
              <m:r>
                <m:t>0</m:t>
              </m:r>
            </m:sub>
          </m:sSub>
        </m:oMath>
      </m:oMathPara>
    </w:p>
    <w:p>
      <w:pPr>
        <w:pStyle w:val="FirstParagraph"/>
      </w:pPr>
      <w:r>
        <w:t xml:space="preserve">is a constant vector-valued function. If</w:t>
      </w:r>
      <w:r>
        <w:t xml:space="preserve"> </w:t>
      </w:r>
      <m:oMath>
        <m:r>
          <m:t>b</m:t>
        </m:r>
        <m:r>
          <m:rPr>
            <m:sty m:val="p"/>
          </m:rPr>
          <m:t>∈</m:t>
        </m:r>
        <m:r>
          <m:rPr>
            <m:sty m:val="p"/>
          </m:rPr>
          <m:t>⟨</m:t>
        </m:r>
        <m:r>
          <m:t>a</m:t>
        </m:r>
        <m:r>
          <m:rPr>
            <m:sty m:val="p"/>
          </m:rPr>
          <m:t>⟩</m:t>
        </m:r>
      </m:oMath>
      <w:r>
        <w:t xml:space="preserve"> </w:t>
      </w:r>
      <w:r>
        <w:t xml:space="preserve">but</w:t>
      </w:r>
      <w:r>
        <w:t xml:space="preserve"> </w:t>
      </w:r>
      <m:oMath>
        <m:r>
          <m:t>b</m:t>
        </m:r>
        <m:r>
          <m:rPr>
            <m:sty m:val="p"/>
          </m:rPr>
          <m:t>≠</m:t>
        </m:r>
        <m:r>
          <m:t>0</m:t>
        </m:r>
      </m:oMath>
      <w:r>
        <w:t xml:space="preserve">, the scalar operator has exact rank</w:t>
      </w:r>
      <w:r>
        <w:t xml:space="preserve"> </w:t>
      </w:r>
      <m:oMath>
        <m:sSup>
          <m:e>
            <m:r>
              <m:t>3</m:t>
            </m:r>
          </m:e>
          <m:sup>
            <m:r>
              <m:t>d</m:t>
            </m:r>
            <m:r>
              <m:rPr>
                <m:sty m:val="p"/>
              </m:rPr>
              <m:t>−</m:t>
            </m:r>
            <m:r>
              <m:t>1</m:t>
            </m:r>
          </m:sup>
        </m:sSup>
      </m:oMath>
      <w:r>
        <w:t xml:space="preserve">, because</w:t>
      </w:r>
      <w:r>
        <w:t xml:space="preserve"> </w:t>
      </w:r>
      <m:oMath>
        <m:sSup>
          <m:e>
            <m:d>
              <m:dPr>
                <m:begChr m:val="("/>
                <m:endChr m:val=")"/>
                <m:sepChr m:val=""/>
                <m:grow/>
              </m:dPr>
              <m:e>
                <m:sSub>
                  <m:e>
                    <m:r>
                      <m:rPr>
                        <m:sty m:val="p"/>
                        <m:scr m:val="sans-serif"/>
                      </m:rPr>
                      <m:t>T</m:t>
                    </m:r>
                  </m:e>
                  <m:sub>
                    <m:r>
                      <m:t>a</m:t>
                    </m:r>
                  </m:sub>
                </m:sSub>
                <m:r>
                  <m:rPr>
                    <m:sty m:val="p"/>
                  </m:rPr>
                  <m:t>−</m:t>
                </m:r>
                <m:r>
                  <m:t>I</m:t>
                </m:r>
              </m:e>
            </m:d>
          </m:e>
          <m:sup>
            <m:r>
              <m:t>2</m:t>
            </m:r>
          </m:sup>
        </m:sSup>
      </m:oMath>
      <w:r>
        <w:t xml:space="preserve"> </w:t>
      </w:r>
      <w:r>
        <w:t xml:space="preserve">has rank one on each affine three-point</w:t>
      </w:r>
      <w:r>
        <w:t xml:space="preserve"> </w:t>
      </w:r>
      <m:oMath>
        <m:r>
          <m:t>a</m:t>
        </m:r>
      </m:oMath>
      <w:r>
        <w:t xml:space="preserve">-orbit. If</w:t>
      </w:r>
      <w:r>
        <w:t xml:space="preserve"> </w:t>
      </w:r>
      <m:oMath>
        <m:r>
          <m:t>b</m:t>
        </m:r>
      </m:oMath>
      <w:r>
        <w:t xml:space="preserve"> </w:t>
      </w:r>
      <w:r>
        <w:t xml:space="preserve">is independent of</w:t>
      </w:r>
      <w:r>
        <w:t xml:space="preserve"> </w:t>
      </w:r>
      <m:oMath>
        <m:r>
          <m:t>a</m:t>
        </m:r>
      </m:oMath>
      <w:r>
        <w:t xml:space="preserve">, the scalar mixed operator has rank</w:t>
      </w:r>
      <w:r>
        <w:t xml:space="preserve"> </w:t>
      </w:r>
      <m:oMath>
        <m:r>
          <m:t>4</m:t>
        </m:r>
        <m:r>
          <m:rPr>
            <m:sty m:val="p"/>
          </m:rPr>
          <m:t>⋅</m:t>
        </m:r>
        <m:sSup>
          <m:e>
            <m:r>
              <m:t>3</m:t>
            </m:r>
          </m:e>
          <m:sup>
            <m:r>
              <m:t>d</m:t>
            </m:r>
            <m:r>
              <m:rPr>
                <m:sty m:val="p"/>
              </m:rPr>
              <m:t>−</m:t>
            </m:r>
            <m:r>
              <m:t>2</m:t>
            </m:r>
          </m:sup>
        </m:sSup>
      </m:oMath>
      <w:r>
        <w:t xml:space="preserve">, the product of two independent one-coordinate difference ranks</w:t>
      </w:r>
      <w:r>
        <w:t xml:space="preserve"> </w:t>
      </w:r>
      <m:oMath>
        <m:r>
          <m:t>2</m:t>
        </m:r>
        <m:r>
          <m:rPr>
            <m:sty m:val="p"/>
          </m:rPr>
          <m:t>⋅</m:t>
        </m:r>
        <m:r>
          <m:t>2</m:t>
        </m:r>
      </m:oMath>
      <w:r>
        <w:t xml:space="preserve"> </w:t>
      </w:r>
      <w:r>
        <w:t xml:space="preserve">and the identity on the other coordinates. In</w:t>
      </w:r>
      <w:r>
        <w:t xml:space="preserve"> </w:t>
      </w:r>
      <w:r>
        <w:rPr>
          <w:bCs/>
          <w:b/>
        </w:rPr>
        <w:t xml:space="preserve">both</w:t>
      </w:r>
      <w:r>
        <w:t xml:space="preserve"> </w:t>
      </w:r>
      <w:r>
        <w:t xml:space="preserve">cases the global constant-one function lies in the image (in characteristic three, the constant vector on a three-point orbit is in the image of a first difference). For a uniform scalar input table, the probability that an operator of rank</w:t>
      </w:r>
      <w:r>
        <w:t xml:space="preserve"> </w:t>
      </w:r>
      <m:oMath>
        <m:r>
          <m:t>R</m:t>
        </m:r>
      </m:oMath>
      <w:r>
        <w:t xml:space="preserve"> </w:t>
      </w:r>
      <w:r>
        <w:t xml:space="preserve">has a</w:t>
      </w:r>
      <w:r>
        <w:t xml:space="preserve"> </w:t>
      </w:r>
      <w:r>
        <w:rPr>
          <w:bCs/>
          <w:b/>
        </w:rPr>
        <w:t xml:space="preserve">constant</w:t>
      </w:r>
      <w:r>
        <w:t xml:space="preserve"> </w:t>
      </w:r>
      <w:r>
        <w:t xml:space="preserve">output is therefore exactly</w:t>
      </w:r>
      <w:r>
        <w:t xml:space="preserve"> </w:t>
      </w:r>
      <m:oMath>
        <m:sSup>
          <m:e>
            <m:r>
              <m:t>3</m:t>
            </m:r>
          </m:e>
          <m:sup>
            <m:r>
              <m:rPr>
                <m:sty m:val="p"/>
              </m:rPr>
              <m:t>−</m:t>
            </m:r>
            <m:d>
              <m:dPr>
                <m:begChr m:val="("/>
                <m:endChr m:val=")"/>
                <m:sepChr m:val=""/>
                <m:grow/>
              </m:dPr>
              <m:e>
                <m:r>
                  <m:t>R</m:t>
                </m:r>
                <m:r>
                  <m:rPr>
                    <m:sty m:val="p"/>
                  </m:rPr>
                  <m:t>−</m:t>
                </m:r>
                <m:r>
                  <m:t>1</m:t>
                </m:r>
              </m:e>
            </m:d>
          </m:sup>
        </m:sSup>
      </m:oMath>
      <w:r>
        <w:t xml:space="preserve">; with</w:t>
      </w:r>
      <w:r>
        <w:t xml:space="preserve"> </w:t>
      </w:r>
      <m:oMath>
        <m:r>
          <m:t>r</m:t>
        </m:r>
      </m:oMath>
      <w:r>
        <w:t xml:space="preserve"> </w:t>
      </w:r>
      <w:r>
        <w:t xml:space="preserve">independent output coordinates it is</w:t>
      </w:r>
      <w:r>
        <w:t xml:space="preserve"> </w:t>
      </w:r>
      <m:oMath>
        <m:sSup>
          <m:e>
            <m:r>
              <m:t>3</m:t>
            </m:r>
          </m:e>
          <m:sup>
            <m:r>
              <m:rPr>
                <m:sty m:val="p"/>
              </m:rPr>
              <m:t>−</m:t>
            </m:r>
            <m:r>
              <m:t>r</m:t>
            </m:r>
            <m:d>
              <m:dPr>
                <m:begChr m:val="("/>
                <m:endChr m:val=")"/>
                <m:sepChr m:val=""/>
                <m:grow/>
              </m:dPr>
              <m:e>
                <m:r>
                  <m:t>R</m:t>
                </m:r>
                <m:r>
                  <m:rPr>
                    <m:sty m:val="p"/>
                  </m:rPr>
                  <m:t>−</m:t>
                </m:r>
                <m:r>
                  <m:t>1</m:t>
                </m:r>
              </m:e>
            </m:d>
          </m:sup>
        </m:sSup>
      </m:oMath>
      <w:r>
        <w:t xml:space="preserve">. There are</w:t>
      </w:r>
      <w:r>
        <w:t xml:space="preserve"> </w:t>
      </w:r>
      <m:oMath>
        <m:r>
          <m:t>2</m:t>
        </m:r>
        <m:r>
          <m:rPr>
            <m:sty m:val="p"/>
          </m:rPr>
          <m:t>⋅</m:t>
        </m:r>
        <m:sSup>
          <m:e>
            <m:r>
              <m:t>3</m:t>
            </m:r>
          </m:e>
          <m:sup>
            <m:r>
              <m:t>r</m:t>
            </m:r>
          </m:sup>
        </m:sSup>
      </m:oMath>
      <w:r>
        <w:t xml:space="preserve"> </w:t>
      </w:r>
      <w:r>
        <w:t xml:space="preserve">directions with</w:t>
      </w:r>
      <w:r>
        <w:t xml:space="preserve"> </w:t>
      </w:r>
      <m:oMath>
        <m:r>
          <m:t>b</m:t>
        </m:r>
        <m:r>
          <m:rPr>
            <m:sty m:val="p"/>
          </m:rPr>
          <m:t>∈</m:t>
        </m:r>
        <m:r>
          <m:rPr>
            <m:sty m:val="p"/>
          </m:rPr>
          <m:t>{</m:t>
        </m:r>
        <m:r>
          <m:t>a</m:t>
        </m:r>
        <m:r>
          <m:rPr>
            <m:sty m:val="p"/>
          </m:rPr>
          <m:t>,</m:t>
        </m:r>
        <m:r>
          <m:rPr>
            <m:sty m:val="p"/>
          </m:rPr>
          <m:t>−</m:t>
        </m:r>
        <m:r>
          <m:t>a</m:t>
        </m:r>
        <m:r>
          <m:rPr>
            <m:sty m:val="p"/>
          </m:rPr>
          <m:t>}</m:t>
        </m:r>
      </m:oMath>
      <w:r>
        <w:t xml:space="preserve"> </w:t>
      </w:r>
      <w:r>
        <w:t xml:space="preserve">and</w:t>
      </w:r>
      <w:r>
        <w:t xml:space="preserve"> </w:t>
      </w:r>
      <m:oMath>
        <m:d>
          <m:dPr>
            <m:begChr m:val="("/>
            <m:endChr m:val=")"/>
            <m:sepChr m:val=""/>
            <m:grow/>
          </m:dPr>
          <m:e>
            <m:sSup>
              <m:e>
                <m:r>
                  <m:t>3</m:t>
                </m:r>
              </m:e>
              <m:sup>
                <m:r>
                  <m:t>d</m:t>
                </m:r>
              </m:sup>
            </m:sSup>
            <m:r>
              <m:rPr>
                <m:sty m:val="p"/>
              </m:rPr>
              <m:t>−</m:t>
            </m:r>
            <m:r>
              <m:t>3</m:t>
            </m:r>
          </m:e>
        </m:d>
        <m:sSup>
          <m:e>
            <m:r>
              <m:t>3</m:t>
            </m:r>
          </m:e>
          <m:sup>
            <m:r>
              <m:t>r</m:t>
            </m:r>
          </m:sup>
        </m:sSup>
      </m:oMath>
      <w:r>
        <w:t xml:space="preserve"> </w:t>
      </w:r>
      <w:r>
        <w:t xml:space="preserve">with</w:t>
      </w:r>
      <w:r>
        <w:t xml:space="preserve"> </w:t>
      </w:r>
      <m:oMath>
        <m:r>
          <m:t>b</m:t>
        </m:r>
      </m:oMath>
      <w:r>
        <w:t xml:space="preserve"> </w:t>
      </w:r>
      <w:r>
        <w:t xml:space="preserve">independent of</w:t>
      </w:r>
      <w:r>
        <w:t xml:space="preserve"> </w:t>
      </w:r>
      <m:oMath>
        <m:r>
          <m:t>a</m:t>
        </m:r>
      </m:oMath>
      <w:r>
        <w:t xml:space="preserve">. Summing these exact individual probabilities by the union bound proves the display. No independence between candidate directions is assumed.</w:t>
      </w:r>
      <w:r>
        <w:t xml:space="preserve"> </w:t>
      </w:r>
      <m:oMath>
        <m:r>
          <m:rPr>
            <m:sty m:val="p"/>
          </m:rPr>
          <m:t>▫</m:t>
        </m:r>
      </m:oMath>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geometry</w:t>
            </w:r>
          </w:p>
        </w:tc>
        <w:tc>
          <w:tcPr/>
          <w:p>
            <w:pPr>
              <w:pStyle w:val="Compact"/>
              <w:jc w:val="right"/>
            </w:pPr>
            <w:r>
              <w:t xml:space="preserve">Public local target count</w:t>
            </w:r>
          </w:p>
        </w:tc>
        <w:tc>
          <w:tcPr/>
          <w:p>
            <w:pPr>
              <w:pStyle w:val="Compact"/>
              <w:jc w:val="left"/>
            </w:pPr>
            <w:r>
              <w:t xml:space="preserve">Unconditional local inversion</w:t>
            </w:r>
          </w:p>
        </w:tc>
        <w:tc>
          <w:tcPr/>
          <w:p>
            <w:pPr>
              <w:pStyle w:val="Compact"/>
              <w:jc w:val="right"/>
            </w:pPr>
            <w:r>
              <w:t xml:space="preserve">Bound on falsely enlarged</w:t>
            </w:r>
            <w:r>
              <w:t xml:space="preserve"> </w:t>
            </w:r>
            <m:oMath>
              <m:r>
                <m:t>C</m:t>
              </m:r>
              <m:d>
                <m:dPr>
                  <m:begChr m:val="("/>
                  <m:endChr m:val=")"/>
                  <m:sepChr m:val=""/>
                  <m:grow/>
                </m:dPr>
                <m:e>
                  <m:r>
                    <m:t>f</m:t>
                  </m:r>
                </m:e>
              </m:d>
            </m:oMath>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left"/>
            </w:pPr>
            <w:r>
              <w:t xml:space="preserve">Every target</w:t>
            </w:r>
          </w:p>
        </w:tc>
        <w:tc>
          <w:tcPr/>
          <w:p>
            <w:pPr>
              <w:pStyle w:val="Compact"/>
              <w:jc w:val="right"/>
            </w:pPr>
            <m:oMath>
              <m:r>
                <m:t>4.25034</m:t>
              </m:r>
              <m:r>
                <m:rPr>
                  <m:sty m:val="p"/>
                </m:rPr>
                <m:t>⋅</m:t>
              </m:r>
              <m:sSup>
                <m:e>
                  <m:r>
                    <m:t>10</m:t>
                  </m:r>
                </m:e>
                <m:sup>
                  <m:r>
                    <m:rPr>
                      <m:sty m:val="p"/>
                    </m:rPr>
                    <m:t>−</m:t>
                  </m:r>
                  <m:r>
                    <m:t>7</m:t>
                  </m:r>
                </m:sup>
              </m:sSup>
            </m:oMath>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left"/>
            </w:pPr>
            <w:r>
              <w:t xml:space="preserve">Every target</w:t>
            </w:r>
          </w:p>
        </w:tc>
        <w:tc>
          <w:tcPr/>
          <w:p>
            <w:pPr>
              <w:pStyle w:val="Compact"/>
              <w:jc w:val="right"/>
            </w:pPr>
            <m:oMath>
              <m:r>
                <m:t>3.28803</m:t>
              </m:r>
              <m:r>
                <m:rPr>
                  <m:sty m:val="p"/>
                </m:rPr>
                <m:t>⋅</m:t>
              </m:r>
              <m:sSup>
                <m:e>
                  <m:r>
                    <m:t>10</m:t>
                  </m:r>
                </m:e>
                <m:sup>
                  <m:r>
                    <m:rPr>
                      <m:sty m:val="p"/>
                    </m:rPr>
                    <m:t>−</m:t>
                  </m:r>
                  <m:r>
                    <m:t>36</m:t>
                  </m:r>
                </m:sup>
              </m:sSup>
            </m:oMath>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left"/>
            </w:pPr>
            <w:r>
              <w:t xml:space="preserve">Every target</w:t>
            </w:r>
          </w:p>
        </w:tc>
        <w:tc>
          <w:tcPr/>
          <w:p>
            <w:pPr>
              <w:pStyle w:val="Compact"/>
              <w:jc w:val="right"/>
            </w:pPr>
            <m:oMath>
              <m:r>
                <m:t>3.39402</m:t>
              </m:r>
              <m:r>
                <m:rPr>
                  <m:sty m:val="p"/>
                </m:rPr>
                <m:t>⋅</m:t>
              </m:r>
              <m:sSup>
                <m:e>
                  <m:r>
                    <m:t>10</m:t>
                  </m:r>
                </m:e>
                <m:sup>
                  <m:r>
                    <m:rPr>
                      <m:sty m:val="p"/>
                    </m:rPr>
                    <m:t>−</m:t>
                  </m:r>
                  <m:r>
                    <m:t>151</m:t>
                  </m:r>
                </m:sup>
              </m:sSup>
            </m:oMath>
          </w:p>
        </w:tc>
      </w:tr>
    </w:tbl>
    <w:p>
      <w:pPr>
        <w:pStyle w:val="BodyText"/>
      </w:pPr>
      <w:r>
        <w:rPr>
          <w:bCs/>
          <w:b/>
        </w:rPr>
        <w:t xml:space="preserve">Important ordering of claims.</w:t>
      </w:r>
      <w:r>
        <w:t xml:space="preserve"> </w:t>
      </w:r>
      <w:r>
        <w:t xml:space="preserve">The middle column’s</w:t>
      </w:r>
      <w:r>
        <w:t xml:space="preserve"> </w:t>
      </w:r>
      <w:r>
        <w:rPr>
          <w:bCs/>
          <w:b/>
        </w:rPr>
        <w:t xml:space="preserve">100% exact right-inversion success</w:t>
      </w:r>
      <w:r>
        <w:t xml:space="preserve"> </w:t>
      </w:r>
      <w:r>
        <w:t xml:space="preserve">needs no source randomness, does</w:t>
      </w:r>
      <w:r>
        <w:t xml:space="preserve"> </w:t>
      </w:r>
      <w:r>
        <w:rPr>
          <w:bCs/>
          <w:b/>
        </w:rPr>
        <w:t xml:space="preserve">not</w:t>
      </w:r>
      <w:r>
        <w:t xml:space="preserve"> </w:t>
      </w:r>
      <w:r>
        <w:t xml:space="preserve">depend on recovering precisely</w:t>
      </w:r>
      <w:r>
        <w:t xml:space="preserve"> </w:t>
      </w:r>
      <m:oMath>
        <m:sSub>
          <m:e>
            <m:r>
              <m:t>W</m:t>
            </m:r>
          </m:e>
          <m:sub>
            <m:r>
              <m:t>0</m:t>
            </m:r>
          </m:sub>
        </m:sSub>
      </m:oMath>
      <w:r>
        <w:t xml:space="preserve">, and still holds if the exceptional case</w:t>
      </w:r>
      <w:r>
        <w:t xml:space="preserve"> </w:t>
      </w:r>
      <m:oMath>
        <m:r>
          <m:t>C</m:t>
        </m:r>
        <m:d>
          <m:dPr>
            <m:begChr m:val="("/>
            <m:endChr m:val=")"/>
            <m:sepChr m:val=""/>
            <m:grow/>
          </m:dPr>
          <m:e>
            <m:r>
              <m:t>f</m:t>
            </m:r>
          </m:e>
        </m:d>
        <m:r>
          <m:rPr>
            <m:sty m:val="p"/>
          </m:rPr>
          <m:t>⊋</m:t>
        </m:r>
        <m:sSub>
          <m:e>
            <m:r>
              <m:t>W</m:t>
            </m:r>
          </m:e>
          <m:sub>
            <m:r>
              <m:t>0</m:t>
            </m:r>
          </m:sub>
        </m:sSub>
      </m:oMath>
      <w:r>
        <w:t xml:space="preserve"> </w:t>
      </w:r>
      <w:r>
        <w:t xml:space="preserve">occurs. The last column is only a probability bound on</w:t>
      </w:r>
      <w:r>
        <w:t xml:space="preserve"> </w:t>
      </w:r>
      <w:r>
        <w:rPr>
          <w:iCs/>
          <w:i/>
        </w:rPr>
        <w:t xml:space="preserve">identifying the original coordinate shift subspace uniquely</w:t>
      </w:r>
      <w:r>
        <w:t xml:space="preserve">, not a KEM advantage or a hardness level. The code in research-2028/attacks/public_first_difference_local_inversion.py validates exact public inversion of all</w:t>
      </w:r>
      <w:r>
        <w:t xml:space="preserve"> </w:t>
      </w:r>
      <m:oMath>
        <m:r>
          <m:t>9</m:t>
        </m:r>
      </m:oMath>
      <w:r>
        <w:t xml:space="preserve">,</w:t>
      </w:r>
      <w:r>
        <w:t xml:space="preserve"> </w:t>
      </w:r>
      <m:oMath>
        <m:r>
          <m:t>27</m:t>
        </m:r>
      </m:oMath>
      <w:r>
        <w:t xml:space="preserve">, and</w:t>
      </w:r>
      <w:r>
        <w:t xml:space="preserve"> </w:t>
      </w:r>
      <m:oMath>
        <m:r>
          <m:t>81</m:t>
        </m:r>
      </m:oMath>
      <w:r>
        <w:t xml:space="preserve"> </w:t>
      </w:r>
      <w:r>
        <w:t xml:space="preserve">target values at the source geometries, public additivity of constant directions, exact GF(3) operator ranks, and an exhaustive census of all</w:t>
      </w:r>
      <w:r>
        <w:t xml:space="preserve"> </w:t>
      </w:r>
      <m:oMath>
        <m:r>
          <m:t>19</m:t>
        </m:r>
        <m:r>
          <m:rPr>
            <m:sty m:val="p"/>
          </m:rPr>
          <m:t>,</m:t>
        </m:r>
        <m:r>
          <m:t>683</m:t>
        </m:r>
      </m:oMath>
      <w:r>
        <w:t xml:space="preserve"> </w:t>
      </w:r>
      <w:r>
        <w:t xml:space="preserve">potential tables in the smallest scalar case. No secret</w:t>
      </w:r>
      <w:r>
        <w:t xml:space="preserve"> </w:t>
      </w:r>
      <m:oMath>
        <m:r>
          <m:t>A</m:t>
        </m:r>
        <m:r>
          <m:rPr>
            <m:sty m:val="p"/>
          </m:rPr>
          <m:t>,</m:t>
        </m:r>
        <m:r>
          <m:t>B</m:t>
        </m:r>
        <m:r>
          <m:rPr>
            <m:sty m:val="p"/>
          </m:rPr>
          <m:t>,</m:t>
        </m:r>
        <m:r>
          <m:t>a</m:t>
        </m:r>
        <m:r>
          <m:rPr>
            <m:sty m:val="p"/>
          </m:rPr>
          <m:t>,</m:t>
        </m:r>
        <m:sSub>
          <m:e>
            <m:r>
              <m:t>Q</m:t>
            </m:r>
          </m:e>
          <m:sub>
            <m:r>
              <m:t>0</m:t>
            </m:r>
          </m:sub>
        </m:sSub>
      </m:oMath>
      <w:r>
        <w:t xml:space="preserve"> </w:t>
      </w:r>
      <w:r>
        <w:t xml:space="preserve">is supplied to its attacker.</w:t>
      </w:r>
    </w:p>
    <w:p>
      <w:pPr>
        <w:pStyle w:val="BodyText"/>
      </w:pPr>
      <w:r>
        <w:rPr>
          <w:bCs/>
          <w:b/>
        </w:rPr>
        <w:t xml:space="preserve">Repair decision, not a fictional security claim.</w:t>
      </w:r>
      <w:r>
        <w:t xml:space="preserve"> </w:t>
      </w:r>
      <w:r>
        <w:t xml:space="preserve">The original Round-6 coordinate-secret problem is</w:t>
      </w:r>
      <w:r>
        <w:t xml:space="preserve"> </w:t>
      </w:r>
      <w:r>
        <w:rPr>
          <w:bCs/>
          <w:b/>
        </w:rPr>
        <w:t xml:space="preserve">not fixed by more random masking</w:t>
      </w:r>
      <w:r>
        <w:t xml:space="preserve">, since Theorem 4.6 constructs a public right inverse for every potential table. The intellectually honest corrective action is to</w:t>
      </w:r>
      <w:r>
        <w:t xml:space="preserve"> </w:t>
      </w:r>
      <w:r>
        <w:rPr>
          <w:bCs/>
          <w:b/>
        </w:rPr>
        <w:t xml:space="preserve">reject this local MaxEnt inversion as the security-bearing NCSG trapdoor</w:t>
      </w:r>
      <w:r>
        <w:t xml:space="preserve">. It can remain a proved combinatorial/public-indexing ingredient, but a distinct publicly encryptable, secretly invertible</w:t>
      </w:r>
      <w:r>
        <w:t xml:space="preserve"> </w:t>
      </w:r>
      <w:r>
        <w:rPr>
          <w:bCs/>
          <w:b/>
        </w:rPr>
        <w:t xml:space="preserve">global coupling</w:t>
      </w:r>
      <w:r>
        <w:t xml:space="preserve"> </w:t>
      </w:r>
      <w:r>
        <w:t xml:space="preserve">and a sound average-case assumption would need to be designed and independently attacked before promoting a genuinely new NCSG-only KEM. The manuscript contains no such validated replacement today. In particular, the original dense GF(1024) label layer remains historically obsolete, with its separate asymptotic KEM break recorded in Theorem 9.2; it is not silently being reused as protection.</w:t>
      </w:r>
    </w:p>
    <w:bookmarkEnd w:id="30"/>
    <w:bookmarkEnd w:id="31"/>
    <w:bookmarkStart w:id="33"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2"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2"/>
    <w:bookmarkEnd w:id="33"/>
    <w:bookmarkStart w:id="34"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4"/>
    <w:bookmarkStart w:id="35"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5"/>
    <w:bookmarkStart w:id="37"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6"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6"/>
    <w:bookmarkEnd w:id="37"/>
    <w:bookmarkStart w:id="40"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8"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8"/>
    <w:bookmarkStart w:id="39"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39"/>
    <w:bookmarkEnd w:id="40"/>
    <w:bookmarkStart w:id="41"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41"/>
    <w:bookmarkStart w:id="42"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2"/>
    <w:bookmarkStart w:id="54" w:name="Xe648b1b6ee4ad46cdea84b3f4a56d864d2eab7b"/>
    <w:p>
      <w:pPr>
        <w:pStyle w:val="Heading1"/>
      </w:pPr>
      <w:r>
        <w:t xml:space="preserve">12. Further structural cryptanalysis toward NCSG-only security</w:t>
      </w:r>
    </w:p>
    <w:bookmarkStart w:id="43"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3"/>
    <w:bookmarkStart w:id="44"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4"/>
    <w:bookmarkStart w:id="45"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5"/>
    <w:bookmarkStart w:id="46"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6"/>
    <w:bookmarkStart w:id="47"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7"/>
    <w:bookmarkStart w:id="48"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8"/>
    <w:bookmarkStart w:id="49"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9"/>
    <w:bookmarkStart w:id="50"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50"/>
    <w:bookmarkStart w:id="53" w:name="X4b7ec0bde0377a3f890cee1cd1886b8c3ac5c95"/>
    <w:p>
      <w:pPr>
        <w:pStyle w:val="Heading2"/>
      </w:pPr>
      <w:r>
        <w:t xml:space="preserve">12.9 Round 8: public global witness recovery under bounded incidence width (10 October 2026)</w:t>
      </w:r>
    </w:p>
    <w:p>
      <w:pPr>
        <w:pStyle w:val="FirstParagraph"/>
      </w:pPr>
      <w:r>
        <w:rPr>
          <w:bCs/>
          <w:b/>
        </w:rPr>
        <w:t xml:space="preserve">Outcome: a further proven attack criterion, not a complete KEM security repair.</w:t>
      </w:r>
      <w:r>
        <w:t xml:space="preserve"> </w:t>
      </w:r>
      <w:r>
        <w:t xml:space="preserve">Round 7 formally refuted the original local MaxEnt map as a one-way trapdoor when its public truth table is accessible. Round 8 directly tests a natural attempted repair: connect many such local functions through</w:t>
      </w:r>
      <w:r>
        <w:t xml:space="preserve"> </w:t>
      </w:r>
      <w:r>
        <w:rPr>
          <w:iCs/>
          <w:i/>
        </w:rPr>
        <w:t xml:space="preserve">overlapping</w:t>
      </w:r>
      <w:r>
        <w:t xml:space="preserve"> </w:t>
      </w:r>
      <w:r>
        <w:t xml:space="preserve">global variables and claim that the resulting witness must be found using a private decapsulation trapdoor. This claim fails for public constraint systems of low induced width. The method is classical constraint elimination, building explicitly on Rina Dechter’s 1999 bucket-elimination framework [11], so its underlying complexity theorem is</w:t>
      </w:r>
      <w:r>
        <w:t xml:space="preserve"> </w:t>
      </w:r>
      <w:r>
        <w:rPr>
          <w:bCs/>
          <w:b/>
        </w:rPr>
        <w:t xml:space="preserve">not</w:t>
      </w:r>
      <w:r>
        <w:t xml:space="preserve"> </w:t>
      </w:r>
      <w:r>
        <w:t xml:space="preserve">claimed to be a newly invented cryptographic primitive. The source-specific application, tests and negative design requirement are detailed in the</w:t>
      </w:r>
      <w:r>
        <w:t xml:space="preserve"> </w:t>
      </w:r>
      <w:hyperlink r:id="rId51">
        <w:r>
          <w:rPr>
            <w:rStyle w:val="Hyperlink"/>
          </w:rPr>
          <w:t xml:space="preserve">Round-8 security ledger</w:t>
        </w:r>
      </w:hyperlink>
      <w:r>
        <w:t xml:space="preserve">.</w:t>
      </w:r>
    </w:p>
    <w:p>
      <w:pPr>
        <w:pStyle w:val="BodyText"/>
      </w:pPr>
      <w:r>
        <w:rPr>
          <w:bCs/>
          <w:b/>
        </w:rPr>
        <w:t xml:space="preserve">Public challenge distribution.</w:t>
      </w:r>
      <w:r>
        <w:t xml:space="preserve"> </w:t>
      </w:r>
      <w:r>
        <w:t xml:space="preserve">Let</w:t>
      </w:r>
      <w:r>
        <w:t xml:space="preserve"> </w:t>
      </w:r>
      <m:oMath>
        <m:r>
          <m:t>V</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index global variables over</w:t>
      </w:r>
      <w:r>
        <w:t xml:space="preserve"> </w:t>
      </w:r>
      <m:oMath>
        <m:sSub>
          <m:e>
            <m:r>
              <m:rPr>
                <m:sty m:val="p"/>
                <m:scr m:val="double-struck"/>
              </m:rPr>
              <m:t>F</m:t>
            </m:r>
          </m:e>
          <m:sub>
            <m:r>
              <m:t>3</m:t>
            </m:r>
          </m:sub>
        </m:sSub>
      </m:oMath>
      <w:r>
        <w:t xml:space="preserve">. For every constraint</w:t>
      </w:r>
      <w:r>
        <w:t xml:space="preserve"> </w:t>
      </w:r>
      <m:oMath>
        <m:r>
          <m:t>i</m:t>
        </m:r>
      </m:oMath>
      <w:r>
        <w:t xml:space="preserve">, the public key (or derived publicly available information) provides a scope</w:t>
      </w:r>
      <w:r>
        <w:t xml:space="preserve"> </w:t>
      </w:r>
      <m:oMath>
        <m:sSub>
          <m:e>
            <m:r>
              <m:t>S</m:t>
            </m:r>
          </m:e>
          <m:sub>
            <m:r>
              <m:t>i</m:t>
            </m:r>
          </m:sub>
        </m:sSub>
        <m:r>
          <m:rPr>
            <m:sty m:val="p"/>
          </m:rPr>
          <m:t>⊆</m:t>
        </m:r>
        <m:r>
          <m:t>V</m:t>
        </m:r>
      </m:oMath>
      <w:r>
        <w:t xml:space="preserve"> </w:t>
      </w:r>
      <w:r>
        <w:t xml:space="preserve">and an explicit allowed-assignment relation</w:t>
      </w:r>
      <w:r>
        <w:t xml:space="preserve"> </w:t>
      </w:r>
      <m:oMath>
        <m:sSub>
          <m:e>
            <m:r>
              <m:t>R</m:t>
            </m:r>
          </m:e>
          <m:sub>
            <m:r>
              <m:t>i</m:t>
            </m:r>
          </m:sub>
        </m:sSub>
        <m:r>
          <m:rPr>
            <m:sty m:val="p"/>
          </m:rPr>
          <m:t>⊆</m:t>
        </m:r>
        <m:sSubSup>
          <m:e>
            <m:r>
              <m:rPr>
                <m:sty m:val="p"/>
                <m:scr m:val="double-struck"/>
              </m:rPr>
              <m:t>F</m:t>
            </m:r>
          </m:e>
          <m:sub>
            <m:r>
              <m:t>3</m:t>
            </m:r>
          </m:sub>
          <m:sup>
            <m:sSub>
              <m:e>
                <m:r>
                  <m:t>S</m:t>
                </m:r>
              </m:e>
              <m:sub>
                <m:r>
                  <m:t>i</m:t>
                </m:r>
              </m:sub>
            </m:sSub>
          </m:sup>
        </m:sSubSup>
      </m:oMath>
      <w:r>
        <w:t xml:space="preserve">, for example a fiber</w:t>
      </w:r>
      <w:r>
        <w:t xml:space="preserve"> </w:t>
      </w:r>
      <m:oMath>
        <m:sSub>
          <m:e>
            <m:r>
              <m:t>R</m:t>
            </m:r>
          </m:e>
          <m:sub>
            <m:r>
              <m:t>i</m:t>
            </m:r>
          </m:sub>
        </m:sSub>
        <m:r>
          <m:rPr>
            <m:sty m:val="p"/>
          </m:rPr>
          <m:t>=</m:t>
        </m:r>
        <m:r>
          <m:rPr>
            <m:sty m:val="p"/>
          </m:rPr>
          <m:t>{</m:t>
        </m:r>
        <m:r>
          <m:t>z</m:t>
        </m:r>
        <m:r>
          <m:rPr>
            <m:sty m:val="p"/>
          </m:rPr>
          <m:t>:</m:t>
        </m:r>
        <m:sSub>
          <m:e>
            <m:r>
              <m:t>f</m:t>
            </m:r>
          </m:e>
          <m:sub>
            <m:r>
              <m:t>i</m:t>
            </m:r>
          </m:sub>
        </m:sSub>
        <m:d>
          <m:dPr>
            <m:begChr m:val="("/>
            <m:endChr m:val=")"/>
            <m:sepChr m:val=""/>
            <m:grow/>
          </m:dPr>
          <m:e>
            <m:r>
              <m:t>z</m:t>
            </m:r>
          </m:e>
        </m:d>
        <m:r>
          <m:rPr>
            <m:sty m:val="p"/>
          </m:rPr>
          <m:t>=</m:t>
        </m:r>
        <m:sSub>
          <m:e>
            <m:r>
              <m:t>t</m:t>
            </m:r>
          </m:e>
          <m:sub>
            <m:r>
              <m:t>i</m:t>
            </m:r>
          </m:sub>
        </m:sSub>
        <m:r>
          <m:rPr>
            <m:sty m:val="p"/>
          </m:rPr>
          <m:t>}</m:t>
        </m:r>
      </m:oMath>
      <w:r>
        <w:t xml:space="preserve"> </w:t>
      </w:r>
      <w:r>
        <w:t xml:space="preserve">of the source-form local NCSG map. The attack must output any</w:t>
      </w:r>
      <w:r>
        <w:t xml:space="preserve"> </w:t>
      </w:r>
      <m:oMath>
        <m:r>
          <m:t>s</m:t>
        </m:r>
        <m:r>
          <m:rPr>
            <m:sty m:val="p"/>
          </m:rPr>
          <m:t>∈</m:t>
        </m:r>
        <m:sSubSup>
          <m:e>
            <m:r>
              <m:rPr>
                <m:sty m:val="p"/>
                <m:scr m:val="double-struck"/>
              </m:rPr>
              <m:t>F</m:t>
            </m:r>
          </m:e>
          <m:sub>
            <m:r>
              <m:t>3</m:t>
            </m:r>
          </m:sub>
          <m:sup>
            <m:r>
              <m:t>n</m:t>
            </m:r>
          </m:sup>
        </m:sSubSup>
      </m:oMath>
      <w:r>
        <w:t xml:space="preserve"> </w:t>
      </w:r>
      <w:r>
        <w:t xml:space="preserve">such that</w:t>
      </w:r>
      <w:r>
        <w:t xml:space="preserve"> </w:t>
      </w:r>
      <m:oMath>
        <m:sSub>
          <m:e>
            <m:r>
              <m:t>s</m:t>
            </m:r>
          </m:e>
          <m:sub>
            <m:sSub>
              <m:e>
                <m:r>
                  <m:t>S</m:t>
                </m:r>
              </m:e>
              <m:sub>
                <m:r>
                  <m:t>i</m:t>
                </m:r>
              </m:sub>
            </m:sSub>
          </m:sub>
        </m:sSub>
        <m:r>
          <m:rPr>
            <m:sty m:val="p"/>
          </m:rPr>
          <m:t>∈</m:t>
        </m:r>
        <m:sSub>
          <m:e>
            <m:r>
              <m:t>R</m:t>
            </m:r>
          </m:e>
          <m:sub>
            <m:r>
              <m:t>i</m:t>
            </m:r>
          </m:sub>
        </m:sSub>
      </m:oMath>
      <w:r>
        <w:t xml:space="preserve"> </w:t>
      </w:r>
      <w:r>
        <w:t xml:space="preserve">for all</w:t>
      </w:r>
      <w:r>
        <w:t xml:space="preserve"> </w:t>
      </w:r>
      <m:oMath>
        <m:r>
          <m:t>i</m:t>
        </m:r>
      </m:oMath>
      <w:r>
        <w:t xml:space="preserve">. All public truth-table enumeration costs are explicitly charged to the input size. The attacker does</w:t>
      </w:r>
      <w:r>
        <w:t xml:space="preserve"> </w:t>
      </w:r>
      <w:r>
        <w:rPr>
          <w:bCs/>
          <w:b/>
        </w:rPr>
        <w:t xml:space="preserve">not</w:t>
      </w:r>
      <w:r>
        <w:t xml:space="preserve"> </w:t>
      </w:r>
      <w:r>
        <w:t xml:space="preserve">receive hidden local matrices, potentials, the original planted witness or the secret key. This is a</w:t>
      </w:r>
      <w:r>
        <w:t xml:space="preserve"> </w:t>
      </w:r>
      <w:r>
        <w:rPr>
          <w:bCs/>
          <w:b/>
        </w:rPr>
        <w:t xml:space="preserve">global overlapping</w:t>
      </w:r>
      <w:r>
        <w:t xml:space="preserve"> </w:t>
      </w:r>
      <w:r>
        <w:t xml:space="preserve">witness task, not the already solved single-factor task.</w:t>
      </w:r>
    </w:p>
    <w:p>
      <w:pPr>
        <w:pStyle w:val="BodyText"/>
      </w:pPr>
      <w:r>
        <w:rPr>
          <w:bCs/>
          <w:b/>
        </w:rPr>
        <w:t xml:space="preserve">Theorem 12.9 (public witness recovery at induced width</w:t>
      </w:r>
      <w:r>
        <w:rPr>
          <w:bCs/>
          <w:b/>
        </w:rPr>
        <w:t xml:space="preserve"> </w:t>
      </w:r>
      <m:oMath>
        <m:r>
          <m:t>w</m:t>
        </m:r>
      </m:oMath>
      <w:r>
        <w:rPr>
          <w:bCs/>
          <w:b/>
        </w:rPr>
        <w:t xml:space="preserve">).</w:t>
      </w:r>
      <w:r>
        <w:t xml:space="preserve"> </w:t>
      </w:r>
      <w:r>
        <w:t xml:space="preserve">Given explicit public ternary relation tables, scopes and a variable elimination order with induced width</w:t>
      </w:r>
      <w:r>
        <w:t xml:space="preserve"> </w:t>
      </w:r>
      <m:oMath>
        <m:r>
          <m:t>w</m:t>
        </m:r>
      </m:oMath>
      <w:r>
        <w:t xml:space="preserve"> </w:t>
      </w:r>
      <w:r>
        <w:t xml:space="preserve">in the associated primal graph, a deterministic algorithm either recovers a satisfying</w:t>
      </w:r>
      <w:r>
        <w:t xml:space="preserve"> </w:t>
      </w:r>
      <w:r>
        <w:rPr>
          <w:bCs/>
          <w:b/>
        </w:rPr>
        <w:t xml:space="preserve">global</w:t>
      </w:r>
      <w:r>
        <w:t xml:space="preserve"> </w:t>
      </w:r>
      <w:r>
        <w:t xml:space="preserve">witness or correctly reports unsatisfiability in time</w:t>
      </w:r>
      <w:r>
        <w:t xml:space="preserve"> </w:t>
      </w:r>
      <m:oMath>
        <m:r>
          <m:rPr>
            <m:sty m:val="p"/>
          </m:rPr>
          <m:t>poly</m:t>
        </m:r>
        <m:d>
          <m:dPr>
            <m:begChr m:val="("/>
            <m:endChr m:val=")"/>
            <m:sepChr m:val=""/>
            <m:grow/>
          </m:dPr>
          <m:e>
            <m:r>
              <m:t>L</m:t>
            </m:r>
            <m:r>
              <m:rPr>
                <m:sty m:val="p"/>
              </m:rPr>
              <m:t>,</m:t>
            </m:r>
            <m:r>
              <m:t>n</m:t>
            </m:r>
            <m:r>
              <m:rPr>
                <m:sty m:val="p"/>
              </m:rPr>
              <m:t>,</m:t>
            </m:r>
            <m:r>
              <m:t>m</m:t>
            </m:r>
          </m:e>
        </m:d>
        <m:sSup>
          <m:e>
            <m:r>
              <m:t>3</m:t>
            </m:r>
          </m:e>
          <m:sup>
            <m:r>
              <m:t>w</m:t>
            </m:r>
            <m:r>
              <m:rPr>
                <m:sty m:val="p"/>
              </m:rPr>
              <m:t>+</m:t>
            </m:r>
            <m:r>
              <m:t>1</m:t>
            </m:r>
          </m:sup>
        </m:sSup>
      </m:oMath>
      <w:r>
        <w:t xml:space="preserve">, where</w:t>
      </w:r>
      <w:r>
        <w:t xml:space="preserve"> </w:t>
      </w:r>
      <m:oMath>
        <m:r>
          <m:t>L</m:t>
        </m:r>
      </m:oMath>
      <w:r>
        <w:t xml:space="preserve"> </w:t>
      </w:r>
      <w:r>
        <w:t xml:space="preserve">is public encoding length and</w:t>
      </w:r>
      <w:r>
        <w:t xml:space="preserve"> </w:t>
      </w:r>
      <m:oMath>
        <m:r>
          <m:t>m</m:t>
        </m:r>
      </m:oMath>
      <w:r>
        <w:t xml:space="preserve"> </w:t>
      </w:r>
      <w:r>
        <w:t xml:space="preserve">is the number of factors. In particular the attack is polynomial-time for public instances with</w:t>
      </w:r>
      <w:r>
        <w:t xml:space="preserve"> </w:t>
      </w:r>
      <m:oMath>
        <m:r>
          <m:t>w</m:t>
        </m:r>
        <m:r>
          <m:rPr>
            <m:sty m:val="p"/>
          </m:rPr>
          <m:t>=</m:t>
        </m:r>
        <m:r>
          <m:t>O</m:t>
        </m:r>
        <m:d>
          <m:dPr>
            <m:begChr m:val="("/>
            <m:endChr m:val=")"/>
            <m:sepChr m:val=""/>
            <m:grow/>
          </m:dPr>
          <m:e>
            <m:r>
              <m:rPr>
                <m:sty m:val="p"/>
              </m:rPr>
              <m:t>log</m:t>
            </m:r>
            <m:d>
              <m:dPr>
                <m:begChr m:val="("/>
                <m:endChr m:val=")"/>
                <m:sepChr m:val=""/>
                <m:grow/>
              </m:dPr>
              <m:e>
                <m:r>
                  <m:t>n</m:t>
                </m:r>
                <m:r>
                  <m:rPr>
                    <m:sty m:val="p"/>
                  </m:rPr>
                  <m:t>+</m:t>
                </m:r>
                <m:r>
                  <m:t>L</m:t>
                </m:r>
              </m:e>
            </m:d>
          </m:e>
        </m:d>
      </m:oMath>
      <w:r>
        <w:t xml:space="preserve">. This is a standard structural fact about CSPs, not proof of an end-to-end KEM attack on a scheme whose full KEM algorithms are undefined.</w:t>
      </w:r>
    </w:p>
    <w:p>
      <w:pPr>
        <w:pStyle w:val="BodyText"/>
      </w:pPr>
      <w:r>
        <w:rPr>
          <w:bCs/>
          <w:b/>
        </w:rPr>
        <w:t xml:space="preserve">Proof (constructive).</w:t>
      </w:r>
      <w:r>
        <w:t xml:space="preserve"> </w:t>
      </w:r>
      <w:r>
        <w:t xml:space="preserve">At the next variable</w:t>
      </w:r>
      <w:r>
        <w:t xml:space="preserve"> </w:t>
      </w:r>
      <m:oMath>
        <m:r>
          <m:t>v</m:t>
        </m:r>
      </m:oMath>
      <w:r>
        <w:t xml:space="preserve"> </w:t>
      </w:r>
      <w:r>
        <w:t xml:space="preserve">in the given elimination order, collect all factors containing</w:t>
      </w:r>
      <w:r>
        <w:t xml:space="preserve"> </w:t>
      </w:r>
      <m:oMath>
        <m:r>
          <m:t>v</m:t>
        </m:r>
      </m:oMath>
      <w:r>
        <w:t xml:space="preserve">. The union of their scopes includes at most</w:t>
      </w:r>
      <w:r>
        <w:t xml:space="preserve"> </w:t>
      </w:r>
      <m:oMath>
        <m:r>
          <m:t>w</m:t>
        </m:r>
        <m:r>
          <m:rPr>
            <m:sty m:val="p"/>
          </m:rPr>
          <m:t>+</m:t>
        </m:r>
        <m:r>
          <m:t>1</m:t>
        </m:r>
      </m:oMath>
      <w:r>
        <w:t xml:space="preserve"> </w:t>
      </w:r>
      <w:r>
        <w:t xml:space="preserve">variables. For each assignment to the other variables in that union, enumerate three values of</w:t>
      </w:r>
      <w:r>
        <w:t xml:space="preserve"> </w:t>
      </w:r>
      <m:oMath>
        <m:r>
          <m:t>v</m:t>
        </m:r>
      </m:oMath>
      <w:r>
        <w:t xml:space="preserve"> </w:t>
      </w:r>
      <w:r>
        <w:t xml:space="preserve">and record whether one satisfies every collected factor. Retain the satisfying residual assignments as a new factor and also record one successful value of</w:t>
      </w:r>
      <w:r>
        <w:t xml:space="preserve"> </w:t>
      </w:r>
      <m:oMath>
        <m:r>
          <m:t>v</m:t>
        </m:r>
      </m:oMath>
      <w:r>
        <w:t xml:space="preserve"> </w:t>
      </w:r>
      <w:r>
        <w:t xml:space="preserve">for each. This replacement is logically equivalent to existentially quantifying</w:t>
      </w:r>
      <w:r>
        <w:t xml:space="preserve"> </w:t>
      </w:r>
      <m:oMath>
        <m:r>
          <m:t>v</m:t>
        </m:r>
      </m:oMath>
      <w:r>
        <w:t xml:space="preserve">, so it preserves satisfiability both ways. Inductively eliminate the remaining variables. A factor with no surviving assignments certifies impossibility; otherwise reverse the recorded choices to reconstruct a correct full witness. Each step checks at most</w:t>
      </w:r>
      <w:r>
        <w:t xml:space="preserve"> </w:t>
      </w:r>
      <m:oMath>
        <m:sSup>
          <m:e>
            <m:r>
              <m:t>3</m:t>
            </m:r>
          </m:e>
          <m:sup>
            <m:r>
              <m:t>w</m:t>
            </m:r>
            <m:r>
              <m:rPr>
                <m:sty m:val="p"/>
              </m:rPr>
              <m:t>+</m:t>
            </m:r>
            <m:r>
              <m:t>1</m:t>
            </m:r>
          </m:sup>
        </m:sSup>
      </m:oMath>
      <w:r>
        <w:t xml:space="preserve"> </w:t>
      </w:r>
      <w:r>
        <w:t xml:space="preserve">combinations, with polynomially many factor lookups and bookkeeping operations.</w:t>
      </w:r>
      <w:r>
        <w:t xml:space="preserve"> </w:t>
      </w:r>
      <m:oMath>
        <m:r>
          <m:rPr>
            <m:sty m:val="p"/>
          </m:rPr>
          <m:t>▫</m:t>
        </m:r>
      </m:oMath>
    </w:p>
    <w:p>
      <w:pPr>
        <w:pStyle w:val="BodyText"/>
      </w:pPr>
      <w:r>
        <w:rPr>
          <w:bCs/>
          <w:b/>
        </w:rPr>
        <w:t xml:space="preserve">Corollary 12.9a (no witness hardness from low-width public incidence).</w:t>
      </w:r>
      <w:r>
        <w:t xml:space="preserve"> </w:t>
      </w:r>
      <w:r>
        <w:t xml:space="preserve">If the</w:t>
      </w:r>
      <w:r>
        <w:t xml:space="preserve"> </w:t>
      </w:r>
      <w:r>
        <w:rPr>
          <w:iCs/>
          <w:i/>
        </w:rPr>
        <w:t xml:space="preserve">actual public distribution</w:t>
      </w:r>
      <w:r>
        <w:t xml:space="preserve"> </w:t>
      </w:r>
      <w:r>
        <w:t xml:space="preserve">frequently produces instances in this efficiently recognizable low-width regime, a secret-planted-witness search assumption is invalid on that subdistribution: the adversary finds a satisfying witness without the trapdoor. A rare easy subdistribution alone does not yield a full-distribution attack. Hidden or succinctly encoded incidence requires a separately defined and analyzed attack model. Worst-case NP-completeness says nothing against this restricted public-instances algorithm.</w:t>
      </w:r>
    </w:p>
    <w:p>
      <w:pPr>
        <w:pStyle w:val="BodyText"/>
      </w:pPr>
      <w:r>
        <w:rPr>
          <w:bCs/>
          <w:b/>
        </w:rPr>
        <w:t xml:space="preserve">Concrete Round-8 public-only experiments.</w:t>
      </w:r>
      <w:r>
        <w:t xml:space="preserve"> </w:t>
      </w:r>
      <w:r>
        <w:t xml:space="preserve">The executable</w:t>
      </w:r>
      <w:r>
        <w:t xml:space="preserve"> </w:t>
      </w:r>
      <w:hyperlink r:id="rId52">
        <w:r>
          <w:rPr>
            <w:rStyle w:val="Hyperlink"/>
          </w:rPr>
          <w:t xml:space="preserve">global-witness adversary</w:t>
        </w:r>
      </w:hyperlink>
      <w:r>
        <w:t xml:space="preserve"> </w:t>
      </w:r>
      <w:r>
        <w:t xml:space="preserve">generates the original source-form ternary MaxEnt local maps, with random secret coordinate transformations used</w:t>
      </w:r>
      <w:r>
        <w:t xml:space="preserve"> </w:t>
      </w:r>
      <w:r>
        <w:rPr>
          <w:iCs/>
          <w:i/>
        </w:rPr>
        <w:t xml:space="preserve">only by the test generator</w:t>
      </w:r>
      <w:r>
        <w:t xml:space="preserve">. It publishes two independently generated local relation tables with one</w:t>
      </w:r>
      <w:r>
        <w:t xml:space="preserve"> </w:t>
      </w:r>
      <w:r>
        <w:rPr>
          <w:bCs/>
          <w:b/>
        </w:rPr>
        <w:t xml:space="preserve">shared global variable</w:t>
      </w:r>
      <w:r>
        <w:t xml:space="preserve">, plants target outputs solely to ensure satisfiability, and reconstructs a valid global assignment from the public constraints alone. This demonstrates an actual overlapping-factor attack, not merely trivial inversion of unrelated factors:</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Historical source-form local geometry</w:t>
            </w:r>
          </w:p>
        </w:tc>
        <w:tc>
          <w:tcPr/>
          <w:p>
            <w:pPr>
              <w:pStyle w:val="Compact"/>
              <w:jc w:val="left"/>
            </w:pPr>
            <m:oMath>
              <m:d>
                <m:dPr>
                  <m:begChr m:val="("/>
                  <m:endChr m:val=")"/>
                  <m:sepChr m:val=""/>
                  <m:grow/>
                </m:dPr>
                <m:e>
                  <m:r>
                    <m:t>k</m:t>
                  </m:r>
                  <m:r>
                    <m:rPr>
                      <m:sty m:val="p"/>
                    </m:rPr>
                    <m:t>,</m:t>
                  </m:r>
                  <m:r>
                    <m:t>d</m:t>
                  </m:r>
                  <m:r>
                    <m:rPr>
                      <m:sty m:val="p"/>
                    </m:rPr>
                    <m:t>,</m:t>
                  </m:r>
                  <m:r>
                    <m:t>r</m:t>
                  </m:r>
                </m:e>
              </m:d>
            </m:oMath>
          </w:p>
        </w:tc>
        <w:tc>
          <w:tcPr/>
          <w:p>
            <w:pPr>
              <w:pStyle w:val="Compact"/>
              <w:jc w:val="right"/>
            </w:pPr>
            <w:r>
              <w:t xml:space="preserve">Overlapping global variables</w:t>
            </w:r>
          </w:p>
        </w:tc>
        <w:tc>
          <w:tcPr/>
          <w:p>
            <w:pPr>
              <w:pStyle w:val="Compact"/>
              <w:jc w:val="right"/>
            </w:pPr>
            <w:r>
              <w:t xml:space="preserve">Verified induced width</w:t>
            </w:r>
            <w:r>
              <w:t xml:space="preserve"> </w:t>
            </w:r>
            <m:oMath>
              <m:r>
                <m:t>w</m:t>
              </m:r>
            </m:oMath>
          </w:p>
        </w:tc>
        <w:tc>
          <w:tcPr/>
          <w:p>
            <w:pPr>
              <w:pStyle w:val="Compact"/>
              <w:jc w:val="left"/>
            </w:pPr>
            <w:r>
              <w:t xml:space="preserve">Public global witness</w:t>
            </w:r>
          </w:p>
        </w:tc>
      </w:tr>
      <w:tr>
        <w:tc>
          <w:tcPr/>
          <w:p>
            <w:pPr>
              <w:pStyle w:val="Compact"/>
              <w:jc w:val="left"/>
            </w:pPr>
            <w:r>
              <w:t xml:space="preserve">SGD-R1</w:t>
            </w:r>
          </w:p>
        </w:tc>
        <w:tc>
          <w:tcPr/>
          <w:p>
            <w:pPr>
              <w:pStyle w:val="Compact"/>
              <w:jc w:val="left"/>
            </w:pP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4</w:t>
            </w:r>
          </w:p>
        </w:tc>
        <w:tc>
          <w:tcPr/>
          <w:p>
            <w:pPr>
              <w:pStyle w:val="Compact"/>
              <w:jc w:val="left"/>
            </w:pPr>
            <w:r>
              <w:t xml:space="preserve">Recovered</w:t>
            </w:r>
          </w:p>
        </w:tc>
      </w:tr>
      <w:tr>
        <w:tc>
          <w:tcPr/>
          <w:p>
            <w:pPr>
              <w:pStyle w:val="Compact"/>
              <w:jc w:val="left"/>
            </w:pPr>
            <w:r>
              <w:t xml:space="preserve">SGD-R2</w:t>
            </w:r>
          </w:p>
        </w:tc>
        <w:tc>
          <w:tcPr/>
          <w:p>
            <w:pPr>
              <w:pStyle w:val="Compact"/>
              <w:jc w:val="left"/>
            </w:pPr>
            <m:oMath>
              <m:d>
                <m:dPr>
                  <m:begChr m:val="("/>
                  <m:endChr m:val=")"/>
                  <m:sepChr m:val=""/>
                  <m:grow/>
                </m:dPr>
                <m:e>
                  <m:r>
                    <m:t>7</m:t>
                  </m:r>
                  <m:r>
                    <m:rPr>
                      <m:sty m:val="p"/>
                    </m:rPr>
                    <m:t>,</m:t>
                  </m:r>
                  <m:r>
                    <m:t>4</m:t>
                  </m:r>
                  <m:r>
                    <m:rPr>
                      <m:sty m:val="p"/>
                    </m:rPr>
                    <m:t>,</m:t>
                  </m:r>
                  <m:r>
                    <m:t>3</m:t>
                  </m:r>
                </m:e>
              </m:d>
            </m:oMath>
          </w:p>
        </w:tc>
        <w:tc>
          <w:tcPr/>
          <w:p>
            <w:pPr>
              <w:pStyle w:val="Compact"/>
              <w:jc w:val="right"/>
            </w:pPr>
            <w:r>
              <w:t xml:space="preserve">13</w:t>
            </w:r>
          </w:p>
        </w:tc>
        <w:tc>
          <w:tcPr/>
          <w:p>
            <w:pPr>
              <w:pStyle w:val="Compact"/>
              <w:jc w:val="right"/>
            </w:pPr>
            <w:r>
              <w:t xml:space="preserve">6</w:t>
            </w:r>
          </w:p>
        </w:tc>
        <w:tc>
          <w:tcPr/>
          <w:p>
            <w:pPr>
              <w:pStyle w:val="Compact"/>
              <w:jc w:val="left"/>
            </w:pPr>
            <w:r>
              <w:t xml:space="preserve">Recovered</w:t>
            </w:r>
          </w:p>
        </w:tc>
      </w:tr>
      <w:tr>
        <w:tc>
          <w:tcPr/>
          <w:p>
            <w:pPr>
              <w:pStyle w:val="Compact"/>
              <w:jc w:val="left"/>
            </w:pPr>
            <w:r>
              <w:t xml:space="preserve">SGD-R3</w:t>
            </w:r>
          </w:p>
        </w:tc>
        <w:tc>
          <w:tcPr/>
          <w:p>
            <w:pPr>
              <w:pStyle w:val="Compact"/>
              <w:jc w:val="left"/>
            </w:pPr>
            <m:oMath>
              <m:d>
                <m:dPr>
                  <m:begChr m:val="("/>
                  <m:endChr m:val=")"/>
                  <m:sepChr m:val=""/>
                  <m:grow/>
                </m:dPr>
                <m:e>
                  <m:r>
                    <m:t>9</m:t>
                  </m:r>
                  <m:r>
                    <m:rPr>
                      <m:sty m:val="p"/>
                    </m:rPr>
                    <m:t>,</m:t>
                  </m:r>
                  <m:r>
                    <m:t>5</m:t>
                  </m:r>
                  <m:r>
                    <m:rPr>
                      <m:sty m:val="p"/>
                    </m:rPr>
                    <m:t>,</m:t>
                  </m:r>
                  <m:r>
                    <m:t>4</m:t>
                  </m:r>
                </m:e>
              </m:d>
            </m:oMath>
          </w:p>
        </w:tc>
        <w:tc>
          <w:tcPr/>
          <w:p>
            <w:pPr>
              <w:pStyle w:val="Compact"/>
              <w:jc w:val="right"/>
            </w:pPr>
            <w:r>
              <w:t xml:space="preserve">17</w:t>
            </w:r>
          </w:p>
        </w:tc>
        <w:tc>
          <w:tcPr/>
          <w:p>
            <w:pPr>
              <w:pStyle w:val="Compact"/>
              <w:jc w:val="right"/>
            </w:pPr>
            <w:r>
              <w:t xml:space="preserve">8</w:t>
            </w:r>
          </w:p>
        </w:tc>
        <w:tc>
          <w:tcPr/>
          <w:p>
            <w:pPr>
              <w:pStyle w:val="Compact"/>
              <w:jc w:val="left"/>
            </w:pPr>
            <w:r>
              <w:t xml:space="preserve">Recovered</w:t>
            </w:r>
          </w:p>
        </w:tc>
      </w:tr>
    </w:tbl>
    <w:p>
      <w:pPr>
        <w:pStyle w:val="BodyText"/>
      </w:pPr>
      <w:r>
        <w:t xml:space="preserve">These are deliberately</w:t>
      </w:r>
      <w:r>
        <w:t xml:space="preserve"> </w:t>
      </w:r>
      <w:r>
        <w:rPr>
          <w:bCs/>
          <w:b/>
        </w:rPr>
        <w:t xml:space="preserve">two-factor fixtures</w:t>
      </w:r>
      <w:r>
        <w:t xml:space="preserve">,</w:t>
      </w:r>
      <w:r>
        <w:t xml:space="preserve"> </w:t>
      </w:r>
      <w:r>
        <w:rPr>
          <w:iCs/>
          <w:i/>
        </w:rPr>
        <w:t xml:space="preserve">not measured primal widths of the old complete SGD profiles</w:t>
      </w:r>
      <w:r>
        <w:t xml:space="preserve"> </w:t>
      </w:r>
      <w:r>
        <w:t xml:space="preserve">and not 128-, 192-, or 256-bit security estimates. Additional tests check unsatisfiable contradictions, 108 independently brute-forced random small CSP fixtures and disconnected components. The theorem—not successful unit tests—is the reason exact public elimination works for its stated mathematical model.</w:t>
      </w:r>
    </w:p>
    <w:p>
      <w:pPr>
        <w:pStyle w:val="BodyText"/>
      </w:pPr>
      <w:r>
        <w:rPr>
          <w:bCs/>
          <w:b/>
        </w:rPr>
        <w:t xml:space="preserve">Critical asymptotic interpretation.</w:t>
      </w:r>
      <w:r>
        <w:t xml:space="preserve"> </w:t>
      </w:r>
      <w:r>
        <w:t xml:space="preserve">The cost</w:t>
      </w:r>
      <w:r>
        <w:t xml:space="preserve"> </w:t>
      </w:r>
      <m:oMath>
        <m:sSup>
          <m:e>
            <m:r>
              <m:t>3</m:t>
            </m:r>
          </m:e>
          <m:sup>
            <m:r>
              <m:t>w</m:t>
            </m:r>
            <m:r>
              <m:rPr>
                <m:sty m:val="p"/>
              </m:rPr>
              <m:t>+</m:t>
            </m:r>
            <m:r>
              <m:t>1</m:t>
            </m:r>
          </m:sup>
        </m:sSup>
      </m:oMath>
      <w:r>
        <w:t xml:space="preserve"> </w:t>
      </w:r>
      <w:r>
        <w:t xml:space="preserve">is an</w:t>
      </w:r>
      <w:r>
        <w:t xml:space="preserve"> </w:t>
      </w:r>
      <w:r>
        <w:rPr>
          <w:iCs/>
          <w:i/>
        </w:rPr>
        <w:t xml:space="preserve">upper bound on one known public attack</w:t>
      </w:r>
      <w:r>
        <w:t xml:space="preserve">,</w:t>
      </w:r>
      <w:r>
        <w:t xml:space="preserve"> </w:t>
      </w:r>
      <w:r>
        <w:rPr>
          <w:bCs/>
          <w:b/>
        </w:rPr>
        <w:t xml:space="preserve">not</w:t>
      </w:r>
      <w:r>
        <w:t xml:space="preserve"> </w:t>
      </w:r>
      <w:r>
        <w:t xml:space="preserve">a lower bound establishing exponential difficulty for all attackers. Resistance to even this attack at a desired nominal</w:t>
      </w:r>
      <w:r>
        <w:t xml:space="preserve"> </w:t>
      </w:r>
      <m:oMath>
        <m:sSup>
          <m:e>
            <m:r>
              <m:t>2</m:t>
            </m:r>
          </m:e>
          <m:sup>
            <m:r>
              <m:t>λ</m:t>
            </m:r>
          </m:sup>
        </m:sSup>
      </m:oMath>
      <w:r>
        <w:t xml:space="preserve"> </w:t>
      </w:r>
      <w:r>
        <w:t xml:space="preserve">work factor requires, after accounting for polynomial terms, approximately</w:t>
      </w:r>
      <w:r>
        <w:t xml:space="preserve"> </w:t>
      </w:r>
      <m:oMath>
        <m:r>
          <m:t>w</m:t>
        </m:r>
        <m:r>
          <m:rPr>
            <m:sty m:val="p"/>
          </m:rPr>
          <m:t>+</m:t>
        </m:r>
        <m:r>
          <m:t>1</m:t>
        </m:r>
        <m:r>
          <m:rPr>
            <m:sty m:val="p"/>
          </m:rPr>
          <m:t>≳</m:t>
        </m:r>
        <m:r>
          <m:t>λ</m:t>
        </m:r>
        <m:r>
          <m:rPr>
            <m:sty m:val="p"/>
          </m:rPr>
          <m:t>/</m:t>
        </m:r>
        <m:sSub>
          <m:e>
            <m:r>
              <m:rPr>
                <m:sty m:val="p"/>
              </m:rPr>
              <m:t>log</m:t>
            </m:r>
          </m:e>
          <m:sub>
            <m:r>
              <m:t>2</m:t>
            </m:r>
          </m:sub>
        </m:sSub>
        <m:r>
          <m:t>3</m:t>
        </m:r>
      </m:oMath>
      <w:r>
        <w:t xml:space="preserve">, but</w:t>
      </w:r>
      <w:r>
        <w:t xml:space="preserve"> </w:t>
      </w:r>
      <w:r>
        <w:rPr>
          <w:bCs/>
          <w:b/>
        </w:rPr>
        <w:t xml:space="preserve">large width does not imply security</w:t>
      </w:r>
      <w:r>
        <w:t xml:space="preserve">: differential, algebraic, linearization, spectral, average-case, quantum or protocol-specific attacks might be faster. Public key or ciphertext data may include helper information, but anything derivable from public data is also available to a cryptanalytic adversary. A decapsulation-specific trapdoor must actually be private and essential to the completed scheme.</w:t>
      </w:r>
    </w:p>
    <w:p>
      <w:pPr>
        <w:pStyle w:val="BodyText"/>
      </w:pPr>
      <w:r>
        <w:rPr>
          <w:bCs/>
          <w:b/>
        </w:rPr>
        <w:t xml:space="preserve">Round-8 repair status.</w:t>
      </w:r>
      <w:r>
        <w:t xml:space="preserve"> </w:t>
      </w:r>
      <w:r>
        <w:t xml:space="preserve">The broken original local MaxEnt predicate is explicitly</w:t>
      </w:r>
      <w:r>
        <w:t xml:space="preserve"> </w:t>
      </w:r>
      <w:r>
        <w:rPr>
          <w:bCs/>
          <w:b/>
        </w:rPr>
        <w:t xml:space="preserve">rejected as a security-bearing trapdoor</w:t>
      </w:r>
      <w:r>
        <w:t xml:space="preserve">; the Round-7 theorem remains intact and its reproducible proof is not replaced. We also</w:t>
      </w:r>
      <w:r>
        <w:t xml:space="preserve"> </w:t>
      </w:r>
      <w:r>
        <w:rPr>
          <w:bCs/>
          <w:b/>
        </w:rPr>
        <w:t xml:space="preserve">reject overlap alone</w:t>
      </w:r>
      <w:r>
        <w:t xml:space="preserve"> </w:t>
      </w:r>
      <w:r>
        <w:t xml:space="preserve">as a global hardness argument. We do</w:t>
      </w:r>
      <w:r>
        <w:t xml:space="preserve"> </w:t>
      </w:r>
      <w:r>
        <w:rPr>
          <w:bCs/>
          <w:b/>
        </w:rPr>
        <w:t xml:space="preserve">not</w:t>
      </w:r>
      <w:r>
        <w:t xml:space="preserve"> </w:t>
      </w:r>
      <w:r>
        <w:t xml:space="preserve">assert a fictitious new secure global mechanism. To claim a secure original NCSG-only KEM one must supply exact KeyGen/Encaps/Decaps algorithms, an asymptotic key/ciphertext distribution and novel indispensable secret inversion information, complete correctness and chosen-ciphertext reductions (including QROM if claimed), distribution-specific classical/quantum attack estimates, side-channel/failure handling, and newly grounded three parameter sets. None is established here. Accordingly</w:t>
      </w:r>
      <w:r>
        <w:t xml:space="preserve"> </w:t>
      </w:r>
      <w:r>
        <w:rPr>
          <w:bCs/>
          <w:b/>
        </w:rPr>
        <w:t xml:space="preserve">Round 8’s limited attack claim is mathematically closed; KEM security is NOT formally closed, no secure profiles are certified, and this credited research draft is not conference submission-ready</w:t>
      </w:r>
      <w:r>
        <w:t xml:space="preserve">.</w:t>
      </w:r>
    </w:p>
    <w:bookmarkEnd w:id="53"/>
    <w:bookmarkEnd w:id="54"/>
    <w:bookmarkStart w:id="55"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5"/>
    <w:bookmarkStart w:id="56" w:name="conclusion"/>
    <w:p>
      <w:pPr>
        <w:pStyle w:val="Heading1"/>
      </w:pPr>
      <w:r>
        <w:t xml:space="preserve">14. Conclusion</w:t>
      </w:r>
    </w:p>
    <w:p>
      <w:pPr>
        <w:pStyle w:val="FirstParagraph"/>
      </w:pPr>
      <w:r>
        <w:t xml:space="preserve">Round 8 additionally proves that overlap alone cannot guarantee NCSG witness hardness when the public global incidence graph has low induced width. This is a conditional structural cryptanalysis, not a positive KEM security theorem. 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6"/>
    <w:bookmarkStart w:id="57" w:name="references"/>
    <w:p>
      <w:pPr>
        <w:pStyle w:val="Heading1"/>
      </w:pPr>
      <w:r>
        <w:t xml:space="preserve">References</w:t>
      </w:r>
    </w:p>
    <w:p>
      <w:pPr>
        <w:numPr>
          <w:ilvl w:val="0"/>
          <w:numId w:val="1001"/>
        </w:numPr>
      </w:pPr>
      <w:r>
        <w:t xml:space="preserve">R. Dechter,</w:t>
      </w:r>
      <w:r>
        <w:t xml:space="preserve"> </w:t>
      </w:r>
      <w:r>
        <w:t xml:space="preserve">“</w:t>
      </w:r>
      <w:r>
        <w:t xml:space="preserve">Bucket Elimination: A Unifying Framework for Reasoning,</w:t>
      </w:r>
      <w:r>
        <w:t xml:space="preserve">”</w:t>
      </w:r>
      <w:r>
        <w:t xml:space="preserve"> </w:t>
      </w:r>
      <w:r>
        <w:rPr>
          <w:iCs/>
          <w:i/>
        </w:rPr>
        <w:t xml:space="preserve">Artificial Intelligence</w:t>
      </w:r>
      <w:r>
        <w:t xml:space="preserve">, 113(1–2), 41–85, 1999. https://doi.org/10.1016/S0004-3702(99)00059-4</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7"/>
    <w:bookmarkStart w:id="58"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8"/>
    <w:bookmarkStart w:id="59"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research-2028/ROUND8_PUBLIC_GLOBAL_CSP_SECURITY_LEDGER.md" TargetMode="External" /><Relationship Type="http://schemas.openxmlformats.org/officeDocument/2006/relationships/hyperlink" Id="rId52" Target="../research-2028/attacks/public_global_treewidth_witness_recovery.py" TargetMode="External" /></Relationships>
</file>

<file path=word/_rels/footnotes.xml.rels><?xml version="1.0" encoding="UTF-8"?><Relationships xmlns="http://schemas.openxmlformats.org/package/2006/relationships"><Relationship Type="http://schemas.openxmlformats.org/officeDocument/2006/relationships/hyperlink" Id="rId51" Target="../research-2028/ROUND8_PUBLIC_GLOBAL_CSP_SECURITY_LEDGER.md" TargetMode="External" /><Relationship Type="http://schemas.openxmlformats.org/officeDocument/2006/relationships/hyperlink" Id="rId52" Target="../research-2028/attacks/public_global_treewidth_witness_recovery.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2026-10-10T13:28:52Z</dcterms:created>
  <dcterms:modified xsi:type="dcterms:W3CDTF">2026-10-10T13:28:52Z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