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9"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Original local geometry</w:t>
            </w:r>
          </w:p>
        </w:tc>
        <w:tc>
          <w:tcPr/>
          <w:p>
            <w:pPr>
              <w:pStyle w:val="Compact"/>
              <w:jc w:val="right"/>
            </w:pPr>
            <w:r>
              <w:t xml:space="preserve">Forced lines</w:t>
            </w:r>
            <w:r>
              <w:t xml:space="preserve"> </w:t>
            </w:r>
            <m:oMath>
              <m:r>
                <m:t>L</m:t>
              </m:r>
            </m:oMath>
          </w:p>
        </w:tc>
        <w:tc>
          <w:tcPr/>
          <w:p>
            <w:pPr>
              <w:pStyle w:val="Compact"/>
              <w:jc w:val="right"/>
            </w:pPr>
            <w:r>
              <w:t xml:space="preserve">Possible forced directions</w:t>
            </w:r>
            <w:r>
              <w:t xml:space="preserve"> </w:t>
            </w:r>
            <m:oMath>
              <m:sSub>
                <m:e>
                  <m:r>
                    <m:t>m</m:t>
                  </m:r>
                </m:e>
                <m:sub>
                  <m:r>
                    <m:t>0</m:t>
                  </m:r>
                </m:sub>
              </m:sSub>
            </m:oMath>
          </w:p>
        </w:tc>
        <w:tc>
          <w:tcPr/>
          <w:p>
            <w:pPr>
              <w:pStyle w:val="Compact"/>
              <w:jc w:val="right"/>
            </w:pPr>
            <w:r>
              <w:t xml:space="preserve">Source</w:t>
            </w:r>
            <w:r>
              <w:t xml:space="preserve"> </w:t>
            </w:r>
            <m:oMath>
              <m:r>
                <m:rPr>
                  <m:sty m:val="p"/>
                </m:rPr>
                <m:t>Pr</m:t>
              </m:r>
              <m:d>
                <m:dPr>
                  <m:begChr m:val="["/>
                  <m:endChr m:val="]"/>
                  <m:sepChr m:val=""/>
                  <m:grow/>
                </m:dPr>
                <m:e>
                  <m:r>
                    <m:t>D</m:t>
                  </m:r>
                  <m:r>
                    <m:rPr>
                      <m:sty m:val="p"/>
                    </m:rPr>
                    <m:t>=</m:t>
                  </m:r>
                  <m:r>
                    <m:t>1</m:t>
                  </m:r>
                </m:e>
              </m:d>
            </m:oMath>
            <w:r>
              <w:t xml:space="preserve"> </w:t>
            </w:r>
            <w:r>
              <w:t xml:space="preserve">lower bound</w:t>
            </w:r>
          </w:p>
        </w:tc>
        <w:tc>
          <w:tcPr/>
          <w:p>
            <w:pPr>
              <w:pStyle w:val="Compact"/>
              <w:jc w:val="right"/>
            </w:pPr>
            <w:r>
              <w:t xml:space="preserve">Uniform-subset</w:t>
            </w:r>
            <w:r>
              <w:t xml:space="preserve"> </w:t>
            </w:r>
            <m:oMath>
              <m:r>
                <m:rPr>
                  <m:sty m:val="p"/>
                </m:rPr>
                <m:t>Pr</m:t>
              </m:r>
              <m:d>
                <m:dPr>
                  <m:begChr m:val="["/>
                  <m:endChr m:val="]"/>
                  <m:sepChr m:val=""/>
                  <m:grow/>
                </m:dPr>
                <m:e>
                  <m:r>
                    <m:t>D</m:t>
                  </m:r>
                  <m:r>
                    <m:rPr>
                      <m:sty m:val="p"/>
                    </m:rPr>
                    <m:t>=</m:t>
                  </m:r>
                  <m:r>
                    <m:t>1</m:t>
                  </m:r>
                </m:e>
              </m:d>
            </m:oMath>
            <w:r>
              <w:t xml:space="preserve"> </w:t>
            </w:r>
            <w:r>
              <w:t xml:space="preserve">upper bound</w:t>
            </w:r>
          </w:p>
        </w:tc>
        <w:tc>
          <w:tcPr/>
          <w:p>
            <w:pPr>
              <w:pStyle w:val="Compact"/>
              <w:jc w:val="right"/>
            </w:pPr>
            <w:r>
              <w:t xml:space="preserve">Certified advantage lower bound</w:t>
            </w:r>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0.5547368172</w:t>
            </w:r>
          </w:p>
        </w:tc>
        <w:tc>
          <w:tcPr/>
          <w:p>
            <w:pPr>
              <w:pStyle w:val="Compact"/>
              <w:jc w:val="right"/>
            </w:pPr>
            <w:r>
              <w:t xml:space="preserve">0.0069043849</w:t>
            </w:r>
          </w:p>
        </w:tc>
        <w:tc>
          <w:tcPr/>
          <w:p>
            <w:pPr>
              <w:pStyle w:val="Compact"/>
              <w:jc w:val="right"/>
            </w:pPr>
            <w:r>
              <w:t xml:space="preserve">0.5478324323</w:t>
            </w:r>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0.9470512035</w:t>
            </w:r>
          </w:p>
        </w:tc>
        <w:tc>
          <w:tcPr/>
          <w:p>
            <w:pPr>
              <w:pStyle w:val="Compact"/>
              <w:jc w:val="right"/>
            </w:pPr>
            <w:r>
              <w:t xml:space="preserve">0.0059101459</w:t>
            </w:r>
          </w:p>
        </w:tc>
        <w:tc>
          <w:tcPr/>
          <w:p>
            <w:pPr>
              <w:pStyle w:val="Compact"/>
              <w:jc w:val="right"/>
            </w:pPr>
            <w:r>
              <w:t xml:space="preserve">0.9411410576</w:t>
            </w:r>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0.9999123630</w:t>
            </w:r>
          </w:p>
        </w:tc>
        <w:tc>
          <w:tcPr/>
          <w:p>
            <w:pPr>
              <w:pStyle w:val="Compact"/>
              <w:jc w:val="right"/>
            </w:pPr>
            <w:r>
              <w:t xml:space="preserve">0.0026602674</w:t>
            </w:r>
          </w:p>
        </w:tc>
        <w:tc>
          <w:tcPr/>
          <w:p>
            <w:pPr>
              <w:pStyle w:val="Compact"/>
              <w:jc w:val="right"/>
            </w:pPr>
            <w:r>
              <w:t xml:space="preserve">0.9972520957</w:t>
            </w:r>
          </w:p>
        </w:tc>
      </w:tr>
    </w:tbl>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End w:id="29"/>
    <w:bookmarkStart w:id="31"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0"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0"/>
    <w:bookmarkEnd w:id="31"/>
    <w:bookmarkStart w:id="32"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2"/>
    <w:bookmarkStart w:id="33"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3"/>
    <w:bookmarkStart w:id="35"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4"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4"/>
    <w:bookmarkEnd w:id="35"/>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6"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6"/>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8"/>
    <w:bookmarkStart w:id="39"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8" w:name="Xe648b1b6ee4ad46cdea84b3f4a56d864d2eab7b"/>
    <w:p>
      <w:pPr>
        <w:pStyle w:val="Heading1"/>
      </w:pPr>
      <w:r>
        <w:t xml:space="preserve">12. Further structural cryptanalysis toward NCSG-only security</w:t>
      </w:r>
    </w:p>
    <w:bookmarkStart w:id="40"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0"/>
    <w:bookmarkStart w:id="41"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1"/>
    <w:bookmarkStart w:id="42"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2"/>
    <w:bookmarkStart w:id="43"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3"/>
    <w:bookmarkStart w:id="44"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4"/>
    <w:bookmarkStart w:id="45"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5"/>
    <w:bookmarkStart w:id="46"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6"/>
    <w:bookmarkStart w:id="47"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7"/>
    <w:bookmarkEnd w:id="48"/>
    <w:bookmarkStart w:id="49"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9"/>
    <w:bookmarkStart w:id="50"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0"/>
    <w:bookmarkStart w:id="51"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1"/>
    <w:bookmarkStart w:id="52"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2"/>
    <w:bookmarkStart w:id="5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2026-10-10T11:14:29Z</dcterms:created>
  <dcterms:modified xsi:type="dcterms:W3CDTF">2026-10-10T11:14:29Z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