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9"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7"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 `research-2028/attacks/ternary_affine_line_leakage.py` 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7"/>
    <w:bookmarkStart w:id="28" w:name="X90b9c1579a4ae0dd26b67a34a1de2d1e48ce262"/>
    <w:p>
      <w:pPr>
        <w:pStyle w:val="Heading2"/>
      </w:pPr>
      <w:r>
        <w:t xml:space="preserve">4.2 Round-4 theorem: exact finite public-fiber distinguisher from three parallel lines</w:t>
      </w:r>
    </w:p>
    <w:p>
      <w:pPr>
        <w:pStyle w:val="FirstParagraph"/>
      </w:pPr>
      <w:r>
        <w:t xml:space="preserve">The original 2026 manuscript proves exact balanced fibers and maximal entropy for the finite differences of a fixed direction. Neither property implies pseudorandom public fibers, and the preceding affine-line theorem left a stronger question unresolved: do independently sampled NCSG fibers satisfy a</w:t>
      </w:r>
      <w:r>
        <w:t xml:space="preserve"> </w:t>
      </w:r>
      <w:r>
        <w:rPr>
          <w:bCs/>
          <w:b/>
        </w:rPr>
        <w:t xml:space="preserve">public test with a large</w:t>
      </w:r>
      <w:r>
        <w:rPr>
          <w:bCs/>
          <w:b/>
        </w:rPr>
        <w:t xml:space="preserve"> </w:t>
      </w:r>
      <w:r>
        <w:rPr>
          <w:iCs/>
          <w:i/>
          <w:bCs/>
          <w:b/>
        </w:rPr>
        <w:t xml:space="preserve">provable finite-parameter</w:t>
      </w:r>
      <w:r>
        <w:rPr>
          <w:bCs/>
          <w:b/>
        </w:rPr>
        <w:t xml:space="preserve"> </w:t>
      </w:r>
      <w:r>
        <w:rPr>
          <w:bCs/>
          <w:b/>
        </w:rPr>
        <w:t xml:space="preserve">distinguishing gap</w:t>
      </w:r>
      <w:r>
        <w:t xml:space="preserve">, rather than just different expectations? The answer is yes. This statement is an attack on a</w:t>
      </w:r>
      <w:r>
        <w:t xml:space="preserve"> </w:t>
      </w:r>
      <w:r>
        <w:rPr>
          <w:bCs/>
          <w:b/>
        </w:rPr>
        <w:t xml:space="preserve">hypothetical pseudorandom-fiber claim</w:t>
      </w:r>
      <w:r>
        <w:t xml:space="preserve">; it is</w:t>
      </w:r>
      <w:r>
        <w:t xml:space="preserve"> </w:t>
      </w:r>
      <w:r>
        <w:rPr>
          <w:iCs/>
          <w:i/>
        </w:rPr>
        <w:t xml:space="preserve">not</w:t>
      </w:r>
      <w:r>
        <w:t xml:space="preserve"> </w:t>
      </w:r>
      <w:r>
        <w:t xml:space="preserve">an attack on the ciphertext of the archived dense-label KEM.</w:t>
      </w:r>
    </w:p>
    <w:p>
      <w:pPr>
        <w:pStyle w:val="BodyText"/>
      </w:pPr>
      <w:r>
        <w:t xml:space="preserve">Let</w:t>
      </w:r>
      <w:r>
        <w:t xml:space="preserve"> </w:t>
      </w:r>
      <m:oMath>
        <m:r>
          <m:t>S</m:t>
        </m:r>
        <m:r>
          <m:rPr>
            <m:sty m:val="p"/>
          </m:rPr>
          <m:t>=</m:t>
        </m:r>
        <m:sSup>
          <m:e>
            <m:r>
              <m:t>f</m:t>
            </m:r>
          </m:e>
          <m:sup>
            <m:r>
              <m:rPr>
                <m:sty m:val="p"/>
              </m:rPr>
              <m:t>−</m:t>
            </m:r>
            <m:r>
              <m:t>1</m:t>
            </m:r>
          </m:sup>
        </m:sSup>
        <m:d>
          <m:dPr>
            <m:begChr m:val="("/>
            <m:endChr m:val=")"/>
            <m:sepChr m:val=""/>
            <m:grow/>
          </m:dPr>
          <m:e>
            <m:r>
              <m:t>b</m:t>
            </m:r>
          </m:e>
        </m:d>
        <m:r>
          <m:rPr>
            <m:sty m:val="p"/>
          </m:rPr>
          <m:t>⊆</m:t>
        </m:r>
        <m:sSubSup>
          <m:e>
            <m:r>
              <m:rPr>
                <m:sty m:val="p"/>
                <m:scr m:val="double-struck"/>
              </m:rPr>
              <m:t>F</m:t>
            </m:r>
          </m:e>
          <m:sub>
            <m:r>
              <m:t>3</m:t>
            </m:r>
          </m:sub>
          <m:sup>
            <m:r>
              <m:t>k</m:t>
            </m:r>
          </m:sup>
        </m:sSubSup>
      </m:oMath>
      <w:r>
        <w:t xml:space="preserve"> </w:t>
      </w:r>
      <w:r>
        <w:t xml:space="preserve">with</w:t>
      </w:r>
      <w:r>
        <w:t xml:space="preserve"> </w:t>
      </w:r>
      <m:oMath>
        <m:r>
          <m:t>f</m:t>
        </m:r>
      </m:oMath>
      <w:r>
        <w:t xml:space="preserve">,</w:t>
      </w:r>
      <w:r>
        <w:t xml:space="preserve"> </w:t>
      </w:r>
      <m:oMath>
        <m:r>
          <m:t>A</m:t>
        </m:r>
      </m:oMath>
      <w:r>
        <w:t xml:space="preserve">,</w:t>
      </w:r>
      <w:r>
        <w:t xml:space="preserve"> </w:t>
      </w:r>
      <m:oMath>
        <m:r>
          <m:t>B</m:t>
        </m:r>
      </m:oMath>
      <w:r>
        <w:t xml:space="preserve">,</w:t>
      </w:r>
      <w:r>
        <w:t xml:space="preserve"> </w:t>
      </w:r>
      <m:oMath>
        <m:r>
          <m:t>a</m:t>
        </m:r>
      </m:oMath>
      <w:r>
        <w:t xml:space="preserve"> </w:t>
      </w:r>
      <w:r>
        <w:t xml:space="preserve">and uniform potential table</w:t>
      </w:r>
      <w:r>
        <w:t xml:space="preserve"> </w:t>
      </w:r>
      <m:oMath>
        <m:sSub>
          <m:e>
            <m:r>
              <m:t>Q</m:t>
            </m:r>
          </m:e>
          <m:sub>
            <m:r>
              <m:t>0</m:t>
            </m:r>
          </m:sub>
        </m:sSub>
      </m:oMath>
      <w:r>
        <w:t xml:space="preserve"> </w:t>
      </w:r>
      <w:r>
        <w:t xml:space="preserve">as in Section 4, and let</w:t>
      </w:r>
      <w:r>
        <w:t xml:space="preserve"> </w:t>
      </w:r>
      <m:oMath>
        <m:r>
          <m:t>r</m:t>
        </m:r>
        <m:r>
          <m:rPr>
            <m:sty m:val="p"/>
          </m:rPr>
          <m:t>=</m:t>
        </m:r>
        <m:r>
          <m:t>k</m:t>
        </m:r>
        <m:r>
          <m:rPr>
            <m:sty m:val="p"/>
          </m:rPr>
          <m:t>−</m:t>
        </m:r>
        <m:r>
          <m:t>d</m:t>
        </m:r>
      </m:oMath>
      <w:r>
        <w:t xml:space="preserve">. Let</w:t>
      </w:r>
      <w:r>
        <w:t xml:space="preserve"> </w:t>
      </w:r>
      <m:oMath>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w:t>
      </w:r>
      <w:r>
        <w:t xml:space="preserve">denote a uniformly chosen subset of</w:t>
      </w:r>
      <w:r>
        <w:t xml:space="preserve"> </w:t>
      </w:r>
      <m:oMath>
        <m:sSubSup>
          <m:e>
            <m:r>
              <m:rPr>
                <m:sty m:val="p"/>
                <m:scr m:val="double-struck"/>
              </m:rPr>
              <m:t>F</m:t>
            </m:r>
          </m:e>
          <m:sub>
            <m:r>
              <m:t>3</m:t>
            </m:r>
          </m:sub>
          <m:sup>
            <m:r>
              <m:t>k</m:t>
            </m:r>
          </m:sup>
        </m:sSubSup>
      </m:oMath>
      <w:r>
        <w:t xml:space="preserve"> </w:t>
      </w:r>
      <w:r>
        <w:t xml:space="preserve">of exactly</w:t>
      </w:r>
      <w:r>
        <w:t xml:space="preserve"> </w:t>
      </w:r>
      <m:oMath>
        <m:r>
          <m:t>s</m:t>
        </m:r>
        <m:r>
          <m:rPr>
            <m:sty m:val="p"/>
          </m:rPr>
          <m:t>=</m:t>
        </m:r>
        <m:sSup>
          <m:e>
            <m:r>
              <m:t>3</m:t>
            </m:r>
          </m:e>
          <m:sup>
            <m:r>
              <m:t>d</m:t>
            </m:r>
          </m:sup>
        </m:sSup>
      </m:oMath>
      <w:r>
        <w:t xml:space="preserve"> </w:t>
      </w:r>
      <w:r>
        <w:t xml:space="preserve">distinct elements. Define the deterministic, public-only test</w:t>
      </w:r>
      <w:r>
        <w:t xml:space="preserve"> </w:t>
      </w:r>
      <m:oMath>
        <m:r>
          <m:t>D</m:t>
        </m:r>
        <m:d>
          <m:dPr>
            <m:begChr m:val="("/>
            <m:endChr m:val=")"/>
            <m:sepChr m:val=""/>
            <m:grow/>
          </m:dPr>
          <m:e>
            <m:r>
              <m:t>S</m:t>
            </m:r>
          </m:e>
        </m:d>
      </m:oMath>
      <w:r>
        <w:t xml:space="preserve"> </w:t>
      </w:r>
      <w:r>
        <w:t xml:space="preserve">to return one if and only if</w:t>
      </w:r>
      <w:r>
        <w:t xml:space="preserve"> </w:t>
      </w:r>
      <w:r>
        <w:rPr>
          <w:bCs/>
          <w:b/>
        </w:rPr>
        <w:t xml:space="preserve">three distinct affine three-point lines in</w:t>
      </w:r>
      <w:r>
        <w:rPr>
          <w:bCs/>
          <w:b/>
        </w:rPr>
        <w:t xml:space="preserve"> </w:t>
      </w:r>
      <m:oMath>
        <m:r>
          <m:t>S</m:t>
        </m:r>
      </m:oMath>
      <w:r>
        <w:rPr>
          <w:bCs/>
          <w:b/>
        </w:rPr>
        <w:t xml:space="preserve"> </w:t>
      </w:r>
      <w:r>
        <w:rPr>
          <w:bCs/>
          <w:b/>
        </w:rPr>
        <w:t xml:space="preserve">are parallel</w:t>
      </w:r>
      <w:r>
        <w:t xml:space="preserve"> </w:t>
      </w:r>
      <w:r>
        <w:t xml:space="preserve">(have the same one-dimensional direction subspace). The test uses only the enumerated points</w:t>
      </w:r>
      <w:r>
        <w:t xml:space="preserve"> </w:t>
      </w:r>
      <m:oMath>
        <m:r>
          <m:t>S</m:t>
        </m:r>
      </m:oMath>
      <w:r>
        <w:t xml:space="preserve">, with no knowledge of</w:t>
      </w:r>
      <w:r>
        <w:t xml:space="preserve"> </w:t>
      </w:r>
      <m:oMath>
        <m:r>
          <m:t>A</m:t>
        </m:r>
        <m:r>
          <m:rPr>
            <m:sty m:val="p"/>
          </m:rPr>
          <m:t>,</m:t>
        </m:r>
        <m:r>
          <m:t>B</m:t>
        </m:r>
        <m:r>
          <m:rPr>
            <m:sty m:val="p"/>
          </m:rPr>
          <m:t>,</m:t>
        </m:r>
        <m:r>
          <m:t>a</m:t>
        </m:r>
        <m:r>
          <m:rPr>
            <m:sty m:val="p"/>
          </m:rPr>
          <m:t>,</m:t>
        </m:r>
        <m:sSub>
          <m:e>
            <m:r>
              <m:t>Q</m:t>
            </m:r>
          </m:e>
          <m:sub>
            <m:r>
              <m:t>0</m:t>
            </m:r>
          </m:sub>
        </m:sSub>
        <m:r>
          <m:rPr>
            <m:sty m:val="p"/>
          </m:rPr>
          <m:t>,</m:t>
        </m:r>
        <m:r>
          <m:t>b</m:t>
        </m:r>
      </m:oMath>
      <w:r>
        <w:t xml:space="preserve"> </w:t>
      </w:r>
      <w:r>
        <w:t xml:space="preserve">or any secret incidence.</w:t>
      </w:r>
    </w:p>
    <w:p>
      <w:pPr>
        <w:pStyle w:val="BodyText"/>
      </w:pPr>
      <w:r>
        <w:rPr>
          <w:bCs/>
          <w:b/>
        </w:rPr>
        <w:t xml:space="preserve">Lemma 4.3 (independent uniform hidden directions).</w:t>
      </w:r>
      <w:r>
        <w:t xml:space="preserve"> </w:t>
      </w:r>
      <w:r>
        <w:t xml:space="preserve">In the exact MaxEnt sampler, each of the</w:t>
      </w:r>
      <w:r>
        <w:t xml:space="preserve"> </w:t>
      </w:r>
      <m:oMath>
        <m:r>
          <m:t>L</m:t>
        </m:r>
        <m:r>
          <m:rPr>
            <m:sty m:val="p"/>
          </m:rPr>
          <m:t>=</m:t>
        </m:r>
        <m:sSup>
          <m:e>
            <m:r>
              <m:t>3</m:t>
            </m:r>
          </m:e>
          <m:sup>
            <m:r>
              <m:t>d</m:t>
            </m:r>
            <m:r>
              <m:rPr>
                <m:sty m:val="p"/>
              </m:rPr>
              <m:t>−</m:t>
            </m:r>
            <m:r>
              <m:t>1</m:t>
            </m:r>
          </m:sup>
        </m:sSup>
      </m:oMath>
      <w:r>
        <w:t xml:space="preserve"> </w:t>
      </w:r>
      <w:r>
        <w:t xml:space="preserve">guaranteed lines from Theorem 4.1 has direction</w:t>
      </w:r>
    </w:p>
    <w:p>
      <w:pPr>
        <w:pStyle w:val="BodyText"/>
      </w:pPr>
      <m:oMathPara>
        <m:oMathParaPr>
          <m:jc m:val="center"/>
        </m:oMathParaPr>
        <m:oMath>
          <m:sSub>
            <m:e>
              <m:r>
                <m:t>v</m:t>
              </m:r>
            </m:e>
            <m:sub>
              <m:r>
                <m:t>z</m:t>
              </m:r>
            </m:sub>
          </m:sSub>
          <m:r>
            <m:rPr>
              <m:sty m:val="p"/>
            </m:rPr>
            <m:t>=</m:t>
          </m:r>
          <m:sSup>
            <m:e>
              <m:r>
                <m:t>B</m:t>
              </m:r>
            </m:e>
            <m:sup>
              <m:r>
                <m:rPr>
                  <m:sty m:val="p"/>
                </m:rPr>
                <m:t>−</m:t>
              </m:r>
              <m:r>
                <m:t>1</m:t>
              </m:r>
            </m:sup>
          </m:sSup>
          <m:d>
            <m:dPr>
              <m:begChr m:val="("/>
              <m:endChr m:val=")"/>
              <m:sepChr m:val=""/>
              <m:grow/>
            </m:dPr>
            <m:e>
              <m:r>
                <m:rPr>
                  <m:sty m:val="p"/>
                </m:rPr>
                <m:t>−</m:t>
              </m:r>
              <m:sSup>
                <m:e>
                  <m:r>
                    <m:t>A</m:t>
                  </m:r>
                </m:e>
                <m:sup>
                  <m:r>
                    <m:rPr>
                      <m:sty m:val="p"/>
                    </m:rPr>
                    <m:t>−</m:t>
                  </m:r>
                  <m:r>
                    <m:t>1</m:t>
                  </m:r>
                </m:sup>
              </m:sSup>
              <m:sSub>
                <m:e>
                  <m:r>
                    <m:t>T</m:t>
                  </m:r>
                </m:e>
                <m:sub>
                  <m:r>
                    <m:t>z</m:t>
                  </m:r>
                </m:sub>
              </m:sSub>
              <m:r>
                <m:rPr>
                  <m:sty m:val="p"/>
                </m:rPr>
                <m:t>,</m:t>
              </m:r>
              <m:r>
                <m:t> </m:t>
              </m:r>
              <m:r>
                <m:t>a</m:t>
              </m:r>
            </m:e>
          </m:d>
          <m:r>
            <m:rPr>
              <m:sty m:val="p"/>
            </m:rPr>
            <m:t>,</m:t>
          </m:r>
          <m:r>
            <m:t>  </m:t>
          </m:r>
          <m:sSub>
            <m:e>
              <m:r>
                <m:t>T</m:t>
              </m:r>
            </m:e>
            <m:sub>
              <m:r>
                <m:t>z</m:t>
              </m:r>
            </m:sub>
          </m:sSub>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where</w:t>
      </w:r>
      <w:r>
        <w:t xml:space="preserve"> </w:t>
      </w:r>
      <m:oMath>
        <m:r>
          <m:t>z</m:t>
        </m:r>
      </m:oMath>
      <w:r>
        <w:t xml:space="preserve"> </w:t>
      </w:r>
      <w:r>
        <w:t xml:space="preserve">ranges over the distinct cosets of</w:t>
      </w:r>
      <w:r>
        <w:t xml:space="preserve"> </w:t>
      </w:r>
      <m:oMath>
        <m:r>
          <m:rPr>
            <m:sty m:val="p"/>
          </m:rPr>
          <m:t>⟨</m:t>
        </m:r>
        <m:r>
          <m:t>a</m:t>
        </m:r>
        <m:r>
          <m:rPr>
            <m:sty m:val="p"/>
          </m:rPr>
          <m:t>⟩</m:t>
        </m:r>
      </m:oMath>
      <w:r>
        <w:t xml:space="preserve"> </w:t>
      </w:r>
      <w:r>
        <w:t xml:space="preserve">in</w:t>
      </w:r>
      <w:r>
        <w:t xml:space="preserve"> </w:t>
      </w:r>
      <m:oMath>
        <m:sSubSup>
          <m:e>
            <m:r>
              <m:rPr>
                <m:sty m:val="p"/>
                <m:scr m:val="double-struck"/>
              </m:rPr>
              <m:t>F</m:t>
            </m:r>
          </m:e>
          <m:sub>
            <m:r>
              <m:t>3</m:t>
            </m:r>
          </m:sub>
          <m:sup>
            <m:r>
              <m:t>d</m:t>
            </m:r>
          </m:sup>
        </m:sSubSup>
      </m:oMath>
      <w:r>
        <w:t xml:space="preserve">. The</w:t>
      </w:r>
      <w:r>
        <w:t xml:space="preserve"> </w:t>
      </w:r>
      <m:oMath>
        <m:sSub>
          <m:e>
            <m:r>
              <m:t>T</m:t>
            </m:r>
          </m:e>
          <m:sub>
            <m:r>
              <m:t>z</m:t>
            </m:r>
          </m:sub>
        </m:sSub>
      </m:oMath>
      <w:r>
        <w:t xml:space="preserve"> </w:t>
      </w:r>
      <w:r>
        <w:t xml:space="preserve">are</w:t>
      </w:r>
      <w:r>
        <w:t xml:space="preserve"> </w:t>
      </w:r>
      <w:r>
        <w:rPr>
          <w:bCs/>
          <w:b/>
        </w:rPr>
        <w:t xml:space="preserve">independent uniform</w:t>
      </w:r>
      <w:r>
        <w:t xml:space="preserve"> </w:t>
      </w:r>
      <w:r>
        <w:t xml:space="preserve">vectors of</w:t>
      </w:r>
      <w:r>
        <w:t xml:space="preserve"> </w:t>
      </w:r>
      <m:oMath>
        <m:sSubSup>
          <m:e>
            <m:r>
              <m:rPr>
                <m:sty m:val="p"/>
                <m:scr m:val="double-struck"/>
              </m:rPr>
              <m:t>F</m:t>
            </m:r>
          </m:e>
          <m:sub>
            <m:r>
              <m:t>3</m:t>
            </m:r>
          </m:sub>
          <m:sup>
            <m:r>
              <m:t>r</m:t>
            </m:r>
          </m:sup>
        </m:sSubSup>
      </m:oMath>
      <w:r>
        <w:t xml:space="preserve">. Conditional on the sampled</w:t>
      </w:r>
      <w:r>
        <w:t xml:space="preserve"> </w:t>
      </w:r>
      <m:oMath>
        <m:r>
          <m:t>A</m:t>
        </m:r>
        <m:r>
          <m:rPr>
            <m:sty m:val="p"/>
          </m:rPr>
          <m:t>,</m:t>
        </m:r>
        <m:r>
          <m:t>B</m:t>
        </m:r>
        <m:r>
          <m:rPr>
            <m:sty m:val="p"/>
          </m:rPr>
          <m:t>,</m:t>
        </m:r>
        <m:r>
          <m:t>a</m:t>
        </m:r>
      </m:oMath>
      <w:r>
        <w:t xml:space="preserve">, the associated projective directions are independent uniform among exactly</w:t>
      </w:r>
      <w:r>
        <w:t xml:space="preserve"> </w:t>
      </w:r>
      <m:oMath>
        <m:sSub>
          <m:e>
            <m:r>
              <m:t>m</m:t>
            </m:r>
          </m:e>
          <m:sub>
            <m:r>
              <m:t>0</m:t>
            </m:r>
          </m:sub>
        </m:sSub>
        <m:r>
          <m:rPr>
            <m:sty m:val="p"/>
          </m:rPr>
          <m:t>=</m:t>
        </m:r>
        <m:sSup>
          <m:e>
            <m:r>
              <m:t>3</m:t>
            </m:r>
          </m:e>
          <m:sup>
            <m:r>
              <m:t>r</m:t>
            </m:r>
          </m:sup>
        </m:sSup>
      </m:oMath>
      <w:r>
        <w:t xml:space="preserve"> </w:t>
      </w:r>
      <w:r>
        <w:t xml:space="preserve">distinct directions, all represented in the affine coset</w:t>
      </w:r>
    </w:p>
    <w:p>
      <w:pPr>
        <w:pStyle w:val="BodyText"/>
      </w:pPr>
      <m:oMathPara>
        <m:oMathParaPr>
          <m:jc m:val="center"/>
        </m:oMathParaPr>
        <m:oMath>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r>
            <m:rPr>
              <m:sty m:val="p"/>
            </m:rPr>
            <m:t>⊆</m:t>
          </m:r>
          <m:sSubSup>
            <m:e>
              <m:r>
                <m:rPr>
                  <m:sty m:val="p"/>
                  <m:scr m:val="double-struck"/>
                </m:rPr>
                <m:t>F</m:t>
              </m:r>
            </m:e>
            <m:sub>
              <m:r>
                <m:t>3</m:t>
              </m:r>
            </m:sub>
            <m:sup>
              <m:r>
                <m:t>k</m:t>
              </m:r>
            </m:sup>
          </m:sSubSup>
          <m:r>
            <m:rPr>
              <m:sty m:val="p"/>
            </m:rPr>
            <m:t>.</m:t>
          </m:r>
        </m:oMath>
      </m:oMathPara>
    </w:p>
    <w:p>
      <w:pPr>
        <w:pStyle w:val="FirstParagraph"/>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 increment from the first point of an</w:t>
      </w:r>
      <w:r>
        <w:t xml:space="preserve"> </w:t>
      </w:r>
      <m:oMath>
        <m:r>
          <m:t>a</m:t>
        </m:r>
      </m:oMath>
      <w:r>
        <w:t xml:space="preserve">-line to the second has left-block value</w:t>
      </w:r>
      <w:r>
        <w:t xml:space="preserve"> </w:t>
      </w:r>
      <m:oMath>
        <m:r>
          <m:rPr>
            <m:sty m:val="p"/>
          </m:rPr>
          <m:t>−</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oMath>
      <w:r>
        <w:t xml:space="preserve">. In characteristic three,</w:t>
      </w:r>
    </w:p>
    <w:p>
      <w:pPr>
        <w:pStyle w:val="BodyText"/>
      </w:pPr>
      <m:oMathPara>
        <m:oMathParaPr>
          <m:jc m:val="center"/>
        </m:oMathParaPr>
        <m:oMath>
          <m:r>
            <m:t>g</m:t>
          </m:r>
          <m:d>
            <m:dPr>
              <m:begChr m:val="("/>
              <m:endChr m:val=")"/>
              <m:sepChr m:val=""/>
              <m:grow/>
            </m:dPr>
            <m:e>
              <m:r>
                <m:t>z</m:t>
              </m:r>
              <m:r>
                <m:rPr>
                  <m:sty m:val="p"/>
                </m:rPr>
                <m:t>+</m:t>
              </m:r>
              <m:r>
                <m:t>a</m:t>
              </m:r>
            </m:e>
          </m:d>
          <m:r>
            <m:rPr>
              <m:sty m:val="p"/>
            </m:rPr>
            <m:t>−</m:t>
          </m:r>
          <m:r>
            <m:t>g</m:t>
          </m:r>
          <m:d>
            <m:dPr>
              <m:begChr m:val="("/>
              <m:endChr m:val=")"/>
              <m:sepChr m:val=""/>
              <m:grow/>
            </m:dPr>
            <m:e>
              <m:r>
                <m:t>z</m:t>
              </m:r>
            </m:e>
          </m:d>
          <m:r>
            <m:rPr>
              <m:sty m:val="p"/>
            </m:rPr>
            <m:t>=</m:t>
          </m:r>
          <m:sSub>
            <m:e>
              <m:r>
                <m:t>Q</m:t>
              </m:r>
            </m:e>
            <m:sub>
              <m:r>
                <m:t>0</m:t>
              </m:r>
            </m:sub>
          </m:sSub>
          <m:d>
            <m:dPr>
              <m:begChr m:val="("/>
              <m:endChr m:val=")"/>
              <m:sepChr m:val=""/>
              <m:grow/>
            </m:dPr>
            <m:e>
              <m:r>
                <m:t>z</m:t>
              </m:r>
              <m:r>
                <m:rPr>
                  <m:sty m:val="p"/>
                </m:rPr>
                <m:t>+</m:t>
              </m:r>
              <m:r>
                <m:t>2</m:t>
              </m:r>
              <m:r>
                <m:t>a</m:t>
              </m:r>
            </m:e>
          </m:d>
          <m:r>
            <m:rPr>
              <m:sty m:val="p"/>
            </m:rPr>
            <m:t>−</m:t>
          </m:r>
          <m:r>
            <m:t>2</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Distinct</w:t>
      </w:r>
      <w:r>
        <w:t xml:space="preserve"> </w:t>
      </w:r>
      <m:oMath>
        <m:r>
          <m:t>a</m:t>
        </m:r>
      </m:oMath>
      <w:r>
        <w:t xml:space="preserve">-orbits involve disjoint entries of the uniformly sampled potential table, so their independent sums are uniform in</w:t>
      </w:r>
      <w:r>
        <w:t xml:space="preserve"> </w:t>
      </w:r>
      <m:oMath>
        <m:sSubSup>
          <m:e>
            <m:r>
              <m:rPr>
                <m:sty m:val="p"/>
                <m:scr m:val="double-struck"/>
              </m:rPr>
              <m:t>F</m:t>
            </m:r>
          </m:e>
          <m:sub>
            <m:r>
              <m:t>3</m:t>
            </m:r>
          </m:sub>
          <m:sup>
            <m:r>
              <m:t>r</m:t>
            </m:r>
          </m:sup>
        </m:sSubSup>
      </m:oMath>
      <w:r>
        <w:t xml:space="preserve">. Applying an invertible linear map preserves uniformity and independence. Different vectors in the displayed affine coset cannot represent the</w:t>
      </w:r>
      <w:r>
        <w:t xml:space="preserve"> </w:t>
      </w:r>
      <w:r>
        <w:rPr>
          <w:iCs/>
          <w:i/>
        </w:rPr>
        <w:t xml:space="preserve">same</w:t>
      </w:r>
      <w:r>
        <w:t xml:space="preserve"> </w:t>
      </w:r>
      <w:r>
        <w:t xml:space="preserve">projective direction: a proportionality scalar over</w:t>
      </w:r>
      <w:r>
        <w:t xml:space="preserve"> </w:t>
      </w:r>
      <m:oMath>
        <m:sSub>
          <m:e>
            <m:r>
              <m:rPr>
                <m:sty m:val="p"/>
                <m:scr m:val="double-struck"/>
              </m:rPr>
              <m:t>F</m:t>
            </m:r>
          </m:e>
          <m:sub>
            <m:r>
              <m:t>3</m:t>
            </m:r>
          </m:sub>
        </m:sSub>
      </m:oMath>
      <w:r>
        <w:t xml:space="preserve"> </w:t>
      </w:r>
      <w:r>
        <w:t xml:space="preserve">must preserve the fixed, nonzero right coordinate</w:t>
      </w:r>
      <w:r>
        <w:t xml:space="preserve"> </w:t>
      </w:r>
      <m:oMath>
        <m:r>
          <m:t>a</m:t>
        </m:r>
      </m:oMath>
      <w:r>
        <w:t xml:space="preserve">, hence equals one. Thus precisely</w:t>
      </w:r>
      <w:r>
        <w:t xml:space="preserve"> </w:t>
      </w:r>
      <m:oMath>
        <m:sSup>
          <m:e>
            <m:r>
              <m:t>3</m:t>
            </m:r>
          </m:e>
          <m:sup>
            <m:r>
              <m:t>r</m:t>
            </m:r>
          </m:sup>
        </m:sSup>
      </m:oMath>
      <w:r>
        <w:t xml:space="preserve"> </w:t>
      </w:r>
      <w:r>
        <w:t xml:space="preserve">direction possibilities exist.</w:t>
      </w:r>
      <w:r>
        <w:t xml:space="preserve"> </w:t>
      </w:r>
      <m:oMath>
        <m:r>
          <m:rPr>
            <m:sty m:val="p"/>
          </m:rPr>
          <m:t>▫</m:t>
        </m:r>
      </m:oMath>
    </w:p>
    <w:p>
      <w:pPr>
        <w:pStyle w:val="BodyText"/>
      </w:pPr>
      <w:r>
        <w:rPr>
          <w:bCs/>
          <w:b/>
        </w:rPr>
        <w:t xml:space="preserve">Theorem 4.4 (exact finite-statistical distinguishing bounds).</w:t>
      </w:r>
      <w:r>
        <w:t xml:space="preserve"> </w:t>
      </w:r>
      <w:r>
        <w:t xml:space="preserve">Let</w:t>
      </w:r>
      <w:r>
        <w:t xml:space="preserve"> </w:t>
      </w:r>
      <m:oMath>
        <m:sSub>
          <m:e>
            <m:r>
              <m:t>P</m:t>
            </m:r>
          </m:e>
          <m:sub>
            <m:r>
              <m:t>1</m:t>
            </m:r>
          </m:sub>
        </m:sSub>
        <m:r>
          <m:rPr>
            <m:sty m:val="p"/>
          </m:rPr>
          <m:t>=</m:t>
        </m:r>
        <m:r>
          <m:rPr>
            <m:sty m:val="p"/>
          </m:rPr>
          <m:t>Pr</m:t>
        </m:r>
        <m:d>
          <m:dPr>
            <m:begChr m:val="["/>
            <m:endChr m:val="]"/>
            <m:sepChr m:val=""/>
            <m:grow/>
          </m:dPr>
          <m:e>
            <m:r>
              <m:t>D</m:t>
            </m:r>
            <m:d>
              <m:dPr>
                <m:begChr m:val="("/>
                <m:endChr m:val=")"/>
                <m:sepChr m:val=""/>
                <m:grow/>
              </m:dPr>
              <m:e>
                <m:r>
                  <m:t>S</m:t>
                </m:r>
              </m:e>
            </m:d>
            <m:r>
              <m:rPr>
                <m:sty m:val="p"/>
              </m:rPr>
              <m:t>=</m:t>
            </m:r>
            <m:r>
              <m:t>1</m:t>
            </m:r>
          </m:e>
        </m:d>
      </m:oMath>
      <w:r>
        <w:t xml:space="preserve"> </w:t>
      </w:r>
      <w:r>
        <w:t xml:space="preserve">for an NCSG MaxEnt fiber and</w:t>
      </w:r>
      <w:r>
        <w:t xml:space="preserve"> </w:t>
      </w:r>
      <m:oMath>
        <m:sSub>
          <m:e>
            <m:r>
              <m:t>P</m:t>
            </m:r>
          </m:e>
          <m:sub>
            <m:r>
              <m:t>0</m:t>
            </m:r>
          </m:sub>
        </m:sSub>
        <m:r>
          <m:rPr>
            <m:sty m:val="p"/>
          </m:rPr>
          <m:t>=</m:t>
        </m:r>
        <m:r>
          <m:rPr>
            <m:sty m:val="p"/>
          </m:rPr>
          <m:t>Pr</m:t>
        </m:r>
        <m:d>
          <m:dPr>
            <m:begChr m:val="["/>
            <m:endChr m:val="]"/>
            <m:sepChr m:val=""/>
            <m:grow/>
          </m:dPr>
          <m:e>
            <m:r>
              <m:t>D</m:t>
            </m:r>
            <m:d>
              <m:dPr>
                <m:begChr m:val="("/>
                <m:endChr m:val=")"/>
                <m:sepChr m:val=""/>
                <m:grow/>
              </m:dPr>
              <m:e>
                <m:r>
                  <m:t>U</m:t>
                </m:r>
              </m:e>
            </m:d>
            <m:r>
              <m:rPr>
                <m:sty m:val="p"/>
              </m:rPr>
              <m:t>=</m:t>
            </m:r>
            <m:r>
              <m:t>1</m:t>
            </m:r>
          </m:e>
        </m:d>
      </m:oMath>
      <w:r>
        <w:t xml:space="preserve"> </w:t>
      </w:r>
      <w:r>
        <w:t xml:space="preserve">for</w:t>
      </w:r>
      <w:r>
        <w:t xml:space="preserve"> </w:t>
      </w:r>
      <m:oMath>
        <m:r>
          <m:t>U</m:t>
        </m:r>
        <m:r>
          <m:rPr>
            <m:sty m:val="p"/>
          </m:rPr>
          <m:t>←</m:t>
        </m:r>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Set</w:t>
      </w:r>
      <w:r>
        <w:t xml:space="preserve"> </w:t>
      </w:r>
      <m:oMath>
        <m:r>
          <m:t>L</m:t>
        </m:r>
        <m:r>
          <m:rPr>
            <m:sty m:val="p"/>
          </m:rPr>
          <m:t>=</m:t>
        </m:r>
        <m:sSup>
          <m:e>
            <m:r>
              <m:t>3</m:t>
            </m:r>
          </m:e>
          <m:sup>
            <m:r>
              <m:t>d</m:t>
            </m:r>
            <m:r>
              <m:rPr>
                <m:sty m:val="p"/>
              </m:rPr>
              <m:t>−</m:t>
            </m:r>
            <m:r>
              <m:t>1</m:t>
            </m:r>
          </m:sup>
        </m:sSup>
      </m:oMath>
      <w:r>
        <w:t xml:space="preserve">,</w:t>
      </w:r>
      <w:r>
        <w:t xml:space="preserve"> </w:t>
      </w:r>
      <m:oMath>
        <m:sSub>
          <m:e>
            <m:r>
              <m:t>m</m:t>
            </m:r>
          </m:e>
          <m:sub>
            <m:r>
              <m:t>0</m:t>
            </m:r>
          </m:sub>
        </m:sSub>
        <m:r>
          <m:rPr>
            <m:sty m:val="p"/>
          </m:rPr>
          <m:t>=</m:t>
        </m:r>
        <m:sSup>
          <m:e>
            <m:r>
              <m:t>3</m:t>
            </m:r>
          </m:e>
          <m:sup>
            <m:r>
              <m:t>r</m:t>
            </m:r>
          </m:sup>
        </m:sSup>
      </m:oMath>
      <w:r>
        <w:t xml:space="preserve">,</w:t>
      </w:r>
      <w:r>
        <w:t xml:space="preserve"> </w:t>
      </w:r>
      <m:oMath>
        <m:r>
          <m:t>n</m:t>
        </m:r>
        <m:r>
          <m:rPr>
            <m:sty m:val="p"/>
          </m:rPr>
          <m:t>=</m:t>
        </m:r>
        <m:sSup>
          <m:e>
            <m:r>
              <m:t>3</m:t>
            </m:r>
          </m:e>
          <m:sup>
            <m:r>
              <m:t>k</m:t>
            </m:r>
          </m:sup>
        </m:sSup>
      </m:oMath>
      <w:r>
        <w:t xml:space="preserve">,</w:t>
      </w:r>
      <w:r>
        <w:t xml:space="preserve"> </w:t>
      </w:r>
      <m:oMath>
        <m:r>
          <m:t>s</m:t>
        </m:r>
        <m:r>
          <m:rPr>
            <m:sty m:val="p"/>
          </m:rPr>
          <m:t>=</m:t>
        </m:r>
        <m:sSup>
          <m:e>
            <m:r>
              <m:t>3</m:t>
            </m:r>
          </m:e>
          <m:sup>
            <m:r>
              <m:t>d</m:t>
            </m:r>
          </m:sup>
        </m:sSup>
      </m:oMath>
      <w:r>
        <w:t xml:space="preserve">, and for each integer</w:t>
      </w:r>
      <w:r>
        <w:t xml:space="preserve"> </w:t>
      </w:r>
      <m:oMath>
        <m:r>
          <m:t>j</m:t>
        </m:r>
      </m:oMath>
      <w:r>
        <w:t xml:space="preserve"> </w:t>
      </w:r>
      <w:r>
        <w:t xml:space="preserve">put</w:t>
      </w:r>
      <w:r>
        <w:t xml:space="preserve"> </w:t>
      </w:r>
      <m:oMath>
        <m:sSub>
          <m:e>
            <m:r>
              <m:t>a</m:t>
            </m:r>
          </m:e>
          <m:sub>
            <m:r>
              <m:t>j</m:t>
            </m:r>
          </m:sub>
        </m:sSub>
        <m:r>
          <m:rPr>
            <m:sty m:val="p"/>
          </m:rPr>
          <m:t>=</m:t>
        </m:r>
        <m:r>
          <m:t>L</m:t>
        </m:r>
        <m:r>
          <m:rPr>
            <m:sty m:val="p"/>
          </m:rPr>
          <m:t>−</m:t>
        </m:r>
        <m:r>
          <m:t>2</m:t>
        </m:r>
        <m:r>
          <m:t>j</m:t>
        </m:r>
      </m:oMath>
      <w:r>
        <w:t xml:space="preserve"> </w:t>
      </w:r>
      <w:r>
        <w:t xml:space="preserve">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Then</w:t>
      </w:r>
    </w:p>
    <w:p>
      <w:pPr>
        <w:pStyle w:val="BodyText"/>
      </w:pPr>
      <m:oMathPara>
        <m:oMathParaPr>
          <m:jc m:val="center"/>
        </m:oMathParaPr>
        <m:oMath>
          <m:sSub>
            <m:e>
              <m:r>
                <m:t>P</m:t>
              </m:r>
            </m:e>
            <m:sub>
              <m:r>
                <m:t>1</m:t>
              </m:r>
            </m:sub>
          </m:sSub>
          <m:r>
            <m:t> </m:t>
          </m:r>
          <m:r>
            <m:rPr>
              <m:sty m:val="p"/>
            </m:rPr>
            <m:t>≥</m:t>
          </m:r>
          <m:r>
            <m:t> </m:t>
          </m:r>
          <m:r>
            <m:t>1</m:t>
          </m:r>
          <m:r>
            <m:rPr>
              <m:sty m:val="p"/>
            </m:rPr>
            <m:t>−</m:t>
          </m:r>
          <m:f>
            <m:fPr>
              <m:type m:val="bar"/>
            </m:fPr>
            <m:num>
              <m:r>
                <m:t>1</m:t>
              </m:r>
            </m:num>
            <m:den>
              <m:sSubSup>
                <m:e>
                  <m:r>
                    <m:t>m</m:t>
                  </m:r>
                </m:e>
                <m:sub>
                  <m:r>
                    <m:t>0</m:t>
                  </m:r>
                </m:sub>
                <m:sup>
                  <m:r>
                    <m:t>L</m:t>
                  </m:r>
                </m:sup>
              </m:sSubSup>
            </m:den>
          </m:f>
          <m:nary>
            <m:naryPr>
              <m:chr m:val="∑"/>
              <m:limLoc m:val="undOvr"/>
              <m:subHide m:val="off"/>
              <m:supHide m:val="on"/>
            </m:naryPr>
            <m:sub>
              <m:m>
                <m:mPr>
                  <m:baseJc m:val="center"/>
                  <m:plcHide m:val="on"/>
                  <m:mcs>
                    <m:mc>
                      <m:mcPr>
                        <m:mcJc m:val="center"/>
                        <m:count m:val="1"/>
                      </m:mcPr>
                    </m:mc>
                  </m:mcs>
                </m:mPr>
                <m:mr>
                  <m:e>
                    <m:r>
                      <m:t>0</m:t>
                    </m:r>
                    <m:r>
                      <m:rPr>
                        <m:sty m:val="p"/>
                      </m:rPr>
                      <m:t>≤</m:t>
                    </m:r>
                    <m:r>
                      <m:t>j</m:t>
                    </m:r>
                    <m:r>
                      <m:rPr>
                        <m:sty m:val="p"/>
                      </m:rPr>
                      <m:t>≤</m:t>
                    </m:r>
                    <m:r>
                      <m:rPr>
                        <m:sty m:val="p"/>
                      </m:rPr>
                      <m:t>⌊</m:t>
                    </m:r>
                    <m:r>
                      <m:t>L</m:t>
                    </m:r>
                    <m:r>
                      <m:rPr>
                        <m:sty m:val="p"/>
                      </m:rPr>
                      <m:t>/</m:t>
                    </m:r>
                    <m:r>
                      <m:t>2</m:t>
                    </m:r>
                    <m:r>
                      <m:rPr>
                        <m:sty m:val="p"/>
                      </m:rPr>
                      <m:t>⌋</m:t>
                    </m:r>
                  </m:e>
                </m:mr>
                <m:mr>
                  <m:e>
                    <m:sSub>
                      <m:e>
                        <m:r>
                          <m:t>c</m:t>
                        </m:r>
                      </m:e>
                      <m:sub>
                        <m:r>
                          <m:t>j</m:t>
                        </m:r>
                      </m:sub>
                    </m:sSub>
                    <m:r>
                      <m:rPr>
                        <m:sty m:val="p"/>
                      </m:rPr>
                      <m:t>≥</m:t>
                    </m:r>
                    <m:r>
                      <m:t>0</m:t>
                    </m:r>
                  </m:e>
                </m:mr>
              </m:m>
            </m:sub>
            <m:sup>
              <m:r>
                <m:t>​</m:t>
              </m:r>
            </m:sup>
            <m:e>
              <m:f>
                <m:fPr>
                  <m:type m:val="bar"/>
                </m:fPr>
                <m:num>
                  <m:sSub>
                    <m:e>
                      <m:r>
                        <m:t>m</m:t>
                      </m:r>
                    </m:e>
                    <m:sub>
                      <m:r>
                        <m:t>0</m:t>
                      </m:r>
                    </m:sub>
                  </m:sSub>
                  <m:r>
                    <m:rPr>
                      <m:sty m:val="p"/>
                    </m:rPr>
                    <m:t>!</m:t>
                  </m:r>
                  <m:r>
                    <m:t> </m:t>
                  </m:r>
                  <m:r>
                    <m:t>L</m:t>
                  </m:r>
                  <m:r>
                    <m:rPr>
                      <m:sty m:val="p"/>
                    </m:rPr>
                    <m:t>!</m:t>
                  </m:r>
                </m:num>
                <m:den>
                  <m:sSub>
                    <m:e>
                      <m:r>
                        <m:t>a</m:t>
                      </m:r>
                    </m:e>
                    <m:sub>
                      <m:r>
                        <m:t>j</m:t>
                      </m:r>
                    </m:sub>
                  </m:sSub>
                  <m:r>
                    <m:rPr>
                      <m:sty m:val="p"/>
                    </m:rPr>
                    <m:t>!</m:t>
                  </m:r>
                  <m:r>
                    <m:t> </m:t>
                  </m:r>
                  <m:r>
                    <m:t>j</m:t>
                  </m:r>
                  <m:r>
                    <m:rPr>
                      <m:sty m:val="p"/>
                    </m:rPr>
                    <m:t>!</m:t>
                  </m:r>
                  <m:r>
                    <m:t> </m:t>
                  </m:r>
                  <m:sSub>
                    <m:e>
                      <m:r>
                        <m:t>c</m:t>
                      </m:r>
                    </m:e>
                    <m:sub>
                      <m:r>
                        <m:t>j</m:t>
                      </m:r>
                    </m:sub>
                  </m:sSub>
                  <m:r>
                    <m:rPr>
                      <m:sty m:val="p"/>
                    </m:rPr>
                    <m:t>!</m:t>
                  </m:r>
                  <m:r>
                    <m:t> </m:t>
                  </m:r>
                  <m:sSup>
                    <m:e>
                      <m:r>
                        <m:t>2</m:t>
                      </m:r>
                    </m:e>
                    <m:sup>
                      <m:r>
                        <m:t>j</m:t>
                      </m:r>
                    </m:sup>
                  </m:sSup>
                </m:den>
              </m:f>
            </m:e>
          </m:nary>
          <m:r>
            <m:rPr>
              <m:sty m:val="p"/>
            </m:rPr>
            <m:t>,</m:t>
          </m:r>
        </m:oMath>
      </m:oMathPara>
    </w:p>
    <w:p>
      <w:pPr>
        <w:pStyle w:val="FirstParagraph"/>
      </w:pPr>
      <w:r>
        <w:t xml:space="preserve">and independently</w:t>
      </w:r>
    </w:p>
    <w:p>
      <w:pPr>
        <w:pStyle w:val="BodyText"/>
      </w:pPr>
      <m:oMathPara>
        <m:oMathParaPr>
          <m:jc m:val="center"/>
        </m:oMathParaPr>
        <m:oMath>
          <m:sSub>
            <m:e>
              <m:r>
                <m:t>P</m:t>
              </m:r>
            </m:e>
            <m:sub>
              <m:r>
                <m:t>0</m:t>
              </m:r>
            </m:sub>
          </m:sSub>
          <m:r>
            <m:t> </m:t>
          </m:r>
          <m:r>
            <m:rPr>
              <m:sty m:val="p"/>
            </m:rPr>
            <m:t>≤</m:t>
          </m:r>
          <m:r>
            <m:t> </m:t>
          </m:r>
          <m:f>
            <m:fPr>
              <m:type m:val="bar"/>
            </m:fPr>
            <m:num>
              <m:r>
                <m:t>n</m:t>
              </m:r>
              <m:r>
                <m:rPr>
                  <m:sty m:val="p"/>
                </m:rPr>
                <m:t>−</m:t>
              </m:r>
              <m:r>
                <m:t>1</m:t>
              </m:r>
            </m:num>
            <m:den>
              <m:r>
                <m:t>2</m:t>
              </m:r>
            </m:den>
          </m:f>
          <m:d>
            <m:dPr>
              <m:begChr m:val="("/>
              <m:endChr m:val=")"/>
              <m:sepChr m:val=""/>
              <m:grow/>
            </m:dPr>
            <m:e>
              <m:f>
                <m:fPr>
                  <m:type m:val="noBar"/>
                </m:fPr>
                <m:num>
                  <m:r>
                    <m:t>n</m:t>
                  </m:r>
                  <m:r>
                    <m:rPr>
                      <m:sty m:val="p"/>
                    </m:rPr>
                    <m:t>/</m:t>
                  </m:r>
                  <m:r>
                    <m:t>3</m:t>
                  </m:r>
                </m:num>
                <m:den>
                  <m:r>
                    <m:t>3</m:t>
                  </m:r>
                </m:den>
              </m:f>
            </m:e>
          </m:d>
          <m:f>
            <m:fPr>
              <m:type m:val="bar"/>
            </m:fPr>
            <m:num>
              <m:sSub>
                <m:e>
                  <m:d>
                    <m:dPr>
                      <m:begChr m:val="("/>
                      <m:endChr m:val=")"/>
                      <m:sepChr m:val=""/>
                      <m:grow/>
                    </m:dPr>
                    <m:e>
                      <m:r>
                        <m:t>s</m:t>
                      </m:r>
                    </m:e>
                  </m:d>
                </m:e>
                <m:sub>
                  <m:r>
                    <m:t>9</m:t>
                  </m:r>
                </m:sub>
              </m:sSub>
            </m:num>
            <m:den>
              <m:sSub>
                <m:e>
                  <m:d>
                    <m:dPr>
                      <m:begChr m:val="("/>
                      <m:endChr m:val=")"/>
                      <m:sepChr m:val=""/>
                      <m:grow/>
                    </m:dPr>
                    <m:e>
                      <m:r>
                        <m:t>n</m:t>
                      </m:r>
                    </m:e>
                  </m:d>
                </m:e>
                <m:sub>
                  <m:r>
                    <m:t>9</m:t>
                  </m:r>
                </m:sub>
              </m:sSub>
            </m:den>
          </m:f>
          <m:r>
            <m:rPr>
              <m:sty m:val="p"/>
            </m:rPr>
            <m:t>,</m:t>
          </m:r>
          <m:r>
            <m:t>  </m:t>
          </m:r>
          <m:sSub>
            <m:e>
              <m:d>
                <m:dPr>
                  <m:begChr m:val="("/>
                  <m:endChr m:val=")"/>
                  <m:sepChr m:val=""/>
                  <m:grow/>
                </m:dPr>
                <m:e>
                  <m:r>
                    <m:t>x</m:t>
                  </m:r>
                </m:e>
              </m:d>
            </m:e>
            <m:sub>
              <m:r>
                <m:t>t</m:t>
              </m:r>
            </m:sub>
          </m:sSub>
          <m:r>
            <m:rPr>
              <m:sty m:val="p"/>
            </m:rPr>
            <m:t>=</m:t>
          </m:r>
          <m:r>
            <m:t>x</m:t>
          </m:r>
          <m:d>
            <m:dPr>
              <m:begChr m:val="("/>
              <m:endChr m:val=")"/>
              <m:sepChr m:val=""/>
              <m:grow/>
            </m:dPr>
            <m:e>
              <m:r>
                <m:t>x</m:t>
              </m:r>
              <m:r>
                <m:rPr>
                  <m:sty m:val="p"/>
                </m:rPr>
                <m:t>−</m:t>
              </m:r>
              <m:r>
                <m:t>1</m:t>
              </m:r>
            </m:e>
          </m:d>
          <m:r>
            <m:rPr>
              <m:sty m:val="p"/>
            </m:rPr>
            <m:t>⋯</m:t>
          </m:r>
          <m:d>
            <m:dPr>
              <m:begChr m:val="("/>
              <m:endChr m:val=")"/>
              <m:sepChr m:val=""/>
              <m:grow/>
            </m:dPr>
            <m:e>
              <m:r>
                <m:t>x</m:t>
              </m:r>
              <m:r>
                <m:rPr>
                  <m:sty m:val="p"/>
                </m:rPr>
                <m:t>−</m:t>
              </m:r>
              <m:r>
                <m:t>t</m:t>
              </m:r>
              <m:r>
                <m:rPr>
                  <m:sty m:val="p"/>
                </m:rPr>
                <m:t>+</m:t>
              </m:r>
              <m:r>
                <m:t>1</m:t>
              </m:r>
            </m:e>
          </m:d>
          <m:r>
            <m:rPr>
              <m:sty m:val="p"/>
            </m:rPr>
            <m:t>.</m:t>
          </m:r>
        </m:oMath>
      </m:oMathPara>
    </w:p>
    <w:p>
      <w:pPr>
        <w:pStyle w:val="FirstParagraph"/>
      </w:pPr>
      <w:r>
        <w:t xml:space="preserve">Consequently</w:t>
      </w:r>
      <w:r>
        <w:t xml:space="preserve"> </w:t>
      </w:r>
      <m:oMath>
        <m:r>
          <m:t>D</m:t>
        </m:r>
      </m:oMath>
      <w:r>
        <w:t xml:space="preserve"> </w:t>
      </w:r>
      <w:r>
        <w:t xml:space="preserve">is a classical, efficiently computed</w:t>
      </w:r>
      <w:r>
        <w:t xml:space="preserve"> </w:t>
      </w:r>
      <w:r>
        <w:rPr>
          <w:bCs/>
          <w:b/>
        </w:rPr>
        <w:t xml:space="preserve">single-fiber statistical distinguisher</w:t>
      </w:r>
      <w:r>
        <w:t xml:space="preserve"> </w:t>
      </w:r>
      <w:r>
        <w:t xml:space="preserve">with advantage</w:t>
      </w:r>
      <w:r>
        <w:t xml:space="preserve"> </w:t>
      </w:r>
      <m:oMath>
        <m:d>
          <m:dPr>
            <m:begChr m:val="|"/>
            <m:endChr m:val="|"/>
            <m:sepChr m:val=""/>
            <m:grow/>
          </m:dPr>
          <m:e>
            <m:sSub>
              <m:e>
                <m:r>
                  <m:t>P</m:t>
                </m:r>
              </m:e>
              <m:sub>
                <m:r>
                  <m:t>1</m:t>
                </m:r>
              </m:sub>
            </m:sSub>
            <m:r>
              <m:rPr>
                <m:sty m:val="p"/>
              </m:rPr>
              <m:t>−</m:t>
            </m:r>
            <m:sSub>
              <m:e>
                <m:r>
                  <m:t>P</m:t>
                </m:r>
              </m:e>
              <m:sub>
                <m:r>
                  <m:t>0</m:t>
                </m:r>
              </m:sub>
            </m:sSub>
          </m:e>
        </m:d>
      </m:oMath>
      <w:r>
        <w:t xml:space="preserve"> </w:t>
      </w:r>
      <w:r>
        <w:t xml:space="preserve">at least the difference of the two displayed bounds whenever positive. The test runs in</w:t>
      </w:r>
      <w:r>
        <w:t xml:space="preserve"> </w:t>
      </w:r>
      <m:oMath>
        <m:r>
          <m:t>O</m:t>
        </m:r>
        <m:d>
          <m:dPr>
            <m:begChr m:val="("/>
            <m:endChr m:val=")"/>
            <m:sepChr m:val=""/>
            <m:grow/>
          </m:dPr>
          <m:e>
            <m:r>
              <m:t>k</m:t>
            </m:r>
            <m:sSup>
              <m:e>
                <m:r>
                  <m:t>s</m:t>
                </m:r>
              </m:e>
              <m:sup>
                <m:r>
                  <m:t>2</m:t>
                </m:r>
              </m:sup>
            </m:sSup>
          </m:e>
        </m:d>
      </m:oMath>
      <w:r>
        <w:t xml:space="preserve"> </w:t>
      </w:r>
      <w:r>
        <w:t xml:space="preserve">field operations using point hashing and normalized projective directions.</w:t>
      </w:r>
    </w:p>
    <w:p>
      <w:pPr>
        <w:pStyle w:val="BodyText"/>
      </w:pPr>
      <w:r>
        <w:rPr>
          <w:bCs/>
          <w:b/>
        </w:rPr>
        <w:t xml:space="preserve">Proof.</w:t>
      </w:r>
      <w:r>
        <w:t xml:space="preserve"> </w:t>
      </w:r>
      <w:r>
        <w:t xml:space="preserve">By Lemma 4.3, assign each of the</w:t>
      </w:r>
      <w:r>
        <w:t xml:space="preserve"> </w:t>
      </w:r>
      <m:oMath>
        <m:r>
          <m:t>L</m:t>
        </m:r>
      </m:oMath>
      <w:r>
        <w:t xml:space="preserve"> </w:t>
      </w:r>
      <w:r>
        <w:t xml:space="preserve">forced affine lines an independent uniform direction among</w:t>
      </w:r>
      <w:r>
        <w:t xml:space="preserve"> </w:t>
      </w:r>
      <m:oMath>
        <m:sSub>
          <m:e>
            <m:r>
              <m:t>m</m:t>
            </m:r>
          </m:e>
          <m:sub>
            <m:r>
              <m:t>0</m:t>
            </m:r>
          </m:sub>
        </m:sSub>
      </m:oMath>
      <w:r>
        <w:t xml:space="preserve"> </w:t>
      </w:r>
      <w:r>
        <w:t xml:space="preserve">possibilities. If any direction is chosen at least three times, three distinct forced lines inside</w:t>
      </w:r>
      <w:r>
        <w:t xml:space="preserve"> </w:t>
      </w:r>
      <m:oMath>
        <m:r>
          <m:t>S</m:t>
        </m:r>
      </m:oMath>
      <w:r>
        <w:t xml:space="preserve"> </w:t>
      </w:r>
      <w:r>
        <w:t xml:space="preserve">are parallel, so</w:t>
      </w:r>
      <w:r>
        <w:t xml:space="preserve"> </w:t>
      </w:r>
      <m:oMath>
        <m:r>
          <m:t>D</m:t>
        </m:r>
        <m:d>
          <m:dPr>
            <m:begChr m:val="("/>
            <m:endChr m:val=")"/>
            <m:sepChr m:val=""/>
            <m:grow/>
          </m:dPr>
          <m:e>
            <m:r>
              <m:t>S</m:t>
            </m:r>
          </m:e>
        </m:d>
        <m:r>
          <m:rPr>
            <m:sty m:val="p"/>
          </m:rPr>
          <m:t>=</m:t>
        </m:r>
        <m:r>
          <m:t>1</m:t>
        </m:r>
      </m:oMath>
      <w:r>
        <w:t xml:space="preserve">. The exact probability that no direction is used more than twice follows by counting</w:t>
      </w:r>
      <w:r>
        <w:t xml:space="preserve"> </w:t>
      </w:r>
      <m:oMath>
        <m:r>
          <m:t>j</m:t>
        </m:r>
      </m:oMath>
      <w:r>
        <w:t xml:space="preserve"> </w:t>
      </w:r>
      <w:r>
        <w:t xml:space="preserve">double-occupied direction bins,</w:t>
      </w:r>
      <w:r>
        <w:t xml:space="preserve"> </w:t>
      </w:r>
      <m:oMath>
        <m:sSub>
          <m:e>
            <m:r>
              <m:t>a</m:t>
            </m:r>
          </m:e>
          <m:sub>
            <m:r>
              <m:t>j</m:t>
            </m:r>
          </m:sub>
        </m:sSub>
        <m:r>
          <m:rPr>
            <m:sty m:val="p"/>
          </m:rPr>
          <m:t>=</m:t>
        </m:r>
        <m:r>
          <m:t>L</m:t>
        </m:r>
        <m:r>
          <m:rPr>
            <m:sty m:val="p"/>
          </m:rPr>
          <m:t>−</m:t>
        </m:r>
        <m:r>
          <m:t>2</m:t>
        </m:r>
        <m:r>
          <m:t>j</m:t>
        </m:r>
      </m:oMath>
      <w:r>
        <w:t xml:space="preserve"> </w:t>
      </w:r>
      <w:r>
        <w:t xml:space="preserve">singly occupied bins 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w:t>
      </w:r>
      <w:r>
        <w:t xml:space="preserve">empty bins. For each permitted</w:t>
      </w:r>
      <w:r>
        <w:t xml:space="preserve"> </w:t>
      </w:r>
      <m:oMath>
        <m:r>
          <m:t>j</m:t>
        </m:r>
      </m:oMath>
      <w:r>
        <w:t xml:space="preserve">, the number of assignments of the</w:t>
      </w:r>
      <w:r>
        <w:t xml:space="preserve"> </w:t>
      </w:r>
      <m:oMath>
        <m:r>
          <m:t>L</m:t>
        </m:r>
      </m:oMath>
      <w:r>
        <w:t xml:space="preserve"> </w:t>
      </w:r>
      <w:r>
        <w:rPr>
          <w:iCs/>
          <w:i/>
        </w:rPr>
        <w:t xml:space="preserve">labeled</w:t>
      </w:r>
      <w:r>
        <w:t xml:space="preserve"> </w:t>
      </w:r>
      <w:r>
        <w:t xml:space="preserve">affine lines is</w:t>
      </w:r>
      <w:r>
        <w:t xml:space="preserve"> </w:t>
      </w:r>
      <m:oMath>
        <m:sSub>
          <m:e>
            <m:r>
              <m:t>m</m:t>
            </m:r>
          </m:e>
          <m:sub>
            <m:r>
              <m:t>0</m:t>
            </m:r>
          </m:sub>
        </m:sSub>
        <m:r>
          <m:rPr>
            <m:sty m:val="p"/>
          </m:rPr>
          <m:t>!</m:t>
        </m:r>
        <m:r>
          <m:rPr>
            <m:sty m:val="p"/>
          </m:rPr>
          <m:t>/</m:t>
        </m:r>
        <m:d>
          <m:dPr>
            <m:begChr m:val="("/>
            <m:endChr m:val=")"/>
            <m:sepChr m:val=""/>
            <m:grow/>
          </m:dPr>
          <m:e>
            <m:sSub>
              <m:e>
                <m:r>
                  <m:t>a</m:t>
                </m:r>
              </m:e>
              <m:sub>
                <m:r>
                  <m:t>j</m:t>
                </m:r>
              </m:sub>
            </m:sSub>
            <m:r>
              <m:rPr>
                <m:sty m:val="p"/>
              </m:rPr>
              <m:t>!</m:t>
            </m:r>
            <m:r>
              <m:t> </m:t>
            </m:r>
            <m:r>
              <m:t>j</m:t>
            </m:r>
            <m:r>
              <m:rPr>
                <m:sty m:val="p"/>
              </m:rPr>
              <m:t>!</m:t>
            </m:r>
            <m:r>
              <m:t> </m:t>
            </m:r>
            <m:sSub>
              <m:e>
                <m:r>
                  <m:t>c</m:t>
                </m:r>
              </m:e>
              <m:sub>
                <m:r>
                  <m:t>j</m:t>
                </m:r>
              </m:sub>
            </m:sSub>
            <m:r>
              <m:rPr>
                <m:sty m:val="p"/>
              </m:rPr>
              <m:t>!</m:t>
            </m:r>
          </m:e>
        </m:d>
        <m:r>
          <m:rPr>
            <m:sty m:val="p"/>
          </m:rPr>
          <m:t>⋅</m:t>
        </m:r>
        <m:r>
          <m:t>L</m:t>
        </m:r>
        <m:r>
          <m:rPr>
            <m:sty m:val="p"/>
          </m:rPr>
          <m:t>!</m:t>
        </m:r>
        <m:r>
          <m:rPr>
            <m:sty m:val="p"/>
          </m:rPr>
          <m:t>/</m:t>
        </m:r>
        <m:sSup>
          <m:e>
            <m:r>
              <m:t>2</m:t>
            </m:r>
          </m:e>
          <m:sup>
            <m:r>
              <m:t>j</m:t>
            </m:r>
          </m:sup>
        </m:sSup>
      </m:oMath>
      <w:r>
        <w:t xml:space="preserve">. Divide by</w:t>
      </w:r>
      <w:r>
        <w:t xml:space="preserve"> </w:t>
      </w:r>
      <m:oMath>
        <m:sSubSup>
          <m:e>
            <m:r>
              <m:t>m</m:t>
            </m:r>
          </m:e>
          <m:sub>
            <m:r>
              <m:t>0</m:t>
            </m:r>
          </m:sub>
          <m:sup>
            <m:r>
              <m:t>L</m:t>
            </m:r>
          </m:sup>
        </m:sSubSup>
      </m:oMath>
      <w:r>
        <w:t xml:space="preserve"> </w:t>
      </w:r>
      <w:r>
        <w:t xml:space="preserve">and take the complement; any accidental extra lines in</w:t>
      </w:r>
      <w:r>
        <w:t xml:space="preserve"> </w:t>
      </w:r>
      <m:oMath>
        <m:r>
          <m:t>S</m:t>
        </m:r>
      </m:oMath>
      <w:r>
        <w:t xml:space="preserve"> </w:t>
      </w:r>
      <w:r>
        <w:t xml:space="preserve">can only increase the detection probability.</w:t>
      </w:r>
    </w:p>
    <w:p>
      <w:pPr>
        <w:pStyle w:val="BodyText"/>
      </w:pPr>
      <w:r>
        <w:t xml:space="preserve">For the uniform-subset null, there are exactly</w:t>
      </w:r>
      <w:r>
        <w:t xml:space="preserve"> </w:t>
      </w:r>
      <m:oMath>
        <m:d>
          <m:dPr>
            <m:begChr m:val="("/>
            <m:endChr m:val=")"/>
            <m:sepChr m:val=""/>
            <m:grow/>
          </m:dPr>
          <m:e>
            <m:r>
              <m:t>n</m:t>
            </m:r>
            <m:r>
              <m:rPr>
                <m:sty m:val="p"/>
              </m:rPr>
              <m:t>−</m:t>
            </m:r>
            <m:r>
              <m:t>1</m:t>
            </m:r>
          </m:e>
        </m:d>
        <m:r>
          <m:rPr>
            <m:sty m:val="p"/>
          </m:rPr>
          <m:t>/</m:t>
        </m:r>
        <m:r>
          <m:t>2</m:t>
        </m:r>
      </m:oMath>
      <w:r>
        <w:t xml:space="preserve"> </w:t>
      </w:r>
      <w:r>
        <w:t xml:space="preserve">one-dimensional direction subspaces in</w:t>
      </w:r>
      <w:r>
        <w:t xml:space="preserve"> </w:t>
      </w:r>
      <m:oMath>
        <m:sSubSup>
          <m:e>
            <m:r>
              <m:rPr>
                <m:sty m:val="p"/>
                <m:scr m:val="double-struck"/>
              </m:rPr>
              <m:t>F</m:t>
            </m:r>
          </m:e>
          <m:sub>
            <m:r>
              <m:t>3</m:t>
            </m:r>
          </m:sub>
          <m:sup>
            <m:r>
              <m:t>k</m:t>
            </m:r>
          </m:sup>
        </m:sSubSup>
      </m:oMath>
      <w:r>
        <w:t xml:space="preserve">. For any direction, the ambient space partitions into</w:t>
      </w:r>
      <w:r>
        <w:t xml:space="preserve"> </w:t>
      </w:r>
      <m:oMath>
        <m:r>
          <m:t>n</m:t>
        </m:r>
        <m:r>
          <m:rPr>
            <m:sty m:val="p"/>
          </m:rPr>
          <m:t>/</m:t>
        </m:r>
        <m:r>
          <m:t>3</m:t>
        </m:r>
      </m:oMath>
      <w:r>
        <w:t xml:space="preserve"> </w:t>
      </w:r>
      <w:r>
        <w:t xml:space="preserve">parallel three-point affine lines; selecting three distinct lines produces nine distinct points. Hence there are</w:t>
      </w:r>
      <w:r>
        <w:t xml:space="preserve"> </w:t>
      </w:r>
      <m:oMath>
        <m:d>
          <m:dPr>
            <m:begChr m:val="("/>
            <m:endChr m:val=")"/>
            <m:sepChr m:val=""/>
            <m:grow/>
          </m:dPr>
          <m:e>
            <m:r>
              <m:t>n</m:t>
            </m:r>
            <m:r>
              <m:rPr>
                <m:sty m:val="p"/>
              </m:rPr>
              <m:t>−</m:t>
            </m:r>
            <m:r>
              <m:t>1</m:t>
            </m:r>
          </m:e>
        </m:d>
        <m:r>
          <m:rPr>
            <m:sty m:val="p"/>
          </m:rPr>
          <m:t>/</m:t>
        </m:r>
        <m:r>
          <m:t>2</m:t>
        </m:r>
        <m:r>
          <m:rPr>
            <m:sty m:val="p"/>
          </m:rPr>
          <m:t>⋅</m:t>
        </m:r>
        <m:d>
          <m:dPr>
            <m:begChr m:val="("/>
            <m:endChr m:val=")"/>
            <m:sepChr m:val=""/>
            <m:grow/>
          </m:dPr>
          <m:e>
            <m:f>
              <m:fPr>
                <m:type m:val="noBar"/>
              </m:fPr>
              <m:num>
                <m:r>
                  <m:t>n</m:t>
                </m:r>
                <m:r>
                  <m:rPr>
                    <m:sty m:val="p"/>
                  </m:rPr>
                  <m:t>/</m:t>
                </m:r>
                <m:r>
                  <m:t>3</m:t>
                </m:r>
              </m:num>
              <m:den>
                <m:r>
                  <m:t>3</m:t>
                </m:r>
              </m:den>
            </m:f>
          </m:e>
        </m:d>
      </m:oMath>
      <w:r>
        <w:t xml:space="preserve"> </w:t>
      </w:r>
      <w:r>
        <w:t xml:space="preserve">triples of pairwise parallel ambient lines. The probability that nine specified distinct points occur in a uniformly sampled size-</w:t>
      </w:r>
      <m:oMath>
        <m:r>
          <m:t>s</m:t>
        </m:r>
      </m:oMath>
      <w:r>
        <w:t xml:space="preserve"> </w:t>
      </w:r>
      <w:r>
        <w:t xml:space="preserve">subset is exactly</w:t>
      </w:r>
      <w:r>
        <w:t xml:space="preserve"> </w:t>
      </w:r>
      <m:oMath>
        <m:sSub>
          <m:e>
            <m:d>
              <m:dPr>
                <m:begChr m:val="("/>
                <m:endChr m:val=")"/>
                <m:sepChr m:val=""/>
                <m:grow/>
              </m:dPr>
              <m:e>
                <m:r>
                  <m:t>s</m:t>
                </m:r>
              </m:e>
            </m:d>
          </m:e>
          <m:sub>
            <m:r>
              <m:t>9</m:t>
            </m:r>
          </m:sub>
        </m:sSub>
        <m:r>
          <m:rPr>
            <m:sty m:val="p"/>
          </m:rPr>
          <m:t>/</m:t>
        </m:r>
        <m:sSub>
          <m:e>
            <m:d>
              <m:dPr>
                <m:begChr m:val="("/>
                <m:endChr m:val=")"/>
                <m:sepChr m:val=""/>
                <m:grow/>
              </m:dPr>
              <m:e>
                <m:r>
                  <m:t>n</m:t>
                </m:r>
              </m:e>
            </m:d>
          </m:e>
          <m:sub>
            <m:r>
              <m:t>9</m:t>
            </m:r>
          </m:sub>
        </m:sSub>
      </m:oMath>
      <w:r>
        <w:t xml:space="preserve">. The expected number of fully contained triples is therefore the second displayed expression, and Markov’s inequality bounds the chance of at least one such triple. The algorithm enumerates each public affine line using pairs of points and the characteristic-three identity</w:t>
      </w:r>
      <w:r>
        <w:t xml:space="preserve"> </w:t>
      </w:r>
      <m:oMath>
        <m:r>
          <m:t>x</m:t>
        </m:r>
        <m:r>
          <m:rPr>
            <m:sty m:val="p"/>
          </m:rPr>
          <m:t>+</m:t>
        </m:r>
        <m:r>
          <m:t>y</m:t>
        </m:r>
        <m:r>
          <m:rPr>
            <m:sty m:val="p"/>
          </m:rPr>
          <m:t>+</m:t>
        </m:r>
        <m:r>
          <m:t>z</m:t>
        </m:r>
        <m:r>
          <m:rPr>
            <m:sty m:val="p"/>
          </m:rPr>
          <m:t>=</m:t>
        </m:r>
        <m:r>
          <m:t>0</m:t>
        </m:r>
      </m:oMath>
      <w:r>
        <w:t xml:space="preserve">, normalizes a nonzero direction by setting its first nonzero coordinate to one, and groups lines by direction.</w:t>
      </w:r>
      <w:r>
        <w:t xml:space="preserve"> </w:t>
      </w:r>
      <m:oMath>
        <m:r>
          <m:rPr>
            <m:sty m:val="p"/>
          </m:rPr>
          <m:t>▫</m:t>
        </m:r>
      </m:oMath>
    </w:p>
    <w:p>
      <w:pPr>
        <w:pStyle w:val="BodyText"/>
      </w:pPr>
      <w:r>
        <w:rPr>
          <w:bCs/>
          <w:b/>
        </w:rPr>
        <w:t xml:space="preserve">Exact source-parameter consequences.</w:t>
      </w:r>
      <w:r>
        <w:t xml:space="preserve"> </w:t>
      </w:r>
      <w:r>
        <w:t xml:space="preserve">These bounds concern exactly the three original ternary local profiles, without parameter interpolation or untested asymptotics: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Profile</w:t>
            </w:r>
            <w:r>
              <w:t xml:space="preserve"> </w:t>
            </w:r>
            <m:oMath>
              <m:d>
                <m:dPr>
                  <m:begChr m:val="("/>
                  <m:endChr m:val=")"/>
                  <m:sepChr m:val=""/>
                  <m:grow/>
                </m:dPr>
                <m:e>
                  <m:r>
                    <m:t>k</m:t>
                  </m:r>
                  <m:r>
                    <m:rPr>
                      <m:sty m:val="p"/>
                    </m:rPr>
                    <m:t>,</m:t>
                  </m:r>
                  <m:r>
                    <m:t>d</m:t>
                  </m:r>
                  <m:r>
                    <m:rPr>
                      <m:sty m:val="p"/>
                    </m:rPr>
                    <m:t>,</m:t>
                  </m:r>
                  <m:r>
                    <m:t>r</m:t>
                  </m:r>
                </m:e>
              </m:d>
            </m:oMath>
          </w:p>
        </w:tc>
        <w:tc>
          <w:tcPr/>
          <w:p>
            <w:pPr>
              <w:pStyle w:val="Compact"/>
              <w:jc w:val="right"/>
            </w:pPr>
            <m:oMath>
              <m:r>
                <m:t>L</m:t>
              </m:r>
            </m:oMath>
          </w:p>
        </w:tc>
        <w:tc>
          <w:tcPr/>
          <w:p>
            <w:pPr>
              <w:pStyle w:val="Compact"/>
              <w:jc w:val="right"/>
            </w:pPr>
            <m:oMath>
              <m:sSub>
                <m:e>
                  <m:r>
                    <m:t>m</m:t>
                  </m:r>
                </m:e>
                <m:sub>
                  <m:r>
                    <m:t>0</m:t>
                  </m:r>
                </m:sub>
              </m:sSub>
            </m:oMath>
          </w:p>
        </w:tc>
        <w:tc>
          <w:tcPr/>
          <w:p>
            <w:pPr>
              <w:pStyle w:val="Compact"/>
              <w:jc w:val="right"/>
            </w:pPr>
            <w:r>
              <w:t xml:space="preserve">Source</w:t>
            </w:r>
            <w:r>
              <w:t xml:space="preserve"> </w:t>
            </w:r>
            <m:oMath>
              <m:sSub>
                <m:e>
                  <m:r>
                    <m:t>P</m:t>
                  </m:r>
                </m:e>
                <m:sub>
                  <m:r>
                    <m:t>1</m:t>
                  </m:r>
                </m:sub>
              </m:sSub>
              <m:r>
                <m:rPr>
                  <m:sty m:val="p"/>
                </m:rPr>
                <m:t>≥</m:t>
              </m:r>
            </m:oMath>
          </w:p>
        </w:tc>
        <w:tc>
          <w:tcPr/>
          <w:p>
            <w:pPr>
              <w:pStyle w:val="Compact"/>
              <w:jc w:val="right"/>
            </w:pPr>
            <w:r>
              <w:t xml:space="preserve">Null</w:t>
            </w:r>
            <w:r>
              <w:t xml:space="preserve"> </w:t>
            </w:r>
            <m:oMath>
              <m:sSub>
                <m:e>
                  <m:r>
                    <m:t>P</m:t>
                  </m:r>
                </m:e>
                <m:sub>
                  <m:r>
                    <m:t>0</m:t>
                  </m:r>
                </m:sub>
              </m:sSub>
              <m:r>
                <m:rPr>
                  <m:sty m:val="p"/>
                </m:rPr>
                <m:t>≤</m:t>
              </m:r>
            </m:oMath>
          </w:p>
        </w:tc>
        <w:tc>
          <w:tcPr/>
          <w:p>
            <w:pPr>
              <w:pStyle w:val="Compact"/>
              <w:jc w:val="right"/>
            </w:pPr>
            <w:r>
              <w:t xml:space="preserve">Advantage</w:t>
            </w:r>
            <w:r>
              <w:t xml:space="preserve"> </w:t>
            </w:r>
            <m:oMath>
              <m:r>
                <m:rPr>
                  <m:sty m:val="p"/>
                </m:rPr>
                <m:t>≥</m:t>
              </m:r>
            </m:oMath>
          </w:p>
        </w:tc>
      </w:tr>
      <w:tr>
        <w:tc>
          <w:tcPr/>
          <w:p>
            <w:pPr>
              <w:pStyle w:val="Compact"/>
              <w:jc w:val="left"/>
            </w:pPr>
            <w:r>
              <w:t xml:space="preserve">R1</w:t>
            </w:r>
            <w:r>
              <w:t xml:space="preserve"> </w:t>
            </w:r>
            <m:oMath>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9</w:t>
            </w:r>
          </w:p>
        </w:tc>
        <w:tc>
          <w:tcPr/>
          <w:p>
            <w:pPr>
              <w:pStyle w:val="Compact"/>
              <w:jc w:val="right"/>
            </w:pPr>
            <w:r>
              <w:t xml:space="preserve">0.554737</w:t>
            </w:r>
          </w:p>
        </w:tc>
        <w:tc>
          <w:tcPr/>
          <w:p>
            <w:pPr>
              <w:pStyle w:val="Compact"/>
              <w:jc w:val="right"/>
            </w:pPr>
            <w:r>
              <w:t xml:space="preserve">0.006904</w:t>
            </w:r>
          </w:p>
        </w:tc>
        <w:tc>
          <w:tcPr/>
          <w:p>
            <w:pPr>
              <w:pStyle w:val="Compact"/>
              <w:jc w:val="right"/>
            </w:pPr>
            <w:r>
              <w:t xml:space="preserve">0.547832</w:t>
            </w:r>
          </w:p>
        </w:tc>
      </w:tr>
      <w:tr>
        <w:tc>
          <w:tcPr/>
          <w:p>
            <w:pPr>
              <w:pStyle w:val="Compact"/>
              <w:jc w:val="left"/>
            </w:pPr>
            <w:r>
              <w:t xml:space="preserve">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right"/>
            </w:pPr>
            <w:r>
              <w:t xml:space="preserve">27</w:t>
            </w:r>
          </w:p>
        </w:tc>
        <w:tc>
          <w:tcPr/>
          <w:p>
            <w:pPr>
              <w:pStyle w:val="Compact"/>
              <w:jc w:val="right"/>
            </w:pPr>
            <w:r>
              <w:t xml:space="preserve">0.947051</w:t>
            </w:r>
          </w:p>
        </w:tc>
        <w:tc>
          <w:tcPr/>
          <w:p>
            <w:pPr>
              <w:pStyle w:val="Compact"/>
              <w:jc w:val="right"/>
            </w:pPr>
            <w:r>
              <w:t xml:space="preserve">0.005910</w:t>
            </w:r>
          </w:p>
        </w:tc>
        <w:tc>
          <w:tcPr/>
          <w:p>
            <w:pPr>
              <w:pStyle w:val="Compact"/>
              <w:jc w:val="right"/>
            </w:pPr>
            <w:r>
              <w:t xml:space="preserve">0.941141</w:t>
            </w:r>
          </w:p>
        </w:tc>
      </w:tr>
      <w:tr>
        <w:tc>
          <w:tcPr/>
          <w:p>
            <w:pPr>
              <w:pStyle w:val="Compact"/>
              <w:jc w:val="left"/>
            </w:pPr>
            <w:r>
              <w:t xml:space="preserve">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right"/>
            </w:pPr>
            <w:r>
              <w:t xml:space="preserve">81</w:t>
            </w:r>
          </w:p>
        </w:tc>
        <w:tc>
          <w:tcPr/>
          <w:p>
            <w:pPr>
              <w:pStyle w:val="Compact"/>
              <w:jc w:val="right"/>
            </w:pPr>
            <w:r>
              <w:t xml:space="preserve">0.999912</w:t>
            </w:r>
          </w:p>
        </w:tc>
        <w:tc>
          <w:tcPr/>
          <w:p>
            <w:pPr>
              <w:pStyle w:val="Compact"/>
              <w:jc w:val="right"/>
            </w:pPr>
            <w:r>
              <w:t xml:space="preserve">0.002660</w:t>
            </w:r>
          </w:p>
        </w:tc>
        <w:tc>
          <w:tcPr/>
          <w:p>
            <w:pPr>
              <w:pStyle w:val="Compact"/>
              <w:jc w:val="right"/>
            </w:pPr>
            <w:r>
              <w:t xml:space="preserve">0.997252</w:t>
            </w:r>
          </w:p>
        </w:tc>
      </w:tr>
    </w:tbl>
    <w:p>
      <w:pPr>
        <w:pStyle w:val="BodyText"/>
      </w:pPr>
      <w:r>
        <w:t xml:space="preserve">All displayed decimal values are rounded to six places; exact rational bounds and their full-precision evaluation are certified by the accompanying script.</w:t>
      </w:r>
    </w:p>
    <w:p>
      <w:pPr>
        <w:pStyle w:val="BodyText"/>
      </w:pPr>
      <w:r>
        <w:t xml:space="preserve">For these choices</w:t>
      </w:r>
      <w:r>
        <w:t xml:space="preserve"> </w:t>
      </w:r>
      <m:oMath>
        <m:r>
          <m:t>d</m:t>
        </m:r>
        <m:r>
          <m:rPr>
            <m:sty m:val="p"/>
          </m:rPr>
          <m:t>−</m:t>
        </m:r>
        <m:r>
          <m:t>1</m:t>
        </m:r>
        <m:r>
          <m:rPr>
            <m:sty m:val="p"/>
          </m:rPr>
          <m:t>=</m:t>
        </m:r>
        <m:r>
          <m:t>r</m:t>
        </m:r>
      </m:oMath>
      <w:r>
        <w:t xml:space="preserve">, so the number of independently assigned forced lines equals the number of available direction types. Thus the occupancy phenomenon strengthens rapidly across the profiles. The largest original R3 public fiber is distinguishable from a uniformly sampled same-size subset by this</w:t>
      </w:r>
      <w:r>
        <w:t xml:space="preserve"> </w:t>
      </w:r>
      <w:r>
        <w:rPr>
          <w:bCs/>
          <w:b/>
        </w:rPr>
        <w:t xml:space="preserve">purely geometric single-fiber test</w:t>
      </w:r>
      <w:r>
        <w:t xml:space="preserve"> </w:t>
      </w:r>
      <w:r>
        <w:t xml:space="preserve">with provable event-probability gap greater than</w:t>
      </w:r>
      <w:r>
        <w:t xml:space="preserve"> </w:t>
      </w:r>
      <m:oMath>
        <m:r>
          <m:t>0.9972</m:t>
        </m:r>
      </m:oMath>
      <w:r>
        <w:t xml:space="preserve">. No secret-incidence data or plaintext ciphertext is required.</w:t>
      </w:r>
    </w:p>
    <w:p>
      <w:pPr>
        <w:pStyle w:val="BodyText"/>
      </w:pPr>
      <w:r>
        <w:rPr>
          <w:bCs/>
          <w:b/>
        </w:rPr>
        <w:t xml:space="preserve">Executable verification and attack boundary.</w:t>
      </w:r>
      <w:r>
        <w:t xml:space="preserve"> </w:t>
      </w:r>
      <w:r>
        <w:t xml:space="preserve">The reproducible standard-library script `research-2028/attacks/ternary_parallel_line_collision.py` computes the two bounds as</w:t>
      </w:r>
      <w:r>
        <w:t xml:space="preserve"> </w:t>
      </w:r>
      <w:r>
        <w:rPr>
          <w:iCs/>
          <w:i/>
        </w:rPr>
        <w:t xml:space="preserve">exact rational numbers</w:t>
      </w:r>
      <w:r>
        <w:t xml:space="preserve">, verifies the full</w:t>
      </w:r>
      <w:r>
        <w:t xml:space="preserve"> </w:t>
      </w:r>
      <m:oMath>
        <m:sSup>
          <m:e>
            <m:r>
              <m:t>3</m:t>
            </m:r>
          </m:e>
          <m:sup>
            <m:r>
              <m:t>9</m:t>
            </m:r>
          </m:sup>
        </m:sSup>
        <m:r>
          <m:rPr>
            <m:sty m:val="p"/>
          </m:rPr>
          <m:t>=</m:t>
        </m:r>
        <m:r>
          <m:t>19</m:t>
        </m:r>
        <m:r>
          <m:rPr>
            <m:sty m:val="p"/>
          </m:rPr>
          <m:t>,</m:t>
        </m:r>
        <m:r>
          <m:t>683</m:t>
        </m:r>
      </m:oMath>
      <w:r>
        <w:t xml:space="preserve"> </w:t>
      </w:r>
      <w:r>
        <w:t xml:space="preserve">scalar table ensemble for</w:t>
      </w:r>
      <w:r>
        <w:t xml:space="preserve"> </w:t>
      </w:r>
      <m:oMath>
        <m:d>
          <m:dPr>
            <m:begChr m:val="("/>
            <m:endChr m:val=")"/>
            <m:sepChr m:val=""/>
            <m:grow/>
          </m:dPr>
          <m:e>
            <m:r>
              <m:t>d</m:t>
            </m:r>
            <m:r>
              <m:rPr>
                <m:sty m:val="p"/>
              </m:rPr>
              <m:t>,</m:t>
            </m:r>
            <m:r>
              <m:t>r</m:t>
            </m:r>
          </m:e>
        </m:d>
        <m:r>
          <m:rPr>
            <m:sty m:val="p"/>
          </m:rPr>
          <m:t>=</m:t>
        </m:r>
        <m:d>
          <m:dPr>
            <m:begChr m:val="("/>
            <m:endChr m:val=")"/>
            <m:sepChr m:val=""/>
            <m:grow/>
          </m:dPr>
          <m:e>
            <m:r>
              <m:t>2</m:t>
            </m:r>
            <m:r>
              <m:rPr>
                <m:sty m:val="p"/>
              </m:rPr>
              <m:t>,</m:t>
            </m:r>
            <m:r>
              <m:t>1</m:t>
            </m:r>
          </m:e>
        </m:d>
      </m:oMath>
      <w:r>
        <w:t xml:space="preserve"> </w:t>
      </w:r>
      <w:r>
        <w:t xml:space="preserve">(where precisely</w:t>
      </w:r>
      <w:r>
        <w:t xml:space="preserve"> </w:t>
      </w:r>
      <m:oMath>
        <m:r>
          <m:t>2</m:t>
        </m:r>
        <m:r>
          <m:rPr>
            <m:sty m:val="p"/>
          </m:rPr>
          <m:t>,</m:t>
        </m:r>
        <m:r>
          <m:t>187</m:t>
        </m:r>
      </m:oMath>
      <w:r>
        <w:t xml:space="preserve"> </w:t>
      </w:r>
      <w:r>
        <w:t xml:space="preserve">tables force three parallel lines), and performs an independent public-only</w:t>
      </w:r>
      <w:r>
        <w:t xml:space="preserve"> </w:t>
      </w:r>
      <m:oMath>
        <m:r>
          <m:t>24</m:t>
        </m:r>
        <m:r>
          <m:rPr>
            <m:sty m:val="p"/>
          </m:rPr>
          <m:t>+</m:t>
        </m:r>
        <m:r>
          <m:t>24</m:t>
        </m:r>
      </m:oMath>
      <w:r>
        <w:t xml:space="preserve">-fiber Monte Carlo comparison on each original geometry. The exhaustive toy identity checks</w:t>
      </w:r>
      <w:r>
        <w:t xml:space="preserve"> </w:t>
      </w:r>
      <m:oMath>
        <m:r>
          <m:t>2</m:t>
        </m:r>
        <m:r>
          <m:rPr>
            <m:sty m:val="p"/>
          </m:rPr>
          <m:t>,</m:t>
        </m:r>
        <m:r>
          <m:t>187</m:t>
        </m:r>
        <m:r>
          <m:rPr>
            <m:sty m:val="p"/>
          </m:rPr>
          <m:t>/</m:t>
        </m:r>
        <m:r>
          <m:t>19</m:t>
        </m:r>
        <m:r>
          <m:rPr>
            <m:sty m:val="p"/>
          </m:rPr>
          <m:t>,</m:t>
        </m:r>
        <m:r>
          <m:t>683</m:t>
        </m:r>
        <m:r>
          <m:rPr>
            <m:sty m:val="p"/>
          </m:rPr>
          <m:t>=</m:t>
        </m:r>
        <m:r>
          <m:t>1</m:t>
        </m:r>
        <m:r>
          <m:rPr>
            <m:sty m:val="p"/>
          </m:rPr>
          <m:t>/</m:t>
        </m:r>
        <m:r>
          <m:t>9</m:t>
        </m:r>
      </m:oMath>
      <w:r>
        <w:t xml:space="preserve">; it cannot replace the general proof. Numerical Monte Carlo detections are diagnostics, not the source of the certified inequalities.</w:t>
      </w:r>
    </w:p>
    <w:p>
      <w:pPr>
        <w:pStyle w:val="BodyText"/>
      </w:pPr>
      <w:r>
        <w:rPr>
          <w:bCs/>
          <w:b/>
        </w:rPr>
        <w:t xml:space="preserve">Cryptographic applicability is explicitly limited.</w:t>
      </w:r>
      <w:r>
        <w:t xml:space="preserve"> </w:t>
      </w:r>
      <w:r>
        <w:t xml:space="preserve">The archived SG-DIFRA-MDS</w:t>
      </w:r>
      <w:r>
        <w:t xml:space="preserve"> </w:t>
      </w:r>
      <w:r>
        <w:rPr>
          <w:bCs/>
          <w:b/>
        </w:rPr>
        <w:t xml:space="preserve">Plant and Null label distributions both use the same public NCSG fiber sampler</w:t>
      </w:r>
      <w:r>
        <w:t xml:space="preserve">, and the encrypted labels were independent random</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rows except for the hidden MDS replacement. Therefore</w:t>
      </w:r>
      <w:r>
        <w:t xml:space="preserve"> </w:t>
      </w:r>
      <m:oMath>
        <m:r>
          <m:t>D</m:t>
        </m:r>
        <m:d>
          <m:dPr>
            <m:begChr m:val="("/>
            <m:endChr m:val=")"/>
            <m:sepChr m:val=""/>
            <m:grow/>
          </m:dPr>
          <m:e>
            <m:r>
              <m:t>S</m:t>
            </m:r>
          </m:e>
        </m:d>
      </m:oMath>
      <w:r>
        <w:t xml:space="preserve"> </w:t>
      </w:r>
      <w:r>
        <w:t xml:space="preserve">has the</w:t>
      </w:r>
      <w:r>
        <w:t xml:space="preserve"> </w:t>
      </w:r>
      <w:r>
        <w:rPr>
          <w:iCs/>
          <w:i/>
        </w:rPr>
        <w:t xml:space="preserve">same</w:t>
      </w:r>
      <w:r>
        <w:t xml:space="preserve"> </w:t>
      </w:r>
      <w:r>
        <w:t xml:space="preserve">marginal distribution in both cryptographic games, and this theorem does</w:t>
      </w:r>
      <w:r>
        <w:t xml:space="preserve"> </w:t>
      </w:r>
      <w:r>
        <w:rPr>
          <w:bCs/>
          <w:b/>
        </w:rPr>
        <w:t xml:space="preserve">not</w:t>
      </w:r>
      <w:r>
        <w:t xml:space="preserve"> </w:t>
      </w:r>
      <w:r>
        <w:t xml:space="preserve">refute MDS-HBCE or recover an encapsulated key. Indeed, exploiting this public leakage requires a</w:t>
      </w:r>
      <w:r>
        <w:t xml:space="preserve"> </w:t>
      </w:r>
      <w:r>
        <w:rPr>
          <w:iCs/>
          <w:i/>
        </w:rPr>
        <w:t xml:space="preserve">new</w:t>
      </w:r>
      <w:r>
        <w:t xml:space="preserve"> </w:t>
      </w:r>
      <w:r>
        <w:t xml:space="preserve">construction that attempts to hide NCSG geometry or assumes NCSG fibers pseudorandom. The original independent dense labeling avoids an assignment-space parity attack only at the price of the previously proved NCSG-removability defect. Neither property establishes a secure, novel NCSG-only KEM, and no claim of novel field-theoretic mathematics relative to prior literature is made here.</w:t>
      </w:r>
    </w:p>
    <w:bookmarkEnd w:id="28"/>
    <w:bookmarkEnd w:id="29"/>
    <w:bookmarkStart w:id="31"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 the nonzero vectors of</w:t>
      </w:r>
      <w:r>
        <w:t xml:space="preserve"> </w:t>
      </w:r>
      <m:oMath>
        <m:sSup>
          <m:e>
            <m:r>
              <m:t>K</m:t>
            </m:r>
          </m:e>
          <m:sup>
            <m:r>
              <m:t>N</m:t>
            </m:r>
          </m:sup>
        </m:sSup>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0"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0"/>
    <w:bookmarkEnd w:id="31"/>
    <w:bookmarkStart w:id="32"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2"/>
    <w:bookmarkStart w:id="33"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3"/>
    <w:bookmarkStart w:id="35"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4"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4"/>
    <w:bookmarkEnd w:id="35"/>
    <w:bookmarkStart w:id="37"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Start w:id="36" w:name="X08d56c620c1da8cc61992ae53855eff2639cc87"/>
    <w:p>
      <w:pPr>
        <w:pStyle w:val="Heading2"/>
      </w:pPr>
      <w:r>
        <w:t xml:space="preserve">9.1 Round-3 negative theorem: fixed-field MDS-HBCE is asymptotically distinguishable</w:t>
      </w:r>
    </w:p>
    <w:p>
      <w:pPr>
        <w:pStyle w:val="FirstParagraph"/>
      </w:pPr>
      <w:r>
        <w:t xml:space="preserve">The original manuscript instantiates the planted public-label distribution over the</w:t>
      </w:r>
      <w:r>
        <w:t xml:space="preserve"> </w:t>
      </w:r>
      <w:r>
        <w:rPr>
          <w:bCs/>
          <w:b/>
        </w:rPr>
        <w:t xml:space="preserve">fixed</w:t>
      </w:r>
      <w:r>
        <w:t xml:space="preserve"> </w:t>
      </w:r>
      <w:r>
        <w:t xml:space="preserve">field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using a publicly known length-</w:t>
      </w:r>
      <m:oMath>
        <m:r>
          <m:t>M</m:t>
        </m:r>
      </m:oMath>
      <w:r>
        <w:t xml:space="preserve"> </w:t>
      </w:r>
      <w:r>
        <w:t xml:space="preserve">GRS frame with distinct evaluation points. Hence</w:t>
      </w:r>
      <w:r>
        <w:t xml:space="preserve"> </w:t>
      </w:r>
      <m:oMath>
        <m:r>
          <m:t>M</m:t>
        </m:r>
        <m:r>
          <m:rPr>
            <m:sty m:val="p"/>
          </m:rPr>
          <m:t>≤</m:t>
        </m:r>
        <m:r>
          <m:t>1024</m:t>
        </m:r>
      </m:oMath>
      <w:r>
        <w:t xml:space="preserve">. This implies a stronger result than the existing capacity obstruction.</w:t>
      </w:r>
    </w:p>
    <w:p>
      <w:pPr>
        <w:pStyle w:val="BodyText"/>
      </w:pPr>
      <w:r>
        <w:rPr>
          <w:bCs/>
          <w:b/>
        </w:rPr>
        <w:t xml:space="preserve">Theorem 9.1 (fixed-field rank-enumeration public-key distinguisher).</w:t>
      </w:r>
      <w:r>
        <w:t xml:space="preserve"> </w:t>
      </w:r>
      <w:r>
        <w:t xml:space="preserve">Fix</w:t>
      </w:r>
      <w:r>
        <w:t xml:space="preserve"> </w:t>
      </w:r>
      <m:oMath>
        <m:r>
          <m:t>Q</m:t>
        </m:r>
        <m:r>
          <m:rPr>
            <m:sty m:val="p"/>
          </m:rPr>
          <m:t>=</m:t>
        </m:r>
        <m:r>
          <m:t>1024</m:t>
        </m:r>
      </m:oMath>
      <w:r>
        <w:t xml:space="preserve">. In the original planted distribution let</w:t>
      </w:r>
      <w:r>
        <w:t xml:space="preserve"> </w:t>
      </w:r>
      <m:oMath>
        <m:r>
          <m:t>q</m:t>
        </m:r>
        <m:d>
          <m:dPr>
            <m:begChr m:val="("/>
            <m:endChr m:val=")"/>
            <m:sepChr m:val=""/>
            <m:grow/>
          </m:dPr>
          <m:e>
            <m:r>
              <m:t>λ</m:t>
            </m:r>
          </m:e>
        </m:d>
      </m:oMath>
      <w:r>
        <w:t xml:space="preserve"> </w:t>
      </w:r>
      <w:r>
        <w:t xml:space="preserve">nonzero rows of</w:t>
      </w:r>
      <w:r>
        <w:t xml:space="preserve"> </w:t>
      </w:r>
      <m:oMath>
        <m:sSup>
          <m:e>
            <m:r>
              <m:t>K</m:t>
            </m:r>
          </m:e>
          <m:sup>
            <m:r>
              <m:t>N</m:t>
            </m:r>
            <m:d>
              <m:dPr>
                <m:begChr m:val="("/>
                <m:endChr m:val=")"/>
                <m:sepChr m:val=""/>
                <m:grow/>
              </m:dPr>
              <m:e>
                <m:r>
                  <m:t>λ</m:t>
                </m:r>
              </m:e>
            </m:d>
          </m:sup>
        </m:sSup>
      </m:oMath>
      <w:r>
        <w:t xml:space="preserve"> </w:t>
      </w:r>
      <w:r>
        <w:t xml:space="preserve">be published, with</w:t>
      </w:r>
      <w:r>
        <w:t xml:space="preserve"> </w:t>
      </w:r>
      <m:oMath>
        <m:r>
          <m:t>M</m:t>
        </m:r>
        <m:d>
          <m:dPr>
            <m:begChr m:val="("/>
            <m:endChr m:val=")"/>
            <m:sepChr m:val=""/>
            <m:grow/>
          </m:dPr>
          <m:e>
            <m:r>
              <m:t>λ</m:t>
            </m:r>
          </m:e>
        </m:d>
      </m:oMath>
      <w:r>
        <w:t xml:space="preserve"> </w:t>
      </w:r>
      <w:r>
        <w:t xml:space="preserve">hidden GRS rows of rank</w:t>
      </w:r>
      <w:r>
        <w:t xml:space="preserve"> </w:t>
      </w:r>
      <m:oMath>
        <m:r>
          <m:t>u</m:t>
        </m:r>
        <m:d>
          <m:dPr>
            <m:begChr m:val="("/>
            <m:endChr m:val=")"/>
            <m:sepChr m:val=""/>
            <m:grow/>
          </m:dPr>
          <m:e>
            <m:r>
              <m:t>λ</m:t>
            </m:r>
          </m:e>
        </m:d>
        <m:r>
          <m:rPr>
            <m:sty m:val="p"/>
          </m:rPr>
          <m:t>&lt;</m:t>
        </m:r>
        <m:r>
          <m:t>M</m:t>
        </m:r>
        <m:d>
          <m:dPr>
            <m:begChr m:val="("/>
            <m:endChr m:val=")"/>
            <m:sepChr m:val=""/>
            <m:grow/>
          </m:dPr>
          <m:e>
            <m:r>
              <m:t>λ</m:t>
            </m:r>
          </m:e>
        </m:d>
        <m:r>
          <m:rPr>
            <m:sty m:val="p"/>
          </m:rPr>
          <m:t>≤</m:t>
        </m:r>
        <m:r>
          <m:t>Q</m:t>
        </m:r>
      </m:oMath>
      <w:r>
        <w:t xml:space="preserve">. The null distribution replaces all planted rows with independent uniformly sampled nonzero rows. Assume</w:t>
      </w:r>
      <w:r>
        <w:t xml:space="preserve"> </w:t>
      </w:r>
      <m:oMath>
        <m:r>
          <m:t>q</m:t>
        </m:r>
        <m:d>
          <m:dPr>
            <m:begChr m:val="("/>
            <m:endChr m:val=")"/>
            <m:sepChr m:val=""/>
            <m:grow/>
          </m:dPr>
          <m:e>
            <m:r>
              <m:t>λ</m:t>
            </m:r>
          </m:e>
        </m:d>
      </m:oMath>
      <w:r>
        <w:t xml:space="preserve"> </w:t>
      </w:r>
      <w:r>
        <w:t xml:space="preserve">is polynomially bounded,</w:t>
      </w:r>
      <w:r>
        <w:t xml:space="preserve"> </w:t>
      </w:r>
      <m:oMath>
        <m:r>
          <m:t>N</m:t>
        </m:r>
        <m:d>
          <m:dPr>
            <m:begChr m:val="("/>
            <m:endChr m:val=")"/>
            <m:sepChr m:val=""/>
            <m:grow/>
          </m:dPr>
          <m:e>
            <m:r>
              <m:t>λ</m:t>
            </m:r>
          </m:e>
        </m:d>
        <m:r>
          <m:rPr>
            <m:sty m:val="p"/>
          </m:rPr>
          <m:t>≥</m:t>
        </m:r>
        <m:r>
          <m:t>u</m:t>
        </m:r>
        <m:d>
          <m:dPr>
            <m:begChr m:val="("/>
            <m:endChr m:val=")"/>
            <m:sepChr m:val=""/>
            <m:grow/>
          </m:dPr>
          <m:e>
            <m:r>
              <m:t>λ</m:t>
            </m:r>
          </m:e>
        </m:d>
        <m:r>
          <m:rPr>
            <m:sty m:val="p"/>
          </m:rPr>
          <m:t>+</m:t>
        </m:r>
        <m:r>
          <m:t>1</m:t>
        </m:r>
      </m:oMath>
      <w:r>
        <w:t xml:space="preserve">, 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A uniform deterministic polynomial-time algorithm</w:t>
      </w:r>
      <w:r>
        <w:t xml:space="preserve"> </w:t>
      </w:r>
      <m:oMath>
        <m:r>
          <m:t>D</m:t>
        </m:r>
      </m:oMath>
      <w:r>
        <w:t xml:space="preserve"> </w:t>
      </w:r>
      <w:r>
        <w:t xml:space="preserve">satisfies</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P</m:t>
                      </m:r>
                      <m:r>
                        <m:rPr>
                          <m:sty m:val="p"/>
                        </m:rPr>
                        <m:t>l</m:t>
                      </m:r>
                      <m:r>
                        <m:rPr>
                          <m:sty m:val="p"/>
                        </m:rPr>
                        <m:t>a</m:t>
                      </m:r>
                      <m:r>
                        <m:rPr>
                          <m:sty m:val="p"/>
                        </m:rPr>
                        <m:t>n</m:t>
                      </m:r>
                      <m:r>
                        <m:rPr>
                          <m:sty m:val="p"/>
                        </m:rPr>
                        <m:t>t</m:t>
                      </m:r>
                    </m:e>
                    <m:sub>
                      <m:r>
                        <m:t>λ</m:t>
                      </m:r>
                    </m:sub>
                  </m:sSub>
                </m:e>
              </m:d>
              <m:r>
                <m:rPr>
                  <m:sty m:val="p"/>
                </m:rPr>
                <m:t>=</m:t>
              </m:r>
              <m:r>
                <m:t>1</m:t>
              </m:r>
            </m:e>
          </m:d>
          <m:r>
            <m:rPr>
              <m:sty m:val="p"/>
            </m:rPr>
            <m:t>=</m:t>
          </m:r>
          <m:r>
            <m:t>1</m:t>
          </m:r>
          <m:r>
            <m:rPr>
              <m:sty m:val="p"/>
            </m:rPr>
            <m:t>,</m:t>
          </m:r>
        </m:oMath>
      </m:oMathPara>
    </w:p>
    <w:p>
      <w:pPr>
        <w:pStyle w:val="FirstParagraph"/>
      </w:pPr>
      <w:r>
        <w:t xml:space="preserve">and</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N</m:t>
                      </m:r>
                      <m:r>
                        <m:rPr>
                          <m:sty m:val="p"/>
                        </m:rPr>
                        <m:t>u</m:t>
                      </m:r>
                      <m:r>
                        <m:rPr>
                          <m:sty m:val="p"/>
                        </m:rPr>
                        <m:t>l</m:t>
                      </m:r>
                      <m:r>
                        <m:rPr>
                          <m:sty m:val="p"/>
                        </m:rPr>
                        <m:t>l</m:t>
                      </m:r>
                    </m:e>
                    <m:sub>
                      <m:r>
                        <m:t>λ</m:t>
                      </m:r>
                    </m:sub>
                  </m:sSub>
                </m:e>
              </m:d>
              <m:r>
                <m:rPr>
                  <m:sty m:val="p"/>
                </m:rPr>
                <m:t>=</m:t>
              </m:r>
              <m:r>
                <m:t>1</m:t>
              </m:r>
            </m:e>
          </m:d>
          <m:r>
            <m:rPr>
              <m:sty m:val="p"/>
            </m:rPr>
            <m:t>≤</m:t>
          </m:r>
          <m:d>
            <m:dPr>
              <m:begChr m:val="("/>
              <m:endChr m:val=")"/>
              <m:sepChr m:val=""/>
              <m:grow/>
            </m:dPr>
            <m:e>
              <m:f>
                <m:fPr>
                  <m:type m:val="noBar"/>
                </m:fPr>
                <m:num>
                  <m:r>
                    <m:t>q</m:t>
                  </m:r>
                </m:num>
                <m:den>
                  <m:r>
                    <m:t>u</m:t>
                  </m:r>
                  <m:r>
                    <m:rPr>
                      <m:sty m:val="p"/>
                    </m:rPr>
                    <m:t>+</m:t>
                  </m:r>
                  <m:r>
                    <m:t>1</m:t>
                  </m:r>
                </m:den>
              </m:f>
            </m:e>
          </m:d>
          <m:d>
            <m:dPr>
              <m:begChr m:val="("/>
              <m:endChr m:val=")"/>
              <m:sepChr m:val=""/>
              <m:grow/>
            </m:dPr>
            <m:e>
              <m:r>
                <m:t>1</m:t>
              </m:r>
              <m:r>
                <m:rPr>
                  <m:sty m:val="p"/>
                </m:rPr>
                <m:t>−</m:t>
              </m:r>
              <m:nary>
                <m:naryPr>
                  <m:chr m:val="∏"/>
                  <m:limLoc m:val="undOvr"/>
                  <m:subHide m:val="off"/>
                  <m:supHide m:val="off"/>
                </m:naryPr>
                <m:sub>
                  <m:r>
                    <m:t>i</m:t>
                  </m:r>
                  <m:r>
                    <m:rPr>
                      <m:sty m:val="p"/>
                    </m:rPr>
                    <m:t>=</m:t>
                  </m:r>
                  <m:r>
                    <m:t>1</m:t>
                  </m:r>
                </m:sub>
                <m:sup>
                  <m:r>
                    <m:t>u</m:t>
                  </m:r>
                </m:sup>
                <m:e>
                  <m:f>
                    <m:fPr>
                      <m:type m:val="bar"/>
                    </m:fPr>
                    <m:num>
                      <m:sSup>
                        <m:e>
                          <m:r>
                            <m:t>Q</m:t>
                          </m:r>
                        </m:e>
                        <m:sup>
                          <m:r>
                            <m:t>N</m:t>
                          </m:r>
                        </m:sup>
                      </m:sSup>
                      <m:r>
                        <m:rPr>
                          <m:sty m:val="p"/>
                        </m:rPr>
                        <m:t>−</m:t>
                      </m:r>
                      <m:sSup>
                        <m:e>
                          <m:r>
                            <m:t>Q</m:t>
                          </m:r>
                        </m:e>
                        <m:sup>
                          <m:r>
                            <m:t>i</m:t>
                          </m:r>
                        </m:sup>
                      </m:sSup>
                    </m:num>
                    <m:den>
                      <m:sSup>
                        <m:e>
                          <m:r>
                            <m:t>Q</m:t>
                          </m:r>
                        </m:e>
                        <m:sup>
                          <m:r>
                            <m:t>N</m:t>
                          </m:r>
                        </m:sup>
                      </m:sSup>
                      <m:r>
                        <m:rPr>
                          <m:sty m:val="p"/>
                        </m:rPr>
                        <m:t>−</m:t>
                      </m:r>
                      <m:r>
                        <m:t>1</m:t>
                      </m:r>
                    </m:den>
                  </m:f>
                </m:e>
              </m:nary>
            </m:e>
          </m:d>
          <m:r>
            <m:rPr>
              <m:sty m:val="p"/>
            </m:rPr>
            <m:t>=</m:t>
          </m:r>
          <m:r>
            <m:rPr>
              <m:sty m:val="p"/>
            </m:rPr>
            <m:t>negl</m:t>
          </m:r>
          <m:d>
            <m:dPr>
              <m:begChr m:val="("/>
              <m:endChr m:val=")"/>
              <m:sepChr m:val=""/>
              <m:grow/>
            </m:dPr>
            <m:e>
              <m:r>
                <m:t>λ</m:t>
              </m:r>
            </m:e>
          </m:d>
          <m:r>
            <m:rPr>
              <m:sty m:val="p"/>
            </m:rPr>
            <m:t>.</m:t>
          </m:r>
        </m:oMath>
      </m:oMathPara>
    </w:p>
    <w:p>
      <w:pPr>
        <w:pStyle w:val="FirstParagraph"/>
      </w:pPr>
      <w:r>
        <w:t xml:space="preserve">Thus</w:t>
      </w:r>
      <w:r>
        <w:t xml:space="preserve"> </w:t>
      </w:r>
      <w:r>
        <w:rPr>
          <w:bCs/>
          <w:b/>
        </w:rPr>
        <w:t xml:space="preserve">the original fixed-field MDS-HBCE asymptotic indistinguishability assumption against all PPT or QPT adversaries is false</w:t>
      </w:r>
      <w:r>
        <w:t xml:space="preserve"> </w:t>
      </w:r>
      <w:r>
        <w:t xml:space="preserve">for such polynomial-size public-key families. This is a break of its proposed</w:t>
      </w:r>
      <w:r>
        <w:t xml:space="preserve"> </w:t>
      </w:r>
      <w:r>
        <w:rPr>
          <w:iCs/>
          <w:i/>
        </w:rPr>
        <w:t xml:space="preserve">asymptotic public-key assumption</w:t>
      </w:r>
      <w:r>
        <w:t xml:space="preserve">, not a demonstrated IND-CPA/IND-CCA attack on the three finite ciphertext profiles.</w:t>
      </w:r>
    </w:p>
    <w:p>
      <w:pPr>
        <w:pStyle w:val="BodyText"/>
      </w:pPr>
      <w:r>
        <w:rPr>
          <w:bCs/>
          <w:b/>
        </w:rPr>
        <w:t xml:space="preserve">Distinguisher.</w:t>
      </w:r>
      <w:r>
        <w:t xml:space="preserve"> </w:t>
      </w:r>
      <w:r>
        <w:t xml:space="preserve">Enumerate all sets of</w:t>
      </w:r>
      <w:r>
        <w:t xml:space="preserve"> </w:t>
      </w:r>
      <m:oMath>
        <m:r>
          <m:t>u</m:t>
        </m:r>
        <m:r>
          <m:rPr>
            <m:sty m:val="p"/>
          </m:rPr>
          <m:t>+</m:t>
        </m:r>
        <m:r>
          <m:t>1</m:t>
        </m:r>
      </m:oMath>
      <w:r>
        <w:t xml:space="preserve"> </w:t>
      </w:r>
      <w:r>
        <w:t xml:space="preserve">rows in the published label matrix. Return planted upon finding a set of rank at most</w:t>
      </w:r>
      <w:r>
        <w:t xml:space="preserve"> </w:t>
      </w:r>
      <m:oMath>
        <m:r>
          <m:t>u</m:t>
        </m:r>
      </m:oMath>
      <w:r>
        <w:t xml:space="preserve"> </w:t>
      </w:r>
      <w:r>
        <w:t xml:space="preserve">using ordinary Gaussian elimination over</w:t>
      </w:r>
      <w:r>
        <w:t xml:space="preserve"> </w:t>
      </w:r>
      <m:oMath>
        <m:r>
          <m:t>K</m:t>
        </m:r>
      </m:oMath>
      <w:r>
        <w:t xml:space="preserve">. This does not require knowledge of the hidden bucket locations, GRS permutation, embedding matrix, or NCSG secret.</w:t>
      </w:r>
    </w:p>
    <w:p>
      <w:pPr>
        <w:pStyle w:val="BodyText"/>
      </w:pPr>
      <w:r>
        <w:rPr>
          <w:bCs/>
          <w:b/>
        </w:rPr>
        <w:t xml:space="preserve">Proof.</w:t>
      </w:r>
      <w:r>
        <w:t xml:space="preserve"> </w:t>
      </w:r>
      <w:r>
        <w:t xml:space="preserve">Every</w:t>
      </w:r>
      <w:r>
        <w:t xml:space="preserve"> </w:t>
      </w:r>
      <m:oMath>
        <m:r>
          <m:t>u</m:t>
        </m:r>
        <m:r>
          <m:rPr>
            <m:sty m:val="p"/>
          </m:rPr>
          <m:t>+</m:t>
        </m:r>
        <m:r>
          <m:t>1</m:t>
        </m:r>
      </m:oMath>
      <w:r>
        <w:t xml:space="preserve"> </w:t>
      </w:r>
      <w:r>
        <w:t xml:space="preserve">planted GRS rows have rank</w:t>
      </w:r>
      <w:r>
        <w:t xml:space="preserve"> </w:t>
      </w:r>
      <m:oMath>
        <m:r>
          <m:t>u</m:t>
        </m:r>
      </m:oMath>
      <w:r>
        <w:t xml:space="preserve"> </w:t>
      </w:r>
      <w:r>
        <w:t xml:space="preserve">because the Vandermonde generator has row rank</w:t>
      </w:r>
      <w:r>
        <w:t xml:space="preserve"> </w:t>
      </w:r>
      <m:oMath>
        <m:r>
          <m:t>u</m:t>
        </m:r>
      </m:oMath>
      <w:r>
        <w:t xml:space="preserve"> </w:t>
      </w:r>
      <w:r>
        <w:t xml:space="preserve">and multiplication by the sampled full-row-rank secret matrix preserves row dependencies. Since</w:t>
      </w:r>
      <w:r>
        <w:t xml:space="preserve"> </w:t>
      </w:r>
      <m:oMath>
        <m:r>
          <m:t>M</m:t>
        </m:r>
        <m:r>
          <m:rPr>
            <m:sty m:val="p"/>
          </m:rPr>
          <m:t>≥</m:t>
        </m:r>
        <m:r>
          <m:t>u</m:t>
        </m:r>
        <m:r>
          <m:rPr>
            <m:sty m:val="p"/>
          </m:rPr>
          <m:t>+</m:t>
        </m:r>
        <m:r>
          <m:t>1</m:t>
        </m:r>
      </m:oMath>
      <w:r>
        <w:t xml:space="preserve">, at least one enumerated set is dependent. Under the null, conditioned on</w:t>
      </w:r>
      <w:r>
        <w:t xml:space="preserve"> </w:t>
      </w:r>
      <m:oMath>
        <m:r>
          <m:t>i</m:t>
        </m:r>
      </m:oMath>
      <w:r>
        <w:t xml:space="preserve"> </w:t>
      </w:r>
      <w:r>
        <w:t xml:space="preserve">earlier linearly independent uniform nonzero rows, the probability the next row belongs to their span is exactly</w:t>
      </w:r>
      <w:r>
        <w:t xml:space="preserve"> </w:t>
      </w:r>
      <m:oMath>
        <m:d>
          <m:dPr>
            <m:begChr m:val="("/>
            <m:endChr m:val=")"/>
            <m:sepChr m:val=""/>
            <m:grow/>
          </m:dPr>
          <m:e>
            <m:sSup>
              <m:e>
                <m:r>
                  <m:t>Q</m:t>
                </m:r>
              </m:e>
              <m:sup>
                <m:r>
                  <m:t>i</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The probability that</w:t>
      </w:r>
      <w:r>
        <w:t xml:space="preserve"> </w:t>
      </w:r>
      <m:oMath>
        <m:r>
          <m:t>u</m:t>
        </m:r>
        <m:r>
          <m:rPr>
            <m:sty m:val="p"/>
          </m:rPr>
          <m:t>+</m:t>
        </m:r>
        <m:r>
          <m:t>1</m:t>
        </m:r>
      </m:oMath>
      <w:r>
        <w:t xml:space="preserve"> </w:t>
      </w:r>
      <w:r>
        <w:t xml:space="preserve">fixed null rows are dependent is therefore exactly the product complement displayed above. A union bound over all subsets proves the inequality. Since the field is fixed,</w:t>
      </w:r>
      <w:r>
        <w:t xml:space="preserve"> </w:t>
      </w:r>
      <m:oMath>
        <m:r>
          <m:t>u</m:t>
        </m:r>
        <m:r>
          <m:rPr>
            <m:sty m:val="p"/>
          </m:rPr>
          <m:t>+</m:t>
        </m:r>
        <m:r>
          <m:t>1</m:t>
        </m:r>
        <m:r>
          <m:rPr>
            <m:sty m:val="p"/>
          </m:rPr>
          <m:t>≤</m:t>
        </m:r>
        <m:r>
          <m:t>M</m:t>
        </m:r>
        <m:r>
          <m:rPr>
            <m:sty m:val="p"/>
          </m:rPr>
          <m:t>≤</m:t>
        </m:r>
        <m:r>
          <m:t>1024</m:t>
        </m:r>
      </m:oMath>
      <w:r>
        <w:t xml:space="preserve"> </w:t>
      </w:r>
      <w:r>
        <w:t xml:space="preserve">for</w:t>
      </w:r>
      <w:r>
        <w:t xml:space="preserve"> </w:t>
      </w:r>
      <w:r>
        <w:rPr>
          <w:bCs/>
          <w:b/>
        </w:rPr>
        <w:t xml:space="preserve">every</w:t>
      </w:r>
      <w:r>
        <w:t xml:space="preserve"> </w:t>
      </w:r>
      <w:r>
        <w:t xml:space="preserve">security parameter, so exhaustive enumeration uses at most</w:t>
      </w:r>
      <w:r>
        <w:t xml:space="preserve"> </w:t>
      </w:r>
      <m:oMath>
        <m:r>
          <m:t>O</m:t>
        </m:r>
        <m:d>
          <m:dPr>
            <m:begChr m:val="("/>
            <m:endChr m:val=")"/>
            <m:sepChr m:val=""/>
            <m:grow/>
          </m:dPr>
          <m:e>
            <m:sSup>
              <m:e>
                <m:r>
                  <m:t>q</m:t>
                </m:r>
              </m:e>
              <m:sup>
                <m:r>
                  <m:t>1024</m:t>
                </m:r>
              </m:sup>
            </m:sSup>
            <m:r>
              <m:rPr>
                <m:sty m:val="p"/>
              </m:rPr>
              <m:t>poly</m:t>
            </m:r>
            <m:d>
              <m:dPr>
                <m:begChr m:val="("/>
                <m:endChr m:val=")"/>
                <m:sepChr m:val=""/>
                <m:grow/>
              </m:dPr>
              <m:e>
                <m:r>
                  <m:t>N</m:t>
                </m:r>
              </m:e>
            </m:d>
          </m:e>
        </m:d>
      </m:oMath>
      <w:r>
        <w:t xml:space="preserve"> </w:t>
      </w:r>
      <w:r>
        <w:t xml:space="preserve">field operations. The exponent 1024 is a fixed constant, making the attack a</w:t>
      </w:r>
      <w:r>
        <w:t xml:space="preserve"> </w:t>
      </w:r>
      <w:r>
        <w:rPr>
          <w:bCs/>
          <w:b/>
        </w:rPr>
        <w:t xml:space="preserve">uniform polynomial-time algorithm</w:t>
      </w:r>
      <w:r>
        <w:t xml:space="preserve">, however infeasible at concrete sizes. Finally, the parenthetical null probability is</w:t>
      </w:r>
      <w:r>
        <w:t xml:space="preserve"> </w:t>
      </w:r>
      <m:oMath>
        <m:r>
          <m:t>O</m:t>
        </m:r>
        <m:d>
          <m:dPr>
            <m:begChr m:val="("/>
            <m:endChr m:val=")"/>
            <m:sepChr m:val=""/>
            <m:grow/>
          </m:dPr>
          <m:e>
            <m:sSup>
              <m:e>
                <m:r>
                  <m:t>Q</m:t>
                </m:r>
              </m:e>
              <m:sup>
                <m:r>
                  <m:t>u</m:t>
                </m:r>
                <m:r>
                  <m:rPr>
                    <m:sty m:val="p"/>
                  </m:rPr>
                  <m:t>−</m:t>
                </m:r>
                <m:r>
                  <m:t>N</m:t>
                </m:r>
              </m:sup>
            </m:sSup>
          </m:e>
        </m:d>
      </m:oMath>
      <w:r>
        <w:t xml:space="preserve"> </w:t>
      </w:r>
      <w:r>
        <w:t xml:space="preserve">for bounded</w:t>
      </w:r>
      <w:r>
        <w:t xml:space="preserve"> </w:t>
      </w:r>
      <m:oMath>
        <m:r>
          <m:t>u</m:t>
        </m:r>
      </m:oMath>
      <w:r>
        <w:t xml:space="preserve">; with</w:t>
      </w:r>
      <w:r>
        <w:t xml:space="preserve"> </w:t>
      </w:r>
      <m:oMath>
        <m:r>
          <m:t>q</m:t>
        </m:r>
      </m:oMath>
      <w:r>
        <w:t xml:space="preserve"> </w:t>
      </w:r>
      <w:r>
        <w:t xml:space="preserve">polynomial and</w:t>
      </w:r>
      <w:r>
        <w:t xml:space="preserve"> </w:t>
      </w:r>
      <m:oMath>
        <m:r>
          <m:t>N</m:t>
        </m:r>
        <m:r>
          <m:rPr>
            <m:sty m:val="p"/>
          </m:rPr>
          <m:t>=</m:t>
        </m:r>
        <m:r>
          <m:t>Ω</m:t>
        </m:r>
        <m:d>
          <m:dPr>
            <m:begChr m:val="("/>
            <m:endChr m:val=")"/>
            <m:sepChr m:val=""/>
            <m:grow/>
          </m:dPr>
          <m:e>
            <m:r>
              <m:t>λ</m:t>
            </m:r>
          </m:e>
        </m:d>
      </m:oMath>
      <w:r>
        <w:t xml:space="preserve">, the union bound is negligible.</w:t>
      </w:r>
      <w:r>
        <w:t xml:space="preserve"> </w:t>
      </w:r>
      <m:oMath>
        <m:r>
          <m:rPr>
            <m:sty m:val="p"/>
          </m:rPr>
          <m:t>▫</m:t>
        </m:r>
      </m:oMath>
    </w:p>
    <w:p>
      <w:pPr>
        <w:pStyle w:val="BodyText"/>
      </w:pPr>
      <w:r>
        <w:rPr>
          <w:bCs/>
          <w:b/>
        </w:rPr>
        <w:t xml:space="preserve">Finite-profile interpretation.</w:t>
      </w:r>
      <w:r>
        <w:t xml:space="preserve"> </w:t>
      </w:r>
      <w:r>
        <w:t xml:space="preserve">The exact numbers of subsets in this simple enumeration, expressed as</w:t>
      </w:r>
      <w:r>
        <w:t xml:space="preserve"> </w:t>
      </w:r>
      <m:oMath>
        <m:sSub>
          <m:e>
            <m:r>
              <m:rPr>
                <m:sty m:val="p"/>
              </m:rPr>
              <m:t>log</m:t>
            </m:r>
          </m:e>
          <m:sub>
            <m:r>
              <m:t>2</m:t>
            </m:r>
          </m:sub>
        </m:sSub>
        <m:d>
          <m:dPr>
            <m:begChr m:val="("/>
            <m:endChr m:val=")"/>
            <m:sepChr m:val=""/>
            <m:grow/>
          </m:dPr>
          <m:e>
            <m:f>
              <m:fPr>
                <m:type m:val="noBar"/>
              </m:fPr>
              <m:num>
                <m:r>
                  <m:t>q</m:t>
                </m:r>
              </m:num>
              <m:den>
                <m:r>
                  <m:t>u</m:t>
                </m:r>
                <m:r>
                  <m:rPr>
                    <m:sty m:val="p"/>
                  </m:rPr>
                  <m:t>+</m:t>
                </m:r>
                <m:r>
                  <m:t>1</m:t>
                </m:r>
              </m:den>
            </m:f>
          </m:e>
        </m:d>
      </m:oMath>
      <w:r>
        <w:t xml:space="preserve">, are about</w:t>
      </w:r>
      <w:r>
        <w:t xml:space="preserve"> </w:t>
      </w:r>
      <m:oMath>
        <m:r>
          <m:t>656.94</m:t>
        </m:r>
      </m:oMath>
      <w:r>
        <w:t xml:space="preserve"> </w:t>
      </w:r>
      <w:r>
        <w:t xml:space="preserve">(SGD-R1),</w:t>
      </w:r>
      <w:r>
        <w:t xml:space="preserve"> </w:t>
      </w:r>
      <m:oMath>
        <m:r>
          <m:t>1136.78</m:t>
        </m:r>
      </m:oMath>
      <w:r>
        <w:t xml:space="preserve"> </w:t>
      </w:r>
      <w:r>
        <w:t xml:space="preserve">(SGD-R2), and</w:t>
      </w:r>
      <w:r>
        <w:t xml:space="preserve"> </w:t>
      </w:r>
      <m:oMath>
        <m:r>
          <m:t>1718.10</m:t>
        </m:r>
      </m:oMath>
      <w:r>
        <w:t xml:space="preserve"> </w:t>
      </w:r>
      <w:r>
        <w:t xml:space="preserve">(SGD-R3), before Gaussian elimination. These huge exponents show why an asymptotic PPT attack</w:t>
      </w:r>
      <w:r>
        <w:t xml:space="preserve"> </w:t>
      </w:r>
      <w:r>
        <w:rPr>
          <w:bCs/>
          <w:b/>
        </w:rPr>
        <w:t xml:space="preserve">must not be mislabeled a practical finite-parameter attack</w:t>
      </w:r>
      <w:r>
        <w:t xml:space="preserve">. More sophisticated classical or quantum attacks may be far cheaper; neither this enumerator nor the earlier source heuristics supplies a secure work-factor lower bound.</w:t>
      </w:r>
    </w:p>
    <w:p>
      <w:pPr>
        <w:pStyle w:val="BodyText"/>
      </w:pPr>
      <w:r>
        <w:rPr>
          <w:bCs/>
          <w:b/>
        </w:rPr>
        <w:t xml:space="preserve">Repair boundary.</w:t>
      </w:r>
      <w:r>
        <w:t xml:space="preserve"> </w:t>
      </w:r>
      <w:r>
        <w:t xml:space="preserve">Increasing noise or simply choosing a larger fixed</w:t>
      </w:r>
      <w:r>
        <w:t xml:space="preserve"> </w:t>
      </w:r>
      <m:oMath>
        <m:r>
          <m:t>N</m:t>
        </m:r>
      </m:oMath>
      <w:r>
        <w:t xml:space="preserve"> </w:t>
      </w:r>
      <w:r>
        <w:t xml:space="preserve">cannot fix this asymptotic problem. Changing the field to grow with the security parameter or replacing the algebraic embedding might remove the particular constant-degree argument, but would require a new complete sampled assumption, cryptanalysis, decoder, efficient implementation, and quantum-aware reduction. No such unproved change may be advertised as formally secure. The author’s active target remains</w:t>
      </w:r>
      <w:r>
        <w:t xml:space="preserve"> </w:t>
      </w:r>
      <w:r>
        <w:rPr>
          <w:bCs/>
          <w:b/>
        </w:rPr>
        <w:t xml:space="preserve">an original NCSG-dependent construction without any external KEM ingredient</w:t>
      </w:r>
      <w:r>
        <w:t xml:space="preserve">; this theorem is an archived-GRS no-go result and a mandatory negative design gate.</w:t>
      </w:r>
    </w:p>
    <w:p>
      <w:pPr>
        <w:pStyle w:val="BodyText"/>
      </w:pPr>
      <w:r>
        <w:rPr>
          <w:bCs/>
          <w:b/>
        </w:rPr>
        <w:t xml:space="preserve">Reproduction.</w:t>
      </w:r>
      <w:r>
        <w:t xml:space="preserve"> </w:t>
      </w:r>
      <w:r>
        <w:t xml:space="preserve">The pure-Python GF(1024) attack implementation and exact GF(3) independent-probability enumeration reside in research-2028/attacks/fixed_field_mds_hbce_ppt_break.py. Finite tests check this algebra; the general asymptotic conclusion follows from the mathematical argument, not from testing.</w:t>
      </w:r>
    </w:p>
    <w:bookmarkEnd w:id="36"/>
    <w:bookmarkEnd w:id="37"/>
    <w:bookmarkStart w:id="38"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8"/>
    <w:bookmarkStart w:id="39"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9"/>
    <w:bookmarkStart w:id="48" w:name="Xe648b1b6ee4ad46cdea84b3f4a56d864d2eab7b"/>
    <w:p>
      <w:pPr>
        <w:pStyle w:val="Heading1"/>
      </w:pPr>
      <w:r>
        <w:t xml:space="preserve">12. Further structural cryptanalysis toward NCSG-only security</w:t>
      </w:r>
    </w:p>
    <w:bookmarkStart w:id="40"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40"/>
    <w:bookmarkStart w:id="41"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41"/>
    <w:bookmarkStart w:id="42"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2"/>
    <w:bookmarkStart w:id="43"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3"/>
    <w:bookmarkStart w:id="44"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4"/>
    <w:bookmarkStart w:id="45"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5"/>
    <w:bookmarkStart w:id="46"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6"/>
    <w:bookmarkStart w:id="47"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7"/>
    <w:bookmarkEnd w:id="48"/>
    <w:bookmarkStart w:id="49"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9"/>
    <w:bookmarkStart w:id="50"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50"/>
    <w:bookmarkStart w:id="51"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51"/>
    <w:bookmarkStart w:id="52"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52"/>
    <w:bookmarkStart w:id="53"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2026-10-10T11:21:28Z</dcterms:created>
  <dcterms:modified xsi:type="dcterms:W3CDTF">2026-10-10T11:21:28Z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