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Differential</w:t>
      </w:r>
      <w:r>
        <w:t xml:space="preserve"> </w:t>
      </w:r>
      <w:r>
        <w:t xml:space="preserve">Fibers,</w:t>
      </w:r>
      <w:r>
        <w:t xml:space="preserve"> </w:t>
      </w:r>
      <w:r>
        <w:t xml:space="preserve">Hidden-MDS</w:t>
      </w:r>
      <w:r>
        <w:t xml:space="preserve"> </w:t>
      </w:r>
      <w:r>
        <w:t xml:space="preserve">Labels,</w:t>
      </w:r>
      <w:r>
        <w:t xml:space="preserve"> </w:t>
      </w:r>
      <w:r>
        <w:t xml:space="preserve">and</w:t>
      </w:r>
      <w:r>
        <w:t xml:space="preserve"> </w:t>
      </w:r>
      <w:r>
        <w:t xml:space="preserve">the</w:t>
      </w:r>
      <w:r>
        <w:t xml:space="preserve"> </w:t>
      </w:r>
      <w:r>
        <w:t xml:space="preserve">Limits</w:t>
      </w:r>
      <w:r>
        <w:t xml:space="preserve"> </w:t>
      </w:r>
      <w:r>
        <w:t xml:space="preserve">of</w:t>
      </w:r>
      <w:r>
        <w:t xml:space="preserve"> </w:t>
      </w:r>
      <w:r>
        <w:t xml:space="preserve">Provable</w:t>
      </w:r>
      <w:r>
        <w:t xml:space="preserve"> </w:t>
      </w:r>
      <w:r>
        <w:t xml:space="preserve">KEM</w:t>
      </w:r>
      <w:r>
        <w:t xml:space="preserve"> </w:t>
      </w:r>
      <w:r>
        <w:t xml:space="preserve">Security</w:t>
      </w:r>
    </w:p>
    <w:p>
      <w:pPr>
        <w:pStyle w:val="Subtitle"/>
      </w:pPr>
      <w:r>
        <w:t xml:space="preserve">EUROCRYPT</w:t>
      </w:r>
      <w:r>
        <w:t xml:space="preserve"> </w:t>
      </w:r>
      <w:r>
        <w:t xml:space="preserve">2028</w:t>
      </w:r>
      <w:r>
        <w:t xml:space="preserve"> </w:t>
      </w:r>
      <w:r>
        <w:t xml:space="preserve">research-target</w:t>
      </w:r>
      <w:r>
        <w:t xml:space="preserve"> </w:t>
      </w:r>
      <w:r>
        <w:t xml:space="preserve">revision</w:t>
      </w:r>
      <w:r>
        <w:t xml:space="preserve"> </w:t>
      </w:r>
      <w:r>
        <w:t xml:space="preserve">—</w:t>
      </w:r>
      <w:r>
        <w:t xml:space="preserve"> </w:t>
      </w:r>
      <w:r>
        <w:t xml:space="preserve">cryptanalytic</w:t>
      </w:r>
      <w:r>
        <w:t xml:space="preserve"> </w:t>
      </w:r>
      <w:r>
        <w:t xml:space="preserve">draft,</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current large-field version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current-hidden-mds-label-construction"/>
    <w:p>
      <w:pPr>
        <w:pStyle w:val="Heading1"/>
      </w:pPr>
      <w:r>
        <w:t xml:space="preserve">5. Current hidden-MDS label construction</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42db42398619252b2f8ef4f17ef780a94fcd392"/>
    <w:p>
      <w:pPr>
        <w:pStyle w:val="Heading1"/>
      </w:pPr>
      <w:r>
        <w:t xml:space="preserve">7. Assumption boundary and conditional hybrid</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43" w:name="X6496b5b9a00c8275ff3d9a6fab1a945d6befada"/>
    <w:p>
      <w:pPr>
        <w:pStyle w:val="Heading1"/>
      </w:pPr>
      <w:r>
        <w:t xml:space="preserve">12. Further cryptanalysis and conditional deployment strategy for EUROCRYPT 2028</w:t>
      </w:r>
    </w:p>
    <w:bookmarkStart w:id="37" w:name="Xcc936c4f41f389694b743b260f1d75260526322"/>
    <w:p>
      <w:pPr>
        <w:pStyle w:val="Heading2"/>
      </w:pPr>
      <w:r>
        <w:t xml:space="preserve">12.1 Serious bandwidth and storage problem in all three profiles</w:t>
      </w:r>
    </w:p>
    <w:p>
      <w:pPr>
        <w:pStyle w:val="FirstParagraph"/>
      </w:pPr>
      <w:r>
        <w:t xml:space="preserve">The matrix</w:t>
      </w:r>
      <w:r>
        <w:t xml:space="preserve"> </w:t>
      </w:r>
      <m:oMath>
        <m:r>
          <m:t>H</m:t>
        </m:r>
      </m:oMath>
      <w:r>
        <w:t xml:space="preserve"> </w:t>
      </w:r>
      <w:r>
        <w:t xml:space="preserve">is dense, has</w:t>
      </w:r>
      <w:r>
        <w:t xml:space="preserve"> </w:t>
      </w:r>
      <m:oMath>
        <m:r>
          <m:t>q</m:t>
        </m:r>
        <m:r>
          <m:rPr>
            <m:sty m:val="p"/>
          </m:rPr>
          <m:t>=</m:t>
        </m:r>
        <m:r>
          <m:t>m</m:t>
        </m:r>
        <m:sSup>
          <m:e>
            <m:r>
              <m:t>3</m:t>
            </m:r>
          </m:e>
          <m:sup>
            <m:r>
              <m:t>d</m:t>
            </m:r>
          </m:sup>
        </m:sSup>
      </m:oMath>
      <w:r>
        <w:t xml:space="preserve"> </w:t>
      </w:r>
      <w:r>
        <w:t xml:space="preserve">rows and</w:t>
      </w:r>
      <w:r>
        <w:t xml:space="preserve"> </w:t>
      </w:r>
      <m:oMath>
        <m:r>
          <m:t>N</m:t>
        </m:r>
      </m:oMath>
      <w:r>
        <w:t xml:space="preserve"> </w:t>
      </w:r>
      <w:r>
        <w:t xml:space="preserve">coordinates in</w:t>
      </w:r>
      <w:r>
        <w:t xml:space="preserve"> </w:t>
      </w:r>
      <m:oMath>
        <m:r>
          <m:t>K</m:t>
        </m:r>
        <m:r>
          <m:rPr>
            <m:sty m:val="p"/>
          </m:rPr>
          <m:t>=</m:t>
        </m:r>
        <m:sSub>
          <m:e>
            <m:r>
              <m:rPr>
                <m:sty m:val="p"/>
                <m:scr m:val="double-struck"/>
              </m:rPr>
              <m:t>F</m:t>
            </m:r>
          </m:e>
          <m:sub>
            <m:sSup>
              <m:e>
                <m:r>
                  <m:t>2</m:t>
                </m:r>
              </m:e>
              <m:sup>
                <m:r>
                  <m:t>10</m:t>
                </m:r>
              </m:sup>
            </m:sSup>
          </m:sub>
        </m:sSub>
      </m:oMath>
      <w:r>
        <w:t xml:space="preserve">. Any faithful 10-bit-per-coordinate representation requires at least</w:t>
      </w:r>
      <w:r>
        <w:t xml:space="preserve"> </w:t>
      </w:r>
      <m:oMath>
        <m:r>
          <m:t>10</m:t>
        </m:r>
        <m:r>
          <m:t>q</m:t>
        </m:r>
        <m:r>
          <m:t>N</m:t>
        </m:r>
      </m:oMath>
      <w:r>
        <w:t xml:space="preserve"> </w:t>
      </w:r>
      <w:r>
        <w:t xml:space="preserve">bits. The message ciphertext has</w:t>
      </w:r>
      <w:r>
        <w:t xml:space="preserve"> </w:t>
      </w:r>
      <m:oMath>
        <m:r>
          <m:rPr>
            <m:sty m:val="p"/>
          </m:rPr>
          <m:t>ℓ</m:t>
        </m:r>
        <m:sSub>
          <m:e>
            <m:r>
              <m:t>T</m:t>
            </m:r>
          </m:e>
          <m:sub>
            <m:r>
              <m:rPr>
                <m:sty m:val="p"/>
              </m:rPr>
              <m:t>r</m:t>
            </m:r>
            <m:r>
              <m:rPr>
                <m:sty m:val="p"/>
              </m:rPr>
              <m:t>e</m:t>
            </m:r>
            <m:r>
              <m:rPr>
                <m:sty m:val="p"/>
              </m:rPr>
              <m:t>p</m:t>
            </m:r>
          </m:sub>
        </m:sSub>
      </m:oMath>
      <w:r>
        <w:t xml:space="preserve"> </w:t>
      </w:r>
      <w:r>
        <w:t xml:space="preserve">full vectors of</w:t>
      </w:r>
      <w:r>
        <w:t xml:space="preserve"> </w:t>
      </w:r>
      <m:oMath>
        <m:r>
          <m:t>q</m:t>
        </m:r>
      </m:oMath>
      <w:r>
        <w:t xml:space="preserve"> </w:t>
      </w:r>
      <w:r>
        <w:t xml:space="preserve">field symbols, so even perfect cross-symbol packing requires at least</w:t>
      </w:r>
      <w:r>
        <w:t xml:space="preserve"> </w:t>
      </w:r>
      <m:oMath>
        <m:r>
          <m:t>10</m:t>
        </m:r>
        <m:r>
          <m:t>q</m:t>
        </m:r>
        <m:r>
          <m:rPr>
            <m:sty m:val="p"/>
          </m:rPr>
          <m:t>ℓ</m:t>
        </m:r>
        <m:sSub>
          <m:e>
            <m:r>
              <m:t>T</m:t>
            </m:r>
          </m:e>
          <m:sub>
            <m:r>
              <m:rPr>
                <m:sty m:val="p"/>
              </m:rPr>
              <m:t>r</m:t>
            </m:r>
            <m:r>
              <m:rPr>
                <m:sty m:val="p"/>
              </m:rPr>
              <m:t>e</m:t>
            </m:r>
            <m:r>
              <m:rPr>
                <m:sty m:val="p"/>
              </m:rPr>
              <m:t>p</m:t>
            </m:r>
          </m:sub>
        </m:sSub>
      </m:oMath>
      <w:r>
        <w:t xml:space="preserve"> </w:t>
      </w:r>
      <w:r>
        <w:t xml:space="preserve">bits. For</w:t>
      </w:r>
      <w:r>
        <w:t xml:space="preserve"> </w:t>
      </w:r>
      <m:oMath>
        <m:sSub>
          <m:e>
            <m:r>
              <m:t>T</m:t>
            </m:r>
          </m:e>
          <m:sub>
            <m:r>
              <m:rPr>
                <m:sty m:val="p"/>
              </m:rPr>
              <m:t>r</m:t>
            </m:r>
            <m:r>
              <m:rPr>
                <m:sty m:val="p"/>
              </m:rPr>
              <m:t>e</m:t>
            </m:r>
            <m:r>
              <m:rPr>
                <m:sty m:val="p"/>
              </m:rPr>
              <m:t>p</m:t>
            </m:r>
          </m:sub>
        </m:sSub>
        <m:r>
          <m:rPr>
            <m:sty m:val="p"/>
          </m:rPr>
          <m:t>=</m:t>
        </m:r>
        <m:r>
          <m:t>7</m:t>
        </m:r>
      </m:oMath>
      <w:r>
        <w:t xml:space="preserve"> </w:t>
      </w:r>
      <w:r>
        <w:t xml:space="preserve">the arithmetic 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profile</w:t>
            </w:r>
          </w:p>
        </w:tc>
        <w:tc>
          <w:tcPr/>
          <w:p>
            <w:pPr>
              <w:pStyle w:val="Compact"/>
              <w:jc w:val="right"/>
            </w:pPr>
            <w:r>
              <w:t xml:space="preserve">Labels</w:t>
            </w:r>
          </w:p>
        </w:tc>
        <w:tc>
          <w:tcPr/>
          <w:p>
            <w:pPr>
              <w:pStyle w:val="Compact"/>
              <w:jc w:val="right"/>
            </w:pPr>
            <w:r>
              <w:t xml:space="preserve">Public label matrix (bytes)</w:t>
            </w:r>
          </w:p>
        </w:tc>
        <w:tc>
          <w:tcPr/>
          <w:p>
            <w:pPr>
              <w:pStyle w:val="Compact"/>
              <w:jc w:val="right"/>
            </w:pPr>
            <w:r>
              <w:t xml:space="preserve">One KEM ciphertext (bytes)</w:t>
            </w:r>
          </w:p>
        </w:tc>
      </w:tr>
      <w:tr>
        <w:tc>
          <w:tcPr/>
          <w:p>
            <w:pPr>
              <w:pStyle w:val="Compact"/>
              <w:jc w:val="left"/>
            </w:pPr>
            <w:r>
              <w:t xml:space="preserve">SGD-R1</w:t>
            </w:r>
          </w:p>
        </w:tc>
        <w:tc>
          <w:tcPr/>
          <w:p>
            <w:pPr>
              <w:pStyle w:val="Compact"/>
              <w:jc w:val="right"/>
            </w:pPr>
            <w:r>
              <w:t xml:space="preserve">27,648</w:t>
            </w:r>
          </w:p>
        </w:tc>
        <w:tc>
          <w:tcPr/>
          <w:p>
            <w:pPr>
              <w:pStyle w:val="Compact"/>
              <w:jc w:val="right"/>
            </w:pPr>
            <w:r>
              <w:t xml:space="preserve">22,118,400</w:t>
            </w:r>
          </w:p>
        </w:tc>
        <w:tc>
          <w:tcPr/>
          <w:p>
            <w:pPr>
              <w:pStyle w:val="Compact"/>
              <w:jc w:val="right"/>
            </w:pPr>
            <w:r>
              <w:t xml:space="preserve">77,414,400</w:t>
            </w:r>
          </w:p>
        </w:tc>
      </w:tr>
      <w:tr>
        <w:tc>
          <w:tcPr/>
          <w:p>
            <w:pPr>
              <w:pStyle w:val="Compact"/>
              <w:jc w:val="left"/>
            </w:pPr>
            <w:r>
              <w:t xml:space="preserve">SGD-R2</w:t>
            </w:r>
          </w:p>
        </w:tc>
        <w:tc>
          <w:tcPr/>
          <w:p>
            <w:pPr>
              <w:pStyle w:val="Compact"/>
              <w:jc w:val="right"/>
            </w:pPr>
            <w:r>
              <w:t xml:space="preserve">124,416</w:t>
            </w:r>
          </w:p>
        </w:tc>
        <w:tc>
          <w:tcPr/>
          <w:p>
            <w:pPr>
              <w:pStyle w:val="Compact"/>
              <w:jc w:val="right"/>
            </w:pPr>
            <w:r>
              <w:t xml:space="preserve">149,299,200</w:t>
            </w:r>
          </w:p>
        </w:tc>
        <w:tc>
          <w:tcPr/>
          <w:p>
            <w:pPr>
              <w:pStyle w:val="Compact"/>
              <w:jc w:val="right"/>
            </w:pPr>
            <w:r>
              <w:t xml:space="preserve">487,710,720</w:t>
            </w:r>
          </w:p>
        </w:tc>
      </w:tr>
      <w:tr>
        <w:tc>
          <w:tcPr/>
          <w:p>
            <w:pPr>
              <w:pStyle w:val="Compact"/>
              <w:jc w:val="left"/>
            </w:pPr>
            <w:r>
              <w:t xml:space="preserve">SGD-R3</w:t>
            </w:r>
          </w:p>
        </w:tc>
        <w:tc>
          <w:tcPr/>
          <w:p>
            <w:pPr>
              <w:pStyle w:val="Compact"/>
              <w:jc w:val="right"/>
            </w:pPr>
            <w:r>
              <w:t xml:space="preserve">497,664</w:t>
            </w:r>
          </w:p>
        </w:tc>
        <w:tc>
          <w:tcPr/>
          <w:p>
            <w:pPr>
              <w:pStyle w:val="Compact"/>
              <w:jc w:val="right"/>
            </w:pPr>
            <w:r>
              <w:t xml:space="preserve">796,262,400</w:t>
            </w:r>
          </w:p>
        </w:tc>
        <w:tc>
          <w:tcPr/>
          <w:p>
            <w:pPr>
              <w:pStyle w:val="Compact"/>
              <w:jc w:val="right"/>
            </w:pPr>
            <w:r>
              <w:t xml:space="preserve">2,786,918,400</w:t>
            </w:r>
          </w:p>
        </w:tc>
      </w:tr>
    </w:tbl>
    <w:p>
      <w:pPr>
        <w:pStyle w:val="BodyText"/>
      </w:pPr>
      <w:r>
        <w:t xml:space="preserve">The original profiles consequently require roughly 73.83 MiB, 465.12 MiB and 2,657.81 MiB of ciphertext</w:t>
      </w:r>
      <w:r>
        <w:t xml:space="preserve"> </w:t>
      </w:r>
      <w:r>
        <w:rPr>
          <w:bCs/>
          <w:b/>
        </w:rPr>
        <w:t xml:space="preserve">before</w:t>
      </w:r>
      <w:r>
        <w:t xml:space="preserve"> </w:t>
      </w:r>
      <w:r>
        <w:t xml:space="preserve">framing or extra metadata. These sizes are exact</w:t>
      </w:r>
      <w:r>
        <w:t xml:space="preserve"> </w:t>
      </w:r>
      <w:r>
        <w:rPr>
          <w:iCs/>
          <w:i/>
        </w:rPr>
        <w:t xml:space="preserve">lower bounds</w:t>
      </w:r>
      <w:r>
        <w:t xml:space="preserve"> </w:t>
      </w:r>
      <w:r>
        <w:t xml:space="preserve">from the original algorithms, not implementation measurements or a weak-attack estimate. A new compression claim would need to show correctness and security after the changed ciphertext distribution. A hybrid combiner does not eliminate this bandwidth defect.</w:t>
      </w:r>
    </w:p>
    <w:bookmarkEnd w:id="37"/>
    <w:bookmarkStart w:id="38" w:name="Xb91f30c987f197e5d16c01affa970c53655b8d7"/>
    <w:p>
      <w:pPr>
        <w:pStyle w:val="Heading2"/>
      </w:pPr>
      <w:r>
        <w:t xml:space="preserve">12.2 Independent reduced-parameter planted-subspace recovery experiment</w:t>
      </w:r>
    </w:p>
    <w:p>
      <w:pPr>
        <w:pStyle w:val="FirstParagraph"/>
      </w:pPr>
      <w:r>
        <w:t xml:space="preserve">The GRS proof says no relation involving</w:t>
      </w:r>
      <w:r>
        <w:t xml:space="preserve"> </w:t>
      </w:r>
      <m:oMath>
        <m:r>
          <m:rPr>
            <m:sty m:val="p"/>
          </m:rPr>
          <m:t>≤</m:t>
        </m:r>
        <m:r>
          <m:t>u</m:t>
        </m:r>
      </m:oMath>
      <w:r>
        <w:t xml:space="preserve"> </w:t>
      </w:r>
      <w:r>
        <w:t xml:space="preserve">planted rows exists. It also implies that</w:t>
      </w:r>
      <w:r>
        <w:t xml:space="preserve"> </w:t>
      </w:r>
      <m:oMath>
        <m:r>
          <m:t>u</m:t>
        </m:r>
        <m:r>
          <m:rPr>
            <m:sty m:val="p"/>
          </m:rPr>
          <m:t>+</m:t>
        </m:r>
        <m:r>
          <m:t>1</m:t>
        </m:r>
      </m:oMath>
      <w:r>
        <w:t xml:space="preserve"> </w:t>
      </w:r>
      <w:r>
        <w:t xml:space="preserve">planted rows are dependent. This is not automatically a security guarantee: an adversary can enumerate one candidate per group, test the rank, identify a planted</w:t>
      </w:r>
      <w:r>
        <w:t xml:space="preserve"> </w:t>
      </w:r>
      <m:oMath>
        <m:r>
          <m:t>u</m:t>
        </m:r>
        <m:r>
          <m:rPr>
            <m:sty m:val="p"/>
          </m:rPr>
          <m:t>+</m:t>
        </m:r>
        <m:r>
          <m:t>1</m:t>
        </m:r>
      </m:oMath>
      <w:r>
        <w:t xml:space="preserve">-tuple, and then recover additional planted rows by checking membership in the discovered dimension-</w:t>
      </w:r>
      <m:oMath>
        <m:r>
          <m:t>u</m:t>
        </m:r>
      </m:oMath>
      <w:r>
        <w:t xml:space="preserve"> </w:t>
      </w:r>
      <w:r>
        <w:t xml:space="preserve">subspace. The search is not efficient for the proposed full parameters, but</w:t>
      </w:r>
      <w:r>
        <w:t xml:space="preserve"> </w:t>
      </w:r>
      <w:r>
        <w:rPr>
          <w:bCs/>
          <w:b/>
        </w:rPr>
        <w:t xml:space="preserve">the mechanism exists</w:t>
      </w:r>
      <w:r>
        <w:t xml:space="preserve"> </w:t>
      </w:r>
      <w:r>
        <w:t xml:space="preserve">and is tested on small, exact</w:t>
      </w:r>
      <w:r>
        <w:t xml:space="preserve"> </w:t>
      </w:r>
      <m:oMath>
        <m:sSub>
          <m:e>
            <m:r>
              <m:rPr>
                <m:sty m:val="p"/>
                <m:scr m:val="double-struck"/>
              </m:rPr>
              <m:t>F</m:t>
            </m:r>
          </m:e>
          <m:sub>
            <m:sSup>
              <m:e>
                <m:r>
                  <m:t>2</m:t>
                </m:r>
              </m:e>
              <m:sup>
                <m:r>
                  <m:t>10</m:t>
                </m:r>
              </m:sup>
            </m:sSup>
          </m:sub>
        </m:sSub>
      </m:oMath>
      <w:r>
        <w:t xml:space="preserve"> </w:t>
      </w:r>
      <w:r>
        <w:t xml:space="preserve">instances.</w:t>
      </w:r>
    </w:p>
    <w:p>
      <w:pPr>
        <w:pStyle w:val="BodyText"/>
      </w:pPr>
      <w:r>
        <w:t xml:space="preserve">In the accompanying</w:t>
      </w:r>
      <w:r>
        <w:t xml:space="preserve"> </w:t>
      </w:r>
      <w:r>
        <w:rPr>
          <w:rStyle w:val="VerbatimChar"/>
        </w:rPr>
        <w:t xml:space="preserve">toy_hidden_mds_attack.py</w:t>
      </w:r>
      <w:r>
        <w:t xml:space="preserve">, with</w:t>
      </w:r>
      <w:r>
        <w:t xml:space="preserve"> </w:t>
      </w:r>
      <m:oMath>
        <m:r>
          <m:t>m</m:t>
        </m:r>
        <m:r>
          <m:rPr>
            <m:sty m:val="p"/>
          </m:rPr>
          <m:t>=</m:t>
        </m:r>
        <m:r>
          <m:t>6</m:t>
        </m:r>
      </m:oMath>
      <w:r>
        <w:t xml:space="preserve"> </w:t>
      </w:r>
      <w:r>
        <w:t xml:space="preserve">buckets of size</w:t>
      </w:r>
      <w:r>
        <w:t xml:space="preserve"> </w:t>
      </w:r>
      <m:oMath>
        <m:sSub>
          <m:e>
            <m:r>
              <m:t>B</m:t>
            </m:r>
          </m:e>
          <m:sub>
            <m:r>
              <m:t>0</m:t>
            </m:r>
          </m:sub>
        </m:sSub>
        <m:r>
          <m:rPr>
            <m:sty m:val="p"/>
          </m:rPr>
          <m:t>=</m:t>
        </m:r>
        <m:r>
          <m:t>3</m:t>
        </m:r>
      </m:oMath>
      <w:r>
        <w:t xml:space="preserve">,</w:t>
      </w:r>
      <w:r>
        <w:t xml:space="preserve"> </w:t>
      </w:r>
      <m:oMath>
        <m:r>
          <m:t>M</m:t>
        </m:r>
        <m:r>
          <m:rPr>
            <m:sty m:val="p"/>
          </m:rPr>
          <m:t>=</m:t>
        </m:r>
        <m:r>
          <m:t>5</m:t>
        </m:r>
      </m:oMath>
      <w:r>
        <w:t xml:space="preserve">,</w:t>
      </w:r>
      <w:r>
        <w:t xml:space="preserve"> </w:t>
      </w:r>
      <m:oMath>
        <m:r>
          <m:t>u</m:t>
        </m:r>
        <m:r>
          <m:rPr>
            <m:sty m:val="p"/>
          </m:rPr>
          <m:t>=</m:t>
        </m:r>
        <m:r>
          <m:t>3</m:t>
        </m:r>
      </m:oMath>
      <w:r>
        <w:t xml:space="preserve">, and ambient</w:t>
      </w:r>
      <w:r>
        <w:t xml:space="preserve"> </w:t>
      </w:r>
      <m:oMath>
        <m:r>
          <m:t>N</m:t>
        </m:r>
        <m:r>
          <m:rPr>
            <m:sty m:val="p"/>
          </m:rPr>
          <m:t>=</m:t>
        </m:r>
        <m:r>
          <m:t>6</m:t>
        </m:r>
      </m:oMath>
      <w:r>
        <w:t xml:space="preserve">, the attack enumerates group sets and candidate positions until finding a rank-three set of four labels; extending the recovered span identifies all five planted labels. This is a regression against too-strong security narratives; toy performance must not be extrapolated into a finite security-level claim. The attack cost increases combinatorially for the larger parameters and is not a measured full-profile break.</w:t>
      </w:r>
    </w:p>
    <w:bookmarkEnd w:id="38"/>
    <w:bookmarkStart w:id="39" w:name="profile-specific-attack-and-proof-matrix"/>
    <w:p>
      <w:pPr>
        <w:pStyle w:val="Heading2"/>
      </w:pPr>
      <w:r>
        <w:t xml:space="preserve">12.3 Profile-specific attack and proof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Mathematically established</w:t>
            </w:r>
          </w:p>
        </w:tc>
        <w:tc>
          <w:tcPr/>
          <w:p>
            <w:pPr>
              <w:pStyle w:val="Compact"/>
              <w:jc w:val="left"/>
            </w:pPr>
            <w:r>
              <w:t xml:space="preserve">Still missing</w:t>
            </w:r>
          </w:p>
        </w:tc>
      </w:tr>
      <w:tr>
        <w:tc>
          <w:tcPr/>
          <w:p>
            <w:pPr>
              <w:pStyle w:val="Compact"/>
              <w:jc w:val="left"/>
            </w:pPr>
            <w:r>
              <w:t xml:space="preserve">Are public NCSG fibers regular?</w:t>
            </w:r>
          </w:p>
        </w:tc>
        <w:tc>
          <w:tcPr/>
          <w:p>
            <w:pPr>
              <w:pStyle w:val="Compact"/>
              <w:jc w:val="left"/>
            </w:pPr>
            <w:r>
              <w:t xml:space="preserve">Exactly</w:t>
            </w:r>
            <w:r>
              <w:t xml:space="preserve"> </w:t>
            </w:r>
            <m:oMath>
              <m:sSup>
                <m:e>
                  <m:r>
                    <m:t>3</m:t>
                  </m:r>
                </m:e>
                <m:sup>
                  <m:r>
                    <m:t>d</m:t>
                  </m:r>
                </m:sup>
              </m:sSup>
            </m:oMath>
            <w:r>
              <w:t xml:space="preserve"> </w:t>
            </w:r>
            <w:r>
              <w:t xml:space="preserve">selected points per fiber</w:t>
            </w:r>
          </w:p>
        </w:tc>
        <w:tc>
          <w:tcPr/>
          <w:p>
            <w:pPr>
              <w:pStyle w:val="Compact"/>
              <w:jc w:val="left"/>
            </w:pPr>
            <w:r>
              <w:t xml:space="preserve">None for this local identity</w:t>
            </w:r>
          </w:p>
        </w:tc>
      </w:tr>
      <w:tr>
        <w:tc>
          <w:tcPr/>
          <w:p>
            <w:pPr>
              <w:pStyle w:val="Compact"/>
              <w:jc w:val="left"/>
            </w:pPr>
            <w:r>
              <w:t xml:space="preserve">Is the master secret</w:t>
            </w:r>
            <w:r>
              <w:t xml:space="preserve"> </w:t>
            </w:r>
            <m:oMath>
              <m:r>
                <m:t>s</m:t>
              </m:r>
            </m:oMath>
            <w:r>
              <w:t xml:space="preserve"> </w:t>
            </w:r>
            <w:r>
              <w:t xml:space="preserve">hidden?</w:t>
            </w:r>
          </w:p>
        </w:tc>
        <w:tc>
          <w:tcPr/>
          <w:p>
            <w:pPr>
              <w:pStyle w:val="Compact"/>
              <w:jc w:val="left"/>
            </w:pPr>
            <w:r>
              <w:t xml:space="preserve">Yes,</w:t>
            </w:r>
            <w:r>
              <w:t xml:space="preserve"> </w:t>
            </w:r>
            <m:oMath>
              <m:r>
                <m:t>I</m:t>
              </m:r>
              <m:d>
                <m:dPr>
                  <m:begChr m:val="("/>
                  <m:endChr m:val=")"/>
                  <m:sepChr m:val=""/>
                  <m:grow/>
                </m:dPr>
                <m:e>
                  <m:r>
                    <m:t>s</m:t>
                  </m:r>
                  <m:r>
                    <m:rPr>
                      <m:sty m:val="p"/>
                    </m:rPr>
                    <m:t>;</m:t>
                  </m:r>
                  <m:r>
                    <m:t>p</m:t>
                  </m:r>
                  <m:r>
                    <m:t>k</m:t>
                  </m:r>
                </m:e>
              </m:d>
              <m:r>
                <m:rPr>
                  <m:sty m:val="p"/>
                </m:rPr>
                <m:t>=</m:t>
              </m:r>
              <m:r>
                <m:t>0</m:t>
              </m:r>
            </m:oMath>
          </w:p>
        </w:tc>
        <w:tc>
          <w:tcPr/>
          <w:p>
            <w:pPr>
              <w:pStyle w:val="Compact"/>
              <w:jc w:val="left"/>
            </w:pPr>
            <w:r>
              <w:t xml:space="preserve">Its absence does not imply encrypted-message secrecy</w:t>
            </w:r>
          </w:p>
        </w:tc>
      </w:tr>
      <w:tr>
        <w:tc>
          <w:tcPr/>
          <w:p>
            <w:pPr>
              <w:pStyle w:val="Compact"/>
              <w:jc w:val="left"/>
            </w:pPr>
            <w:r>
              <w:t xml:space="preserve">Can</w:t>
            </w:r>
            <w:r>
              <w:t xml:space="preserve"> </w:t>
            </w:r>
            <m:oMath>
              <m:r>
                <m:t>s</m:t>
              </m:r>
            </m:oMath>
            <w:r>
              <w:t xml:space="preserve"> </w:t>
            </w:r>
            <w:r>
              <w:t xml:space="preserve">be removed without changing decryption?</w:t>
            </w:r>
          </w:p>
        </w:tc>
        <w:tc>
          <w:tcPr/>
          <w:p>
            <w:pPr>
              <w:pStyle w:val="Compact"/>
              <w:jc w:val="left"/>
            </w:pPr>
            <w:r>
              <w:t xml:space="preserve">Yes, exact functional equivalence</w:t>
            </w:r>
          </w:p>
        </w:tc>
        <w:tc>
          <w:tcPr/>
          <w:p>
            <w:pPr>
              <w:pStyle w:val="Compact"/>
              <w:jc w:val="left"/>
            </w:pPr>
            <w:r>
              <w:t xml:space="preserve">New genuine NCSG dependence if desired</w:t>
            </w:r>
          </w:p>
        </w:tc>
      </w:tr>
      <w:tr>
        <w:tc>
          <w:tcPr/>
          <w:p>
            <w:pPr>
              <w:pStyle w:val="Compact"/>
              <w:jc w:val="left"/>
            </w:pPr>
            <w:r>
              <w:t xml:space="preserve">Are planted rows independent up to</w:t>
            </w:r>
            <w:r>
              <w:t xml:space="preserve"> </w:t>
            </w:r>
            <m:oMath>
              <m:r>
                <m:t>u</m:t>
              </m:r>
            </m:oMath>
            <w:r>
              <w:t xml:space="preserve">?</w:t>
            </w:r>
          </w:p>
        </w:tc>
        <w:tc>
          <w:tcPr/>
          <w:p>
            <w:pPr>
              <w:pStyle w:val="Compact"/>
              <w:jc w:val="left"/>
            </w:pPr>
            <w:r>
              <w:t xml:space="preserve">Yes, for full-rank</w:t>
            </w:r>
            <w:r>
              <w:t xml:space="preserve"> </w:t>
            </w:r>
            <m:oMath>
              <m:r>
                <m:t>T</m:t>
              </m:r>
            </m:oMath>
          </w:p>
        </w:tc>
        <w:tc>
          <w:tcPr/>
          <w:p>
            <w:pPr>
              <w:pStyle w:val="Compact"/>
              <w:jc w:val="left"/>
            </w:pPr>
            <w:r>
              <w:t xml:space="preserve">Hardness of finding the hidden subspace</w:t>
            </w:r>
          </w:p>
        </w:tc>
      </w:tr>
      <w:tr>
        <w:tc>
          <w:tcPr/>
          <w:p>
            <w:pPr>
              <w:pStyle w:val="Compact"/>
              <w:jc w:val="left"/>
            </w:pPr>
            <w:r>
              <w:t xml:space="preserve">Are the source finite correctness tails small?</w:t>
            </w:r>
          </w:p>
        </w:tc>
        <w:tc>
          <w:tcPr/>
          <w:p>
            <w:pPr>
              <w:pStyle w:val="Compact"/>
              <w:jc w:val="left"/>
            </w:pPr>
            <w:r>
              <w:t xml:space="preserve">Yes, under ideal independent error and decoder assumptions</w:t>
            </w:r>
          </w:p>
        </w:tc>
        <w:tc>
          <w:tcPr/>
          <w:p>
            <w:pPr>
              <w:pStyle w:val="Compact"/>
              <w:jc w:val="left"/>
            </w:pPr>
            <w:r>
              <w:t xml:space="preserve">End-to-end implementation validation</w:t>
            </w:r>
          </w:p>
        </w:tc>
      </w:tr>
      <w:tr>
        <w:tc>
          <w:tcPr/>
          <w:p>
            <w:pPr>
              <w:pStyle w:val="Compact"/>
              <w:jc w:val="left"/>
            </w:pPr>
            <w:r>
              <w:t xml:space="preserve">Is standalone SG-DIFRA IND-CPA?</w:t>
            </w:r>
          </w:p>
        </w:tc>
        <w:tc>
          <w:tcPr/>
          <w:p>
            <w:pPr>
              <w:pStyle w:val="Compact"/>
              <w:jc w:val="left"/>
            </w:pPr>
            <w:r>
              <w:t xml:space="preserve">Only a reduction conditional on unproved MDS-HBCE and</w:t>
            </w:r>
            <w:r>
              <w:t xml:space="preserve"> </w:t>
            </w:r>
            <m:oMath>
              <m:sSub>
                <m:e>
                  <m:r>
                    <m:rPr>
                      <m:sty m:val="p"/>
                      <m:scr m:val="double-struck"/>
                    </m:rPr>
                    <m:t>F</m:t>
                  </m:r>
                </m:e>
                <m:sub>
                  <m:r>
                    <m:t>1024</m:t>
                  </m:r>
                </m:sub>
              </m:sSub>
            </m:oMath>
            <w:r>
              <w:t xml:space="preserve">-LPN</w:t>
            </w:r>
          </w:p>
        </w:tc>
        <w:tc>
          <w:tcPr/>
          <w:p>
            <w:pPr>
              <w:pStyle w:val="Compact"/>
              <w:jc w:val="left"/>
            </w:pPr>
            <w:r>
              <w:t xml:space="preserve">Proof of those premises or independent finite estimator</w:t>
            </w:r>
          </w:p>
        </w:tc>
      </w:tr>
      <w:tr>
        <w:tc>
          <w:tcPr/>
          <w:p>
            <w:pPr>
              <w:pStyle w:val="Compact"/>
              <w:jc w:val="left"/>
            </w:pPr>
            <w:r>
              <w:t xml:space="preserve">Is standalone SG-DIFRA QROM IND-CCA?</w:t>
            </w:r>
          </w:p>
        </w:tc>
        <w:tc>
          <w:tcPr/>
          <w:p>
            <w:pPr>
              <w:pStyle w:val="Compact"/>
              <w:jc w:val="left"/>
            </w:pPr>
            <w:r>
              <w:t xml:space="preserve">Not established</w:t>
            </w:r>
          </w:p>
        </w:tc>
        <w:tc>
          <w:tcPr/>
          <w:p>
            <w:pPr>
              <w:pStyle w:val="Compact"/>
              <w:jc w:val="left"/>
            </w:pPr>
            <w:r>
              <w:t xml:space="preserve">An explicit transform reduction with losses and failure handling</w:t>
            </w:r>
          </w:p>
        </w:tc>
      </w:tr>
      <w:tr>
        <w:tc>
          <w:tcPr/>
          <w:p>
            <w:pPr>
              <w:pStyle w:val="Compact"/>
              <w:jc w:val="left"/>
            </w:pPr>
            <w:r>
              <w:t xml:space="preserve">Is the optional hybrid quantum IND-CCA?</w:t>
            </w:r>
          </w:p>
        </w:tc>
        <w:tc>
          <w:tcPr/>
          <w:p>
            <w:pPr>
              <w:pStyle w:val="Compact"/>
              <w:jc w:val="left"/>
            </w:pPr>
            <w:r>
              <w:t xml:space="preserve">Follows</w:t>
            </w:r>
            <w:r>
              <w:t xml:space="preserve"> </w:t>
            </w:r>
            <w:r>
              <w:rPr>
                <w:bCs/>
                <w:b/>
              </w:rPr>
              <w:t xml:space="preserve">conditionally</w:t>
            </w:r>
            <w:r>
              <w:t xml:space="preserve"> </w:t>
            </w:r>
            <w:r>
              <w:t xml:space="preserve">from matching KEM-combiner hypotheses if one ingredient and the core are quantum secure</w:t>
            </w:r>
          </w:p>
        </w:tc>
        <w:tc>
          <w:tcPr/>
          <w:p>
            <w:pPr>
              <w:pStyle w:val="Compact"/>
              <w:jc w:val="left"/>
            </w:pPr>
            <w:r>
              <w:t xml:space="preserve">Instantiated independent ML-KEM library, split-key core, quantum model and full software validation</w:t>
            </w:r>
          </w:p>
        </w:tc>
      </w:tr>
    </w:tbl>
    <w:bookmarkEnd w:id="39"/>
    <w:bookmarkStart w:id="40" w:name="X77b487c3a559028d6d709d7fe93fad5e7e19aa5"/>
    <w:p>
      <w:pPr>
        <w:pStyle w:val="Heading2"/>
      </w:pPr>
      <w:r>
        <w:t xml:space="preserve">12.4 Optional robust parallel hybrid — a</w:t>
      </w:r>
      <w:r>
        <w:t xml:space="preserve"> </w:t>
      </w:r>
      <w:r>
        <w:rPr>
          <w:iCs/>
          <w:i/>
        </w:rPr>
        <w:t xml:space="preserve">different</w:t>
      </w:r>
      <w:r>
        <w:t xml:space="preserve"> </w:t>
      </w:r>
      <w:r>
        <w:t xml:space="preserve">KEM</w:t>
      </w:r>
    </w:p>
    <w:p>
      <w:pPr>
        <w:pStyle w:val="FirstParagraph"/>
      </w:pPr>
      <w:r>
        <w:t xml:space="preserve">To provide a defensible additional</w:t>
      </w:r>
      <w:r>
        <w:t xml:space="preserve"> </w:t>
      </w:r>
      <w:r>
        <w:rPr>
          <w:iCs/>
          <w:i/>
        </w:rPr>
        <w:t xml:space="preserve">system-level</w:t>
      </w:r>
      <w:r>
        <w:t xml:space="preserve"> </w:t>
      </w:r>
      <w:r>
        <w:t xml:space="preserve">security basis while preserving the new NCSG/MDS research direction, define two independent ingredients:</w:t>
      </w:r>
      <w:r>
        <w:t xml:space="preserve"> </w:t>
      </w:r>
      <m:oMath>
        <m:r>
          <m:rPr>
            <m:sty m:val="p"/>
          </m:rPr>
          <m:t>S</m:t>
        </m:r>
        <m:r>
          <m:rPr>
            <m:sty m:val="p"/>
          </m:rPr>
          <m:t>G</m:t>
        </m:r>
        <m:r>
          <m:rPr>
            <m:sty m:val="p"/>
          </m:rPr>
          <m:t>D</m:t>
        </m:r>
      </m:oMath>
      <w:r>
        <w:t xml:space="preserve"> </w:t>
      </w:r>
      <w:r>
        <w:t xml:space="preserve">for standalone SG-DIFRA and</w:t>
      </w:r>
      <w:r>
        <w:t xml:space="preserve"> </w:t>
      </w:r>
      <m:oMath>
        <m:r>
          <m:rPr>
            <m:sty m:val="p"/>
          </m:rPr>
          <m:t>M</m:t>
        </m:r>
        <m:r>
          <m:rPr>
            <m:sty m:val="p"/>
          </m:rPr>
          <m:t>L</m:t>
        </m:r>
        <m:r>
          <m:rPr>
            <m:sty m:val="p"/>
          </m:rPr>
          <m:t>K</m:t>
        </m:r>
        <m:r>
          <m:rPr>
            <m:sty m:val="p"/>
          </m:rPr>
          <m:t>E</m:t>
        </m:r>
        <m:r>
          <m:rPr>
            <m:sty m:val="p"/>
          </m:rPr>
          <m:t>M</m:t>
        </m:r>
      </m:oMath>
      <w:r>
        <w:t xml:space="preserve"> </w:t>
      </w:r>
      <w:r>
        <w:t xml:space="preserve">for NIST FIPS-203 ML-KEM-1024. Both key pairs are generated independently and used</w:t>
      </w:r>
      <w:r>
        <w:t xml:space="preserve"> </w:t>
      </w:r>
      <w:r>
        <w:rPr>
          <w:iCs/>
          <w:i/>
        </w:rPr>
        <w:t xml:space="preserve">only</w:t>
      </w:r>
      <w:r>
        <w:t xml:space="preserve"> </w:t>
      </w:r>
      <w:r>
        <w:t xml:space="preserve">within the composite KEM, with distinct seed domains. Both encapsulations use independent coins and their ciphertexts are length-framed and canonically parsed.</w:t>
      </w:r>
    </w:p>
    <w:p>
      <w:pPr>
        <w:pStyle w:val="BodyText"/>
      </w:pPr>
      <w:r>
        <w:t xml:space="preserve">Let</w:t>
      </w:r>
      <w:r>
        <w:t xml:space="preserve"> </w:t>
      </w:r>
      <m:oMath>
        <m:d>
          <m:dPr>
            <m:begChr m:val="("/>
            <m:endChr m:val=")"/>
            <m:sepChr m:val=""/>
            <m:grow/>
          </m:dPr>
          <m:e>
            <m:sSub>
              <m:e>
                <m:r>
                  <m:t>c</m:t>
                </m:r>
              </m:e>
              <m:sub>
                <m:r>
                  <m:t>M</m:t>
                </m:r>
              </m:sub>
            </m:sSub>
            <m:r>
              <m:rPr>
                <m:sty m:val="p"/>
              </m:rPr>
              <m:t>,</m:t>
            </m:r>
            <m:sSub>
              <m:e>
                <m:r>
                  <m:t>k</m:t>
                </m:r>
              </m:e>
              <m:sub>
                <m:r>
                  <m:t>M</m:t>
                </m:r>
              </m:sub>
            </m:sSub>
          </m:e>
        </m:d>
      </m:oMath>
      <w:r>
        <w:t xml:space="preserve"> </w:t>
      </w:r>
      <w:r>
        <w:t xml:space="preserve">and</w:t>
      </w:r>
      <w:r>
        <w:t xml:space="preserve"> </w:t>
      </w:r>
      <m:oMath>
        <m:d>
          <m:dPr>
            <m:begChr m:val="("/>
            <m:endChr m:val=")"/>
            <m:sepChr m:val=""/>
            <m:grow/>
          </m:dPr>
          <m:e>
            <m:sSub>
              <m:e>
                <m:r>
                  <m:t>c</m:t>
                </m:r>
              </m:e>
              <m:sub>
                <m:r>
                  <m:t>S</m:t>
                </m:r>
              </m:sub>
            </m:sSub>
            <m:r>
              <m:rPr>
                <m:sty m:val="p"/>
              </m:rPr>
              <m:t>,</m:t>
            </m:r>
            <m:sSub>
              <m:e>
                <m:r>
                  <m:t>k</m:t>
                </m:r>
              </m:e>
              <m:sub>
                <m:r>
                  <m:t>S</m:t>
                </m:r>
              </m:sub>
            </m:sSub>
          </m:e>
        </m:d>
      </m:oMath>
      <w:r>
        <w:t xml:space="preserve"> </w:t>
      </w:r>
      <w:r>
        <w:t xml:space="preserve">denote encapsulations under ML-KEM and SG-DIFRA. The combined ciphertext is</w:t>
      </w:r>
      <w:r>
        <w:t xml:space="preserve"> </w:t>
      </w:r>
      <m:oMath>
        <m:r>
          <m:t>c</m:t>
        </m:r>
        <m:r>
          <m:rPr>
            <m:sty m:val="p"/>
          </m:rPr>
          <m:t>=</m:t>
        </m:r>
        <m:r>
          <m:rPr>
            <m:sty m:val="p"/>
          </m:rPr>
          <m:t>L</m:t>
        </m:r>
        <m:r>
          <m:rPr>
            <m:sty m:val="p"/>
          </m:rPr>
          <m:t>P</m:t>
        </m:r>
        <m:d>
          <m:dPr>
            <m:begChr m:val="("/>
            <m:endChr m:val=")"/>
            <m:sepChr m:val=""/>
            <m:grow/>
          </m:dPr>
          <m:e>
            <m:sSub>
              <m:e>
                <m:r>
                  <m:t>c</m:t>
                </m:r>
              </m:e>
              <m:sub>
                <m:r>
                  <m:t>M</m:t>
                </m:r>
              </m:sub>
            </m:sSub>
          </m:e>
        </m:d>
        <m:r>
          <m:rPr>
            <m:sty m:val="p"/>
          </m:rPr>
          <m:t>‖</m:t>
        </m:r>
        <m:r>
          <m:rPr>
            <m:sty m:val="p"/>
          </m:rPr>
          <m:t>L</m:t>
        </m:r>
        <m:r>
          <m:rPr>
            <m:sty m:val="p"/>
          </m:rPr>
          <m:t>P</m:t>
        </m:r>
        <m:d>
          <m:dPr>
            <m:begChr m:val="("/>
            <m:endChr m:val=")"/>
            <m:sepChr m:val=""/>
            <m:grow/>
          </m:dPr>
          <m:e>
            <m:sSub>
              <m:e>
                <m:r>
                  <m:t>c</m:t>
                </m:r>
              </m:e>
              <m:sub>
                <m:r>
                  <m:t>S</m:t>
                </m:r>
              </m:sub>
            </m:sSub>
          </m:e>
        </m:d>
      </m:oMath>
      <w:r>
        <w:t xml:space="preserve">, and the shared secret is</w:t>
      </w:r>
      <w:r>
        <w:t xml:space="preserve"> </w:t>
      </w:r>
      <w:r>
        <w:t xml:space="preserve">[</w:t>
      </w:r>
      <w:r>
        <w:t xml:space="preserve"> </w:t>
      </w:r>
      <w:r>
        <w:t xml:space="preserve">k=W!</w:t>
      </w:r>
      <w:r>
        <w:t xml:space="preserve">(k_M,k_S;{</w:t>
      </w:r>
      <w:r>
        <w:t xml:space="preserve">}(ek_M)</w:t>
      </w:r>
      <w:r>
        <w:t xml:space="preserve">(ek_S)</w:t>
      </w:r>
      <w:r>
        <w:t xml:space="preserve"> </w:t>
      </w:r>
      <w:r>
        <w:t xml:space="preserve">{</w:t>
      </w:r>
      <w:r>
        <w:t xml:space="preserve">}(c_M)</w:t>
      </w:r>
      <w:r>
        <w:t xml:space="preserve">(c_S)</w:t>
      </w:r>
      <w:r>
        <w:t xml:space="preserve">(</w:t>
      </w:r>
      <w:r>
        <w:t xml:space="preserve">)</w:t>
      </w:r>
      <w:r>
        <w:t xml:space="preserve">)</w:t>
      </w:r>
      <w:r>
        <w:t xml:space="preserve"> </w:t>
      </w:r>
      <w:r>
        <w:t xml:space="preserve">]</w:t>
      </w:r>
      <w:r>
        <w:t xml:space="preserve"> </w:t>
      </w:r>
      <w:r>
        <w:t xml:space="preserve">for a</w:t>
      </w:r>
      <w:r>
        <w:t xml:space="preserve"> </w:t>
      </w:r>
      <w:r>
        <w:rPr>
          <w:bCs/>
          <w:b/>
        </w:rPr>
        <w:t xml:space="preserve">fully specified</w:t>
      </w:r>
      <w:r>
        <w:t xml:space="preserve"> </w:t>
      </w:r>
      <w:r>
        <w:t xml:space="preserve">split-key-PRF core</w:t>
      </w:r>
      <w:r>
        <w:t xml:space="preserve"> </w:t>
      </w:r>
      <m:oMath>
        <m:r>
          <m:t>W</m:t>
        </m:r>
      </m:oMath>
      <w:r>
        <w:t xml:space="preserve"> </w:t>
      </w:r>
      <w:r>
        <w:t xml:space="preserve">in the intended classical/quantum security model. Here</w:t>
      </w:r>
      <w:r>
        <w:t xml:space="preserve"> </w:t>
      </w:r>
      <m:oMath>
        <m:r>
          <m:rPr>
            <m:sty m:val="p"/>
          </m:rPr>
          <m:t>L</m:t>
        </m:r>
        <m:r>
          <m:rPr>
            <m:sty m:val="p"/>
          </m:rPr>
          <m:t>P</m:t>
        </m:r>
      </m:oMath>
      <w:r>
        <w:t xml:space="preserve"> </w:t>
      </w:r>
      <w:r>
        <w:t xml:space="preserve">means an unambiguous length-prefixed byte encoding and all strings include a fixed protocol version. The repository contains canonical encoding and binding tests as</w:t>
      </w:r>
      <w:r>
        <w:t xml:space="preserve"> </w:t>
      </w:r>
      <w:r>
        <w:rPr>
          <w:bCs/>
          <w:b/>
        </w:rPr>
        <w:t xml:space="preserve">nonproduction demonstration code</w:t>
      </w:r>
      <w:r>
        <w:t xml:space="preserve">. A generic SHAKE-256 computation in a test fixture must</w:t>
      </w:r>
      <w:r>
        <w:t xml:space="preserve"> </w:t>
      </w:r>
      <w:r>
        <w:rPr>
          <w:iCs/>
          <w:i/>
        </w:rPr>
        <w:t xml:space="preserve">not</w:t>
      </w:r>
      <w:r>
        <w:t xml:space="preserve"> </w:t>
      </w:r>
      <w:r>
        <w:t xml:space="preserve">be called a proven QROM split-key-PRF instantiation.</w:t>
      </w:r>
    </w:p>
    <w:p>
      <w:pPr>
        <w:pStyle w:val="BodyText"/>
      </w:pPr>
      <w:r>
        <w:rPr>
          <w:bCs/>
          <w:b/>
        </w:rPr>
        <w:t xml:space="preserve">Conditional theorem (parallel KEM-combiner transfer).</w:t>
      </w:r>
      <w:r>
        <w:t xml:space="preserve"> </w:t>
      </w:r>
      <w:r>
        <w:t xml:space="preserve">Under the independence, interface and split-key-PRF hypotheses of Giacon–Heuer–Poettering, the parallel KEM is IND-CCA secure (up to the theorem’s reductions) if at least one ingredient KEM is IND-CCA secure under the same model. For a quantum conclusion, the surviving ingredient and combiner core must satisfy the matching quantum assumptions.</w:t>
      </w:r>
    </w:p>
    <w:p>
      <w:pPr>
        <w:pStyle w:val="BodyText"/>
      </w:pPr>
      <w:r>
        <w:rPr>
          <w:bCs/>
          <w:b/>
        </w:rPr>
        <w:t xml:space="preserve">Proof.</w:t>
      </w:r>
      <w:r>
        <w:t xml:space="preserve"> </w:t>
      </w:r>
      <w:r>
        <w:t xml:space="preserve">This is an application of the published split-key-PRF parallel-combiner theorem, not a new reduction from NCSG-DS. A 2025 NIST workshop presentation summarizes these hypotheses; NIST SP 800-227 addresses KEM combiners; a 2026 IETF CFRG Internet-Draft discusses</w:t>
      </w:r>
      <w:r>
        <w:t xml:space="preserve"> </w:t>
      </w:r>
      <w:r>
        <w:rPr>
          <w:rStyle w:val="VerbatimChar"/>
        </w:rPr>
        <w:t xml:space="preserve">UniversalCombiner</w:t>
      </w:r>
      <w:r>
        <w:t xml:space="preserve"> </w:t>
      </w:r>
      <w:r>
        <w:t xml:space="preserve">using public keys and ciphertexts. No unconditional cryptographic security statement follows.</w:t>
      </w:r>
    </w:p>
    <w:p>
      <w:pPr>
        <w:pStyle w:val="BodyText"/>
      </w:pPr>
      <w:r>
        <w:rPr>
          <w:bCs/>
          <w:b/>
        </w:rPr>
        <w:t xml:space="preserve">Consequences.</w:t>
      </w:r>
      <w:r>
        <w:t xml:space="preserve"> </w:t>
      </w:r>
      <w:r>
        <w:t xml:space="preserve">The hybrid can retain security against compromise of the unproved MDS-HBCE hypothesis</w:t>
      </w:r>
      <w:r>
        <w:t xml:space="preserve"> </w:t>
      </w:r>
      <w:r>
        <w:rPr>
          <w:bCs/>
          <w:b/>
        </w:rPr>
        <w:t xml:space="preserve">if</w:t>
      </w:r>
      <w:r>
        <w:t xml:space="preserve"> </w:t>
      </w:r>
      <w:r>
        <w:t xml:space="preserve">the independently implemented ML-KEM-1024 and the split-key-PRF core remain secure. This is</w:t>
      </w:r>
      <w:r>
        <w:t xml:space="preserve"> </w:t>
      </w:r>
      <w:r>
        <w:rPr>
          <w:bCs/>
          <w:b/>
        </w:rPr>
        <w:t xml:space="preserve">not</w:t>
      </w:r>
      <w:r>
        <w:t xml:space="preserve"> </w:t>
      </w:r>
      <w:r>
        <w:t xml:space="preserve">evidence that standalone SG-DIFRA resists cryptanalysis, and it retains the unacceptable ciphertext expansion of the SG-DIFRA component.</w:t>
      </w:r>
    </w:p>
    <w:bookmarkEnd w:id="40"/>
    <w:bookmarkStart w:id="41" w:name="X1b8386254307d5bfd7a33cf71db3c8565446dc6"/>
    <w:p>
      <w:pPr>
        <w:pStyle w:val="Heading2"/>
      </w:pPr>
      <w:r>
        <w:t xml:space="preserve">12.5 Complete bytes, repeated-key attacks and side channels remain open</w:t>
      </w:r>
    </w:p>
    <w:p>
      <w:pPr>
        <w:pStyle w:val="FirstParagraph"/>
      </w:pPr>
      <w:r>
        <w:t xml:space="preserve">A valid chosen-ciphertext proof must address failed parsing without accessing uninitialized rejection secrets; malformed symbols, duplicate support encodings and overlong inputs; complete ciphertext and public-key binding; deterministic re-encryption; secret-dependent GRS decoder timing/cache behavior; and multi-target use of the same large public</w:t>
      </w:r>
      <w:r>
        <w:t xml:space="preserve"> </w:t>
      </w:r>
      <m:oMath>
        <m:r>
          <m:t>H</m:t>
        </m:r>
      </m:oMath>
      <w:r>
        <w:t xml:space="preserve">. The original pseudocode’s malformed secret-key branch refers to a fallback value that may not exist on parse failure. A production implementation must reject corrupted secret keys explicitly rather than fabricate implicit-rejection output from an unavailable secret.</w:t>
      </w:r>
    </w:p>
    <w:p>
      <w:pPr>
        <w:pStyle w:val="BodyText"/>
      </w:pPr>
      <w:r>
        <w:t xml:space="preserve">Tests of toy finite algebra and canonical wire formatting establish</w:t>
      </w:r>
      <w:r>
        <w:t xml:space="preserve"> </w:t>
      </w:r>
      <w:r>
        <w:rPr>
          <w:bCs/>
          <w:b/>
        </w:rPr>
        <w:t xml:space="preserve">neither</w:t>
      </w:r>
      <w:r>
        <w:t xml:space="preserve"> </w:t>
      </w:r>
      <w:r>
        <w:t xml:space="preserve">side-channel resistance</w:t>
      </w:r>
      <w:r>
        <w:t xml:space="preserve"> </w:t>
      </w:r>
      <w:r>
        <w:rPr>
          <w:bCs/>
          <w:b/>
        </w:rPr>
        <w:t xml:space="preserve">nor</w:t>
      </w:r>
      <w:r>
        <w:t xml:space="preserve"> </w:t>
      </w:r>
      <w:r>
        <w:t xml:space="preserve">CCA security. No full production-quality constant-time KEM implementation is certified in this repository.</w:t>
      </w:r>
    </w:p>
    <w:bookmarkEnd w:id="41"/>
    <w:bookmarkStart w:id="42" w:name="eurocrypt-2028-submission-gates"/>
    <w:p>
      <w:pPr>
        <w:pStyle w:val="Heading2"/>
      </w:pPr>
      <w:r>
        <w:t xml:space="preserve">12.6 EUROCRYPT 2028 submission gates</w:t>
      </w:r>
    </w:p>
    <w:p>
      <w:pPr>
        <w:pStyle w:val="FirstParagraph"/>
      </w:pPr>
      <w:r>
        <w:t xml:space="preserve">The paper should be submitted as a new cryptographic security result only after: (i) a fully frozen and portable standalone distribution; (ii) an actual average-case hardness proof or independently defensible cryptanalysis of MDS-HBCE and field-LPN; (iii) explicit classical and quantum concrete attack estimators; (iv) a complete asymptotic security family and reduction with exact resource losses; (v) a byte-level, fuzzed reference implementation; and (vi) independent peer review. The present research provides exact local theorems, attack-derived corrections, and an optional combiner theorem application, but</w:t>
      </w:r>
      <w:r>
        <w:t xml:space="preserve"> </w:t>
      </w:r>
      <w:r>
        <w:rPr>
          <w:bCs/>
          <w:b/>
        </w:rPr>
        <w:t xml:space="preserve">does not yet cross those gates</w:t>
      </w:r>
      <w:r>
        <w:t xml:space="preserve">. No EUROCRYPT 2028 official paper deadline was verified on 10 October 2026; do not invent one. Prepare an anonymous artifact only after the official 2028 call and policy appear.</w:t>
      </w:r>
    </w:p>
    <w:p>
      <w:pPr>
        <w:pStyle w:val="BodyText"/>
      </w:pPr>
      <w:r>
        <w:t xml:space="preserve">Further reproducibility and claims are in</w:t>
      </w:r>
      <w:r>
        <w:t xml:space="preserve"> </w:t>
      </w:r>
      <w:r>
        <w:rPr>
          <w:rStyle w:val="VerbatimChar"/>
        </w:rPr>
        <w:t xml:space="preserve">research-2028/SECURITY_REDESIGN_AND_PROOF_LEDGER.md</w:t>
      </w:r>
      <w:r>
        <w:t xml:space="preserve">,</w:t>
      </w:r>
      <w:r>
        <w:t xml:space="preserve"> </w:t>
      </w:r>
      <w:r>
        <w:rPr>
          <w:rStyle w:val="VerbatimChar"/>
        </w:rPr>
        <w:t xml:space="preserve">research-2028/profile_cost_audit.py</w:t>
      </w:r>
      <w:r>
        <w:t xml:space="preserve">,</w:t>
      </w:r>
      <w:r>
        <w:t xml:space="preserve"> </w:t>
      </w:r>
      <w:r>
        <w:rPr>
          <w:rStyle w:val="VerbatimChar"/>
        </w:rPr>
        <w:t xml:space="preserve">research-2028/toy_hidden_mds_attack.py</w:t>
      </w:r>
      <w:r>
        <w:t xml:space="preserve">, and</w:t>
      </w:r>
      <w:r>
        <w:t xml:space="preserve"> </w:t>
      </w:r>
      <w:r>
        <w:rPr>
          <w:rStyle w:val="VerbatimChar"/>
        </w:rPr>
        <w:t xml:space="preserve">research-2028/hybrid_wireformat_and_kdf_harness.py</w:t>
      </w:r>
      <w:r>
        <w:t xml:space="preserve">.</w:t>
      </w:r>
    </w:p>
    <w:bookmarkEnd w:id="42"/>
    <w:bookmarkEnd w:id="43"/>
    <w:bookmarkStart w:id="44" w:name="Xcd158b9d3f06b4a07edfd0a58591f1d8a4791da"/>
    <w:p>
      <w:pPr>
        <w:pStyle w:val="Heading1"/>
      </w:pPr>
      <w:r>
        <w:t xml:space="preserve">13.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44"/>
    <w:bookmarkStart w:id="45" w:name="conclusion"/>
    <w:p>
      <w:pPr>
        <w:pStyle w:val="Heading1"/>
      </w:pPr>
      <w:r>
        <w:t xml:space="preserve">14.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with conditional reductions</w:t>
      </w:r>
      <w:r>
        <w:t xml:space="preserve">, not a formally verified post-quantum KEM. Any security promotion needs new mathematics and independent cryptanalysis, not a change of adjectives.</w:t>
      </w:r>
    </w:p>
    <w:bookmarkEnd w:id="45"/>
    <w:bookmarkStart w:id="46" w:name="references"/>
    <w:p>
      <w:pPr>
        <w:pStyle w:val="Heading1"/>
      </w:pPr>
      <w:r>
        <w:t xml:space="preserve">References</w:t>
      </w:r>
    </w:p>
    <w:p>
      <w:pPr>
        <w:numPr>
          <w:ilvl w:val="0"/>
          <w:numId w:val="1001"/>
        </w:numPr>
      </w:pPr>
      <w:r>
        <w:t xml:space="preserve">NIST,</w:t>
      </w:r>
      <w:r>
        <w:t xml:space="preserve"> </w:t>
      </w:r>
      <w:r>
        <w:rPr>
          <w:iCs/>
          <w:i/>
        </w:rPr>
        <w:t xml:space="preserve">Recommendations for Key-Encapsulation Mechanisms</w:t>
      </w:r>
      <w:r>
        <w:t xml:space="preserve">, SP 800-227, September 2025. https://csrc.nist.gov/pubs/sp/800/227/final</w:t>
      </w:r>
    </w:p>
    <w:p>
      <w:pPr>
        <w:numPr>
          <w:ilvl w:val="0"/>
          <w:numId w:val="1001"/>
        </w:numPr>
      </w:pPr>
      <w:r>
        <w:t xml:space="preserve">Giacon, Heuer, Poettering,</w:t>
      </w:r>
      <w:r>
        <w:t xml:space="preserve"> </w:t>
      </w:r>
      <w:r>
        <w:rPr>
          <w:iCs/>
          <w:i/>
        </w:rPr>
        <w:t xml:space="preserve">KEM Combiners</w:t>
      </w:r>
      <w:r>
        <w:t xml:space="preserve">, PKC 2018; see NIST presentation https://csrc.nist.gov/presentations/2025/split-key-prfs</w:t>
      </w:r>
    </w:p>
    <w:p>
      <w:pPr>
        <w:numPr>
          <w:ilvl w:val="0"/>
          <w:numId w:val="1001"/>
        </w:numPr>
      </w:pPr>
      <w:r>
        <w:t xml:space="preserve">Connolly et al.,</w:t>
      </w:r>
      <w:r>
        <w:t xml:space="preserve"> </w:t>
      </w:r>
      <w:r>
        <w:rPr>
          <w:iCs/>
          <w:i/>
        </w:rPr>
        <w:t xml:space="preserve">Hybrid PQ/T Key Encapsulation Mechanisms</w:t>
      </w:r>
      <w:r>
        <w:t xml:space="preserve">, IETF CFRG Internet-Draft, July 2026. https://datatracker.ietf.org/doc/draft-irtf-cfrg-hybrid-kems/</w:t>
      </w:r>
    </w:p>
    <w:p>
      <w:pPr>
        <w:numPr>
          <w:ilvl w:val="0"/>
          <w:numId w:val="1001"/>
        </w:numPr>
      </w:pPr>
      <w:r>
        <w:t xml:space="preserve">Couvreur et al.,</w:t>
      </w:r>
      <w:r>
        <w:t xml:space="preserve"> </w:t>
      </w:r>
      <w:r>
        <w:rPr>
          <w:iCs/>
          <w:i/>
        </w:rPr>
        <w:t xml:space="preserve">Distinguisher-Based Attacks on Public-Key Cryptosystems Using Reed-Solomon Codes</w:t>
      </w:r>
      <w:r>
        <w:t xml:space="preserve">, arXiv:1307.6458.</w:t>
      </w:r>
    </w:p>
    <w:p>
      <w:pPr>
        <w:numPr>
          <w:ilvl w:val="0"/>
          <w:numId w:val="1001"/>
        </w:numPr>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Pr>
      <w:r>
        <w:t xml:space="preserve">F. Giacon, F. Heuer, and B. Poettering,</w:t>
      </w:r>
      <w:r>
        <w:t xml:space="preserve"> </w:t>
      </w:r>
      <w:r>
        <w:t xml:space="preserve">“</w:t>
      </w:r>
      <w:r>
        <w:t xml:space="preserve">KEM Combiners,</w:t>
      </w:r>
      <w:r>
        <w:t xml:space="preserve">”</w:t>
      </w:r>
      <w:r>
        <w:t xml:space="preserve"> </w:t>
      </w:r>
      <w:r>
        <w:rPr>
          <w:iCs/>
          <w:i/>
        </w:rPr>
        <w:t xml:space="preserve">PKC 2018</w:t>
      </w:r>
      <w:r>
        <w:t xml:space="preserve">, 2018.</w:t>
      </w:r>
    </w:p>
    <w:p>
      <w:pPr>
        <w:numPr>
          <w:ilvl w:val="0"/>
          <w:numId w:val="1001"/>
        </w:numPr>
      </w:pPr>
      <w:r>
        <w:t xml:space="preserve">NIST FIPS 203,</w:t>
      </w:r>
      <w:r>
        <w:t xml:space="preserve"> </w:t>
      </w:r>
      <w:r>
        <w:t xml:space="preserve">“</w:t>
      </w:r>
      <w:r>
        <w:t xml:space="preserve">Module-Lattice-Based Key-Encapsulation Mechanism Standard,</w:t>
      </w:r>
      <w:r>
        <w:t xml:space="preserve">”</w:t>
      </w:r>
      <w:r>
        <w:t xml:space="preserve"> </w:t>
      </w:r>
      <w:r>
        <w:t xml:space="preserve">2024. https://doi.org/10.6028/NIST.FIPS.203</w:t>
      </w:r>
    </w:p>
    <w:p>
      <w:pPr>
        <w:numPr>
          <w:ilvl w:val="0"/>
          <w:numId w:val="1001"/>
        </w:numPr>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46"/>
    <w:bookmarkStart w:id="47"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project status is</w:t>
      </w:r>
      <w:r>
        <w:t xml:space="preserve"> </w:t>
      </w:r>
      <w:r>
        <w:rPr>
          <w:bCs/>
          <w:b/>
        </w:rPr>
        <w:t xml:space="preserve">RESEARCH DRAFT — CRYPTOGRAPHIC SECURITY NOT ESTABLISHED</w:t>
      </w:r>
      <w:r>
        <w:t xml:space="preserve">.</w:t>
      </w:r>
    </w:p>
    <w:bookmarkEnd w:id="47"/>
    <w:bookmarkStart w:id="48" w:name="appendix-b.-submission-caution"/>
    <w:p>
      <w:pPr>
        <w:pStyle w:val="Heading1"/>
      </w:pPr>
      <w:r>
        <w:t xml:space="preserve">Appendix B. Submission caution</w:t>
      </w:r>
    </w:p>
    <w:p>
      <w:pPr>
        <w:pStyle w:val="FirstParagraph"/>
      </w:pPr>
      <w:r>
        <w:t xml:space="preserve">EUROCRYPT 2028 is the research target. An official 2028 CFP and deadline have not been verified as of 10 October 2026. The previous EUROCRYPT 2027 deadline was 17 September 2026. The original paper and this credited research version are</w:t>
      </w:r>
      <w:r>
        <w:t xml:space="preserve"> </w:t>
      </w:r>
      <w:r>
        <w:rPr>
          <w:iCs/>
          <w:i/>
        </w:rPr>
        <w:t xml:space="preserve">not anonymous</w:t>
      </w:r>
      <w:r>
        <w:t xml:space="preserve">. For a future double-blind venue, apply the current published formatting, author-identification, repository and AI-use rules; do not upload the named version as an anonymous submission. Verify all bibliographic records directly from publishers before submission.</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Differential Fibers, Hidden-MDS Labels, and the Limits of Provable KEM Security</dc:title>
  <dc:creator>Girish Nallan Chakravathy; Sreedevi Kannan</dc:creator>
  <dc:language>en</dc:language>
  <cp:keywords/>
  <dcterms:created xsi:type="dcterms:W3CDTF">2026-10-10T10:03:16Z</dcterms:created>
  <dcterms:modified xsi:type="dcterms:W3CDTF">2026-10-10T10:03:16Z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EUROCRYPT 2028 research-target revision — cryptanalytic draft, 10 October 2026</vt:lpwstr>
  </property>
</Properties>
</file>