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45" w:name="X6496b5b9a00c8275ff3d9a6fab1a945d6befada"/>
    <w:p>
      <w:pPr>
        <w:pStyle w:val="Heading1"/>
      </w:pPr>
      <w:r>
        <w:t xml:space="preserve">12. Further cryptanalysis and conditional deployment strategy for EUROCRYPT 2028</w:t>
      </w:r>
    </w:p>
    <w:bookmarkStart w:id="37"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37"/>
    <w:bookmarkStart w:id="38"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8"/>
    <w:bookmarkStart w:id="39"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39"/>
    <w:bookmarkStart w:id="40"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0"/>
    <w:bookmarkStart w:id="41"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1"/>
    <w:bookmarkStart w:id="42"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Assume</w:t>
      </w:r>
      <w:r>
        <w:t xml:space="preserve"> </w:t>
      </w:r>
      <m:oMath>
        <m:sSub>
          <m:e>
            <m:r>
              <m:t>W</m:t>
            </m:r>
          </m:e>
          <m:sub>
            <m:r>
              <m:t>D</m:t>
            </m:r>
          </m:sub>
        </m:sSub>
        <m:r>
          <m:rPr>
            <m:sty m:val="p"/>
          </m:rPr>
          <m:t>≠</m:t>
        </m:r>
        <m:sSub>
          <m:e>
            <m:r>
              <m:t>V</m:t>
            </m:r>
          </m:e>
          <m:sub>
            <m:r>
              <m:t>t</m:t>
            </m:r>
          </m:sub>
        </m:sSub>
      </m:oMath>
      <w:r>
        <w:t xml:space="preserve">.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2"/>
    <w:bookmarkStart w:id="43"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3"/>
    <w:bookmarkStart w:id="44"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4"/>
    <w:bookmarkEnd w:id="45"/>
    <w:bookmarkStart w:id="46"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6"/>
    <w:bookmarkStart w:id="47"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47"/>
    <w:bookmarkStart w:id="48"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8"/>
    <w:bookmarkStart w:id="49"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49"/>
    <w:bookmarkStart w:id="50"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2026-10-10T10:20:05Z</dcterms:created>
  <dcterms:modified xsi:type="dcterms:W3CDTF">2026-10-10T10:20:05Z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