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E673" w14:textId="77777777" w:rsidR="009B5435" w:rsidRDefault="00000000">
      <w:pPr>
        <w:jc w:val="center"/>
      </w:pPr>
      <w:r>
        <w:rPr>
          <w:rFonts w:ascii="Aptos Display" w:hAnsi="Aptos Display"/>
          <w:b/>
          <w:sz w:val="60"/>
        </w:rPr>
        <w:t>SATQUERY AI</w:t>
      </w:r>
    </w:p>
    <w:p w14:paraId="43159408" w14:textId="77777777" w:rsidR="009B5435" w:rsidRDefault="00000000">
      <w:pPr>
        <w:jc w:val="center"/>
      </w:pPr>
      <w:r>
        <w:rPr>
          <w:b/>
          <w:sz w:val="36"/>
        </w:rPr>
        <w:t>Technical Strategy, Evidence Review and Solution Landscape</w:t>
      </w:r>
    </w:p>
    <w:p w14:paraId="2DDCD0F9" w14:textId="77777777" w:rsidR="009B5435" w:rsidRDefault="00000000">
      <w:pPr>
        <w:jc w:val="center"/>
      </w:pPr>
      <w:r>
        <w:rPr>
          <w:sz w:val="24"/>
        </w:rPr>
        <w:t>Smart India Hackathon problem SIH26167</w:t>
      </w:r>
    </w:p>
    <w:p w14:paraId="0B49A0AD" w14:textId="77777777" w:rsidR="009B5435" w:rsidRDefault="00000000">
      <w:pPr>
        <w:jc w:val="center"/>
      </w:pPr>
      <w:r>
        <w:t>Prepared for solution architecture, research validation and hackathon planning</w:t>
      </w:r>
    </w:p>
    <w:p w14:paraId="22A5B383" w14:textId="77777777" w:rsidR="009B5435" w:rsidRDefault="009B5435"/>
    <w:p w14:paraId="49E477F0" w14:textId="77777777" w:rsidR="009B5435" w:rsidRDefault="00000000">
      <w:pPr>
        <w:jc w:val="center"/>
      </w:pPr>
      <w:r>
        <w:rPr>
          <w:sz w:val="20"/>
        </w:rPr>
        <w:t>Research status: 24 August 2026</w:t>
      </w:r>
    </w:p>
    <w:p w14:paraId="5CDA19BD" w14:textId="77777777" w:rsidR="009B5435" w:rsidRDefault="00000000">
      <w:pPr>
        <w:jc w:val="center"/>
      </w:pPr>
      <w:r>
        <w:rPr>
          <w:i/>
          <w:sz w:val="18"/>
        </w:rPr>
        <w:t>Evidence-led document. Claims are separated from inferences and proposed engineering choices.</w:t>
      </w:r>
    </w:p>
    <w:p w14:paraId="361A428D" w14:textId="77777777" w:rsidR="009B5435" w:rsidRDefault="00000000">
      <w:r>
        <w:br w:type="page"/>
      </w:r>
    </w:p>
    <w:p w14:paraId="2877DB5D" w14:textId="77777777" w:rsidR="009B5435" w:rsidRDefault="00000000">
      <w:pPr>
        <w:pStyle w:val="Heading1"/>
      </w:pPr>
      <w:r>
        <w:lastRenderedPageBreak/>
        <w:t>Executive Summary</w:t>
      </w:r>
    </w:p>
    <w:p w14:paraId="192744D9" w14:textId="77777777" w:rsidR="009B5435" w:rsidRDefault="00000000">
      <w:r>
        <w:t xml:space="preserve">SatQuery AI should not be approached as a generic satellite-image chatbot. The public problem description available for SIH26167 describes an interactive application that accepts supported remote-sensing imagery and natural-language questions, performs remote-sensing-adapted analysis, routes requests to specialist models or tools, and returns evidence-grounded textual and visual results. It explicitly places emphasis on single-image VQA, an additional single-image capability, bi-temporal change understanding, optical–SAR paired analysis, and observable agentic orchestration. The detailed public listing also states that the final evaluation is expected to include prescribed public benchmark subsets and an ISRO/SAC evaluation set containing co-registered Cartosat-2S optical and RISAT SAR imagery. Because the detailed listing used for this reconstruction is a public third-party mirror rather than an official SIH domain page, its exact wording should be cross-checked against the organizer-provided statement before submission. </w:t>
      </w:r>
    </w:p>
    <w:p w14:paraId="1288E5F1" w14:textId="77777777" w:rsidR="009B5435" w:rsidRDefault="00000000">
      <w:r>
        <w:t>The research reviewed here shows that individual pieces of the problem already have strong research precedents. RSVQA established natural-language questioning over remote-sensing imagery. VRSBench broadened remote-sensing vision-language evaluation to captioning, visual grounding and VQA. GeoChat demonstrated a remote-sensing VLM with image and region dialogue and visual grounding. EarthGPT demonstrated multi-sensor remote-sensing image comprehension covering optical, SAR and infrared data. RemoteCLIP and GeoRSCLIP demonstrated domain-specific vision-language representation learning. Change-detection VQA and change-captioning research demonstrate that temporal reasoning can be separated from ordinary single-image understanding. Optical–SAR fusion is also an established research field rather than a blank space.</w:t>
      </w:r>
    </w:p>
    <w:p w14:paraId="28EA0F5E" w14:textId="77777777" w:rsidR="009B5435" w:rsidRDefault="00000000">
      <w:r>
        <w:t>Therefore, the strongest differentiation is unlikely to be a new chatbot interface or another standalone VQA model. The more defensible opportunity is an integrated, auditable reasoning system that decides what evidence is needed for a query, checks whether the supplied imagery is suitable, selects only the necessary specialist tools, reconciles their outputs, detects disagreement between modalities or models, grounds the answer spatially, reports uncertainty, and preserves a concise execution record. This is best treated as a system-level differentiation rather than a claim that each individual component is unprecedented.</w:t>
      </w:r>
    </w:p>
    <w:p w14:paraId="365C4132" w14:textId="77777777" w:rsidR="009B5435" w:rsidRDefault="00000000">
      <w:r>
        <w:t>The recommended direction is a hybrid architecture. A remote-sensing-adapted vision-language component handles conversational interpretation and broad semantic understanding. Specialist models handle tasks for which dedicated methods are better suited, such as grounding, change detection and optical–SAR analysis. A capability-aware controller routes queries. A verification layer checks whether the answer is supported by model outputs and spatial evidence. A confidence layer distinguishes strong evidence from ambiguous or unsupported cases. The user receives the answer together with visual evidence and an execution summary rather than an opaque language-model response.</w:t>
      </w:r>
    </w:p>
    <w:p w14:paraId="0C3DEFE9" w14:textId="77777777" w:rsidR="009B5435" w:rsidRDefault="00000000">
      <w:r>
        <w:t>The central design principle is simple: SatQuery should not only answer a question; it should demonstrate why the answer is supported, which observations contributed to it, and when the system does not have enough evidence.</w:t>
      </w:r>
    </w:p>
    <w:p w14:paraId="3F2981D4" w14:textId="77777777" w:rsidR="009B5435" w:rsidRDefault="00000000">
      <w:pPr>
        <w:pStyle w:val="Heading1"/>
      </w:pPr>
      <w:r>
        <w:t>Problem Statement Reconstruction</w:t>
      </w:r>
    </w:p>
    <w:p w14:paraId="36668718" w14:textId="77777777" w:rsidR="009B5435" w:rsidRDefault="00000000">
      <w:r>
        <w:t xml:space="preserve">The public SIH26167 listing identifies the sponsoring organization as the Indian Space Research Organisation and describes the problem as an interactive vision-language assistant for multimodal remote-sensing image analysis through text queries. The listing states that the core difficulty is that remote-sensing AI is commonly organized as isolated task-specific systems, while users may not know which sensor, </w:t>
      </w:r>
      <w:r>
        <w:lastRenderedPageBreak/>
        <w:t>model, workflow or GIS procedure is appropriate for a particular question. It also states that some questions require paired observations from different times or sensors rather than a single optical image.</w:t>
      </w:r>
    </w:p>
    <w:p w14:paraId="16597ED6" w14:textId="77777777" w:rsidR="009B5435" w:rsidRDefault="00000000">
      <w:r>
        <w:t>A critical implementation implication is that the system is not merely expected to contain several models. The controller must select and execute appropriate specialist workflows according to the query and input configuration. The public listing further says that the observable execution trace, including the selected task, models or tools, permitted parameters and outputs, is what is evaluated; private reasoning text is not required. This is important for architecture design: the team should expose concise operational metadata rather than attempting to display hidden chain-of-thought.</w:t>
      </w:r>
    </w:p>
    <w:p w14:paraId="0263866D" w14:textId="77777777" w:rsidR="009B5435" w:rsidRDefault="00000000">
      <w:pPr>
        <w:pStyle w:val="Heading2"/>
      </w:pPr>
      <w:r>
        <w:t>Requirement interpretation</w:t>
      </w:r>
    </w:p>
    <w:tbl>
      <w:tblPr>
        <w:tblStyle w:val="TableGrid"/>
        <w:tblW w:w="0" w:type="auto"/>
        <w:jc w:val="center"/>
        <w:tblLook w:val="04A0" w:firstRow="1" w:lastRow="0" w:firstColumn="1" w:lastColumn="0" w:noHBand="0" w:noVBand="1"/>
      </w:tblPr>
      <w:tblGrid>
        <w:gridCol w:w="3249"/>
        <w:gridCol w:w="3249"/>
        <w:gridCol w:w="3249"/>
      </w:tblGrid>
      <w:tr w:rsidR="009B5435" w14:paraId="3ED92019" w14:textId="77777777">
        <w:trPr>
          <w:jc w:val="center"/>
        </w:trPr>
        <w:tc>
          <w:tcPr>
            <w:tcW w:w="3249" w:type="dxa"/>
            <w:shd w:val="clear" w:color="auto" w:fill="D9E2F3"/>
            <w:vAlign w:val="center"/>
          </w:tcPr>
          <w:p w14:paraId="3F28BD4B" w14:textId="77777777" w:rsidR="009B5435" w:rsidRDefault="00000000">
            <w:pPr>
              <w:spacing w:after="0"/>
            </w:pPr>
            <w:r>
              <w:rPr>
                <w:b/>
                <w:sz w:val="16"/>
              </w:rPr>
              <w:t>Requirement area</w:t>
            </w:r>
          </w:p>
        </w:tc>
        <w:tc>
          <w:tcPr>
            <w:tcW w:w="3249" w:type="dxa"/>
            <w:shd w:val="clear" w:color="auto" w:fill="D9E2F3"/>
            <w:vAlign w:val="center"/>
          </w:tcPr>
          <w:p w14:paraId="18F2BAD8" w14:textId="77777777" w:rsidR="009B5435" w:rsidRDefault="00000000">
            <w:pPr>
              <w:spacing w:after="0"/>
            </w:pPr>
            <w:r>
              <w:rPr>
                <w:b/>
                <w:sz w:val="16"/>
              </w:rPr>
              <w:t>Evidence-supported interpretation</w:t>
            </w:r>
          </w:p>
        </w:tc>
        <w:tc>
          <w:tcPr>
            <w:tcW w:w="3249" w:type="dxa"/>
            <w:shd w:val="clear" w:color="auto" w:fill="D9E2F3"/>
            <w:vAlign w:val="center"/>
          </w:tcPr>
          <w:p w14:paraId="32F6BDB9" w14:textId="77777777" w:rsidR="009B5435" w:rsidRDefault="00000000">
            <w:pPr>
              <w:spacing w:after="0"/>
            </w:pPr>
            <w:r>
              <w:rPr>
                <w:b/>
                <w:sz w:val="16"/>
              </w:rPr>
              <w:t>Engineering consequence</w:t>
            </w:r>
          </w:p>
        </w:tc>
      </w:tr>
      <w:tr w:rsidR="009B5435" w14:paraId="55FD5BEF" w14:textId="77777777">
        <w:trPr>
          <w:jc w:val="center"/>
        </w:trPr>
        <w:tc>
          <w:tcPr>
            <w:tcW w:w="3249" w:type="dxa"/>
            <w:vAlign w:val="center"/>
          </w:tcPr>
          <w:p w14:paraId="2AB13A45" w14:textId="77777777" w:rsidR="009B5435" w:rsidRDefault="00000000">
            <w:pPr>
              <w:spacing w:after="0"/>
            </w:pPr>
            <w:r>
              <w:rPr>
                <w:sz w:val="16"/>
              </w:rPr>
              <w:t>Natural-language interaction</w:t>
            </w:r>
          </w:p>
        </w:tc>
        <w:tc>
          <w:tcPr>
            <w:tcW w:w="3249" w:type="dxa"/>
            <w:vAlign w:val="center"/>
          </w:tcPr>
          <w:p w14:paraId="6C154513" w14:textId="77777777" w:rsidR="009B5435" w:rsidRDefault="00000000">
            <w:pPr>
              <w:spacing w:after="0"/>
            </w:pPr>
            <w:r>
              <w:rPr>
                <w:sz w:val="16"/>
              </w:rPr>
              <w:t>Users query supported remote-sensing images with text.</w:t>
            </w:r>
          </w:p>
        </w:tc>
        <w:tc>
          <w:tcPr>
            <w:tcW w:w="3249" w:type="dxa"/>
            <w:vAlign w:val="center"/>
          </w:tcPr>
          <w:p w14:paraId="0707EC35" w14:textId="77777777" w:rsidR="009B5435" w:rsidRDefault="00000000">
            <w:pPr>
              <w:spacing w:after="0"/>
            </w:pPr>
            <w:r>
              <w:rPr>
                <w:sz w:val="16"/>
              </w:rPr>
              <w:t>A conversational interface is required, but the language layer cannot be the whole system.</w:t>
            </w:r>
          </w:p>
        </w:tc>
      </w:tr>
      <w:tr w:rsidR="009B5435" w14:paraId="1AC88CA0" w14:textId="77777777">
        <w:trPr>
          <w:jc w:val="center"/>
        </w:trPr>
        <w:tc>
          <w:tcPr>
            <w:tcW w:w="3249" w:type="dxa"/>
            <w:vAlign w:val="center"/>
          </w:tcPr>
          <w:p w14:paraId="73BCBFE1" w14:textId="77777777" w:rsidR="009B5435" w:rsidRDefault="00000000">
            <w:pPr>
              <w:spacing w:after="0"/>
            </w:pPr>
            <w:r>
              <w:rPr>
                <w:sz w:val="16"/>
              </w:rPr>
              <w:t>Remote-sensing adaptation</w:t>
            </w:r>
          </w:p>
        </w:tc>
        <w:tc>
          <w:tcPr>
            <w:tcW w:w="3249" w:type="dxa"/>
            <w:vAlign w:val="center"/>
          </w:tcPr>
          <w:p w14:paraId="2B1A15B2" w14:textId="77777777" w:rsidR="009B5435" w:rsidRDefault="00000000">
            <w:pPr>
              <w:spacing w:after="0"/>
            </w:pPr>
            <w:r>
              <w:rPr>
                <w:sz w:val="16"/>
              </w:rPr>
              <w:t>The public description requires at least one vision or vision-language component to be adapted to remote sensing.</w:t>
            </w:r>
          </w:p>
        </w:tc>
        <w:tc>
          <w:tcPr>
            <w:tcW w:w="3249" w:type="dxa"/>
            <w:vAlign w:val="center"/>
          </w:tcPr>
          <w:p w14:paraId="22BF2A5A" w14:textId="77777777" w:rsidR="009B5435" w:rsidRDefault="00000000">
            <w:pPr>
              <w:spacing w:after="0"/>
            </w:pPr>
            <w:r>
              <w:rPr>
                <w:sz w:val="16"/>
              </w:rPr>
              <w:t>Use domain-specific data or adaptation rather than relying only on a general VLM.</w:t>
            </w:r>
          </w:p>
        </w:tc>
      </w:tr>
      <w:tr w:rsidR="009B5435" w14:paraId="433231F3" w14:textId="77777777">
        <w:trPr>
          <w:jc w:val="center"/>
        </w:trPr>
        <w:tc>
          <w:tcPr>
            <w:tcW w:w="3249" w:type="dxa"/>
            <w:vAlign w:val="center"/>
          </w:tcPr>
          <w:p w14:paraId="1AC78602" w14:textId="77777777" w:rsidR="009B5435" w:rsidRDefault="00000000">
            <w:pPr>
              <w:spacing w:after="0"/>
            </w:pPr>
            <w:r>
              <w:rPr>
                <w:sz w:val="16"/>
              </w:rPr>
              <w:t>Single-image VQA</w:t>
            </w:r>
          </w:p>
        </w:tc>
        <w:tc>
          <w:tcPr>
            <w:tcW w:w="3249" w:type="dxa"/>
            <w:vAlign w:val="center"/>
          </w:tcPr>
          <w:p w14:paraId="736CB0D2" w14:textId="77777777" w:rsidR="009B5435" w:rsidRDefault="00000000">
            <w:pPr>
              <w:spacing w:after="0"/>
            </w:pPr>
            <w:r>
              <w:rPr>
                <w:sz w:val="16"/>
              </w:rPr>
              <w:t>VQA is explicitly mandatory.</w:t>
            </w:r>
          </w:p>
        </w:tc>
        <w:tc>
          <w:tcPr>
            <w:tcW w:w="3249" w:type="dxa"/>
            <w:vAlign w:val="center"/>
          </w:tcPr>
          <w:p w14:paraId="2BC86E0A" w14:textId="77777777" w:rsidR="009B5435" w:rsidRDefault="00000000">
            <w:pPr>
              <w:spacing w:after="0"/>
            </w:pPr>
            <w:r>
              <w:rPr>
                <w:sz w:val="16"/>
              </w:rPr>
              <w:t>A benchmarked VQA path is a core capability.</w:t>
            </w:r>
          </w:p>
        </w:tc>
      </w:tr>
      <w:tr w:rsidR="009B5435" w14:paraId="0A7847F9" w14:textId="77777777">
        <w:trPr>
          <w:jc w:val="center"/>
        </w:trPr>
        <w:tc>
          <w:tcPr>
            <w:tcW w:w="3249" w:type="dxa"/>
            <w:vAlign w:val="center"/>
          </w:tcPr>
          <w:p w14:paraId="77B31995" w14:textId="77777777" w:rsidR="009B5435" w:rsidRDefault="00000000">
            <w:pPr>
              <w:spacing w:after="0"/>
            </w:pPr>
            <w:r>
              <w:rPr>
                <w:sz w:val="16"/>
              </w:rPr>
              <w:t>Additional single-image task</w:t>
            </w:r>
          </w:p>
        </w:tc>
        <w:tc>
          <w:tcPr>
            <w:tcW w:w="3249" w:type="dxa"/>
            <w:vAlign w:val="center"/>
          </w:tcPr>
          <w:p w14:paraId="2CE94EF5" w14:textId="77777777" w:rsidR="009B5435" w:rsidRDefault="00000000">
            <w:pPr>
              <w:spacing w:after="0"/>
            </w:pPr>
            <w:r>
              <w:rPr>
                <w:sz w:val="16"/>
              </w:rPr>
              <w:t>The description permits captioning or text-guided grounding as the additional capability.</w:t>
            </w:r>
          </w:p>
        </w:tc>
        <w:tc>
          <w:tcPr>
            <w:tcW w:w="3249" w:type="dxa"/>
            <w:vAlign w:val="center"/>
          </w:tcPr>
          <w:p w14:paraId="0D86E127" w14:textId="77777777" w:rsidR="009B5435" w:rsidRDefault="00000000">
            <w:pPr>
              <w:spacing w:after="0"/>
            </w:pPr>
            <w:r>
              <w:rPr>
                <w:sz w:val="16"/>
              </w:rPr>
              <w:t>Grounding is strategically valuable because it produces spatial evidence.</w:t>
            </w:r>
          </w:p>
        </w:tc>
      </w:tr>
      <w:tr w:rsidR="009B5435" w14:paraId="353A6E16" w14:textId="77777777">
        <w:trPr>
          <w:jc w:val="center"/>
        </w:trPr>
        <w:tc>
          <w:tcPr>
            <w:tcW w:w="3249" w:type="dxa"/>
            <w:vAlign w:val="center"/>
          </w:tcPr>
          <w:p w14:paraId="436DD4C7" w14:textId="77777777" w:rsidR="009B5435" w:rsidRDefault="00000000">
            <w:pPr>
              <w:spacing w:after="0"/>
            </w:pPr>
            <w:r>
              <w:rPr>
                <w:sz w:val="16"/>
              </w:rPr>
              <w:t>Bi-temporal analysis</w:t>
            </w:r>
          </w:p>
        </w:tc>
        <w:tc>
          <w:tcPr>
            <w:tcW w:w="3249" w:type="dxa"/>
            <w:vAlign w:val="center"/>
          </w:tcPr>
          <w:p w14:paraId="6788AE68" w14:textId="77777777" w:rsidR="009B5435" w:rsidRDefault="00000000">
            <w:pPr>
              <w:spacing w:after="0"/>
            </w:pPr>
            <w:r>
              <w:rPr>
                <w:sz w:val="16"/>
              </w:rPr>
              <w:t>Change understanding from two corresponding observations is mandatory.</w:t>
            </w:r>
          </w:p>
        </w:tc>
        <w:tc>
          <w:tcPr>
            <w:tcW w:w="3249" w:type="dxa"/>
            <w:vAlign w:val="center"/>
          </w:tcPr>
          <w:p w14:paraId="0197BD01" w14:textId="77777777" w:rsidR="009B5435" w:rsidRDefault="00000000">
            <w:pPr>
              <w:spacing w:after="0"/>
            </w:pPr>
            <w:r>
              <w:rPr>
                <w:sz w:val="16"/>
              </w:rPr>
              <w:t>Use a dedicated temporal pathway rather than asking a generic VLM to infer change from two images.</w:t>
            </w:r>
          </w:p>
        </w:tc>
      </w:tr>
      <w:tr w:rsidR="009B5435" w14:paraId="014D1646" w14:textId="77777777">
        <w:trPr>
          <w:jc w:val="center"/>
        </w:trPr>
        <w:tc>
          <w:tcPr>
            <w:tcW w:w="3249" w:type="dxa"/>
            <w:vAlign w:val="center"/>
          </w:tcPr>
          <w:p w14:paraId="1D9E079B" w14:textId="77777777" w:rsidR="009B5435" w:rsidRDefault="00000000">
            <w:pPr>
              <w:spacing w:after="0"/>
            </w:pPr>
            <w:r>
              <w:rPr>
                <w:sz w:val="16"/>
              </w:rPr>
              <w:t>Optical and SAR pair analysis</w:t>
            </w:r>
          </w:p>
        </w:tc>
        <w:tc>
          <w:tcPr>
            <w:tcW w:w="3249" w:type="dxa"/>
            <w:vAlign w:val="center"/>
          </w:tcPr>
          <w:p w14:paraId="52967A78" w14:textId="77777777" w:rsidR="009B5435" w:rsidRDefault="00000000">
            <w:pPr>
              <w:spacing w:after="0"/>
            </w:pPr>
            <w:r>
              <w:rPr>
                <w:sz w:val="16"/>
              </w:rPr>
              <w:t>Joint analysis of co-registered optical or multispectral and SAR imagery is mandatory.</w:t>
            </w:r>
          </w:p>
        </w:tc>
        <w:tc>
          <w:tcPr>
            <w:tcW w:w="3249" w:type="dxa"/>
            <w:vAlign w:val="center"/>
          </w:tcPr>
          <w:p w14:paraId="71E535C7" w14:textId="77777777" w:rsidR="009B5435" w:rsidRDefault="00000000">
            <w:pPr>
              <w:spacing w:after="0"/>
            </w:pPr>
            <w:r>
              <w:rPr>
                <w:sz w:val="16"/>
              </w:rPr>
              <w:t>Use modality-aware processing and explicit cross-modal evidence fusion.</w:t>
            </w:r>
          </w:p>
        </w:tc>
      </w:tr>
      <w:tr w:rsidR="009B5435" w14:paraId="41718137" w14:textId="77777777">
        <w:trPr>
          <w:jc w:val="center"/>
        </w:trPr>
        <w:tc>
          <w:tcPr>
            <w:tcW w:w="3249" w:type="dxa"/>
            <w:vAlign w:val="center"/>
          </w:tcPr>
          <w:p w14:paraId="055C1C07" w14:textId="77777777" w:rsidR="009B5435" w:rsidRDefault="00000000">
            <w:pPr>
              <w:spacing w:after="0"/>
            </w:pPr>
            <w:r>
              <w:rPr>
                <w:sz w:val="16"/>
              </w:rPr>
              <w:t>Agentic orchestration</w:t>
            </w:r>
          </w:p>
        </w:tc>
        <w:tc>
          <w:tcPr>
            <w:tcW w:w="3249" w:type="dxa"/>
            <w:vAlign w:val="center"/>
          </w:tcPr>
          <w:p w14:paraId="39ABEC8C" w14:textId="77777777" w:rsidR="009B5435" w:rsidRDefault="00000000">
            <w:pPr>
              <w:spacing w:after="0"/>
            </w:pPr>
            <w:r>
              <w:rPr>
                <w:sz w:val="16"/>
              </w:rPr>
              <w:t>The controller must select, sequence and execute specialist tools according to the query and inputs.</w:t>
            </w:r>
          </w:p>
        </w:tc>
        <w:tc>
          <w:tcPr>
            <w:tcW w:w="3249" w:type="dxa"/>
            <w:vAlign w:val="center"/>
          </w:tcPr>
          <w:p w14:paraId="139E7815" w14:textId="77777777" w:rsidR="009B5435" w:rsidRDefault="00000000">
            <w:pPr>
              <w:spacing w:after="0"/>
            </w:pPr>
            <w:r>
              <w:rPr>
                <w:sz w:val="16"/>
              </w:rPr>
              <w:t>Build a capability registry and deterministic routing constraints around the language planner.</w:t>
            </w:r>
          </w:p>
        </w:tc>
      </w:tr>
      <w:tr w:rsidR="009B5435" w14:paraId="7C686325" w14:textId="77777777">
        <w:trPr>
          <w:jc w:val="center"/>
        </w:trPr>
        <w:tc>
          <w:tcPr>
            <w:tcW w:w="3249" w:type="dxa"/>
            <w:vAlign w:val="center"/>
          </w:tcPr>
          <w:p w14:paraId="3A76EEAD" w14:textId="77777777" w:rsidR="009B5435" w:rsidRDefault="00000000">
            <w:pPr>
              <w:spacing w:after="0"/>
            </w:pPr>
            <w:r>
              <w:rPr>
                <w:sz w:val="16"/>
              </w:rPr>
              <w:t>Evidence and execution summary</w:t>
            </w:r>
          </w:p>
        </w:tc>
        <w:tc>
          <w:tcPr>
            <w:tcW w:w="3249" w:type="dxa"/>
            <w:vAlign w:val="center"/>
          </w:tcPr>
          <w:p w14:paraId="7FAF3890" w14:textId="77777777" w:rsidR="009B5435" w:rsidRDefault="00000000">
            <w:pPr>
              <w:spacing w:after="0"/>
            </w:pPr>
            <w:r>
              <w:rPr>
                <w:sz w:val="16"/>
              </w:rPr>
              <w:t>The expected solution includes visual evidence, confidence information and an execution summary.</w:t>
            </w:r>
          </w:p>
        </w:tc>
        <w:tc>
          <w:tcPr>
            <w:tcW w:w="3249" w:type="dxa"/>
            <w:vAlign w:val="center"/>
          </w:tcPr>
          <w:p w14:paraId="0019E4BA" w14:textId="77777777" w:rsidR="009B5435" w:rsidRDefault="00000000">
            <w:pPr>
              <w:spacing w:after="0"/>
            </w:pPr>
            <w:r>
              <w:rPr>
                <w:sz w:val="16"/>
              </w:rPr>
              <w:t>Treat provenance and verification as first-class outputs.</w:t>
            </w:r>
          </w:p>
        </w:tc>
      </w:tr>
    </w:tbl>
    <w:p w14:paraId="4BB08FC2" w14:textId="77777777" w:rsidR="009B5435" w:rsidRDefault="009B5435"/>
    <w:p w14:paraId="2A2D3C7F" w14:textId="77777777" w:rsidR="009B5435" w:rsidRDefault="00000000">
      <w:pPr>
        <w:pStyle w:val="Heading1"/>
      </w:pPr>
      <w:r>
        <w:t>Remote-Sensing Technical Foundation</w:t>
      </w:r>
    </w:p>
    <w:p w14:paraId="2476A031" w14:textId="77777777" w:rsidR="009B5435" w:rsidRDefault="00000000">
      <w:pPr>
        <w:pStyle w:val="Heading2"/>
      </w:pPr>
      <w:r>
        <w:t>Optical and multispectral imagery</w:t>
      </w:r>
    </w:p>
    <w:p w14:paraId="75EC3949" w14:textId="77777777" w:rsidR="009B5435" w:rsidRDefault="00000000">
      <w:r>
        <w:t>Optical remote sensing measures reflected or emitted electromagnetic energy in spectral bands. In the SatQuery context, optical and multispectral imagery is valuable for semantic interpretation because spectral and contextual patterns can distinguish vegetation, water, exposed ground and built surfaces. The important engineering issue is that a language model must understand that a pixel or band is not equivalent to a conventional natural-image RGB pixel. Band semantics, spatial resolution, radiometric preprocessing and sensor characteristics matter.</w:t>
      </w:r>
    </w:p>
    <w:p w14:paraId="025E9C49" w14:textId="77777777" w:rsidR="009B5435" w:rsidRDefault="00000000">
      <w:pPr>
        <w:pStyle w:val="Heading2"/>
      </w:pPr>
      <w:r>
        <w:t>Synthetic aperture radar</w:t>
      </w:r>
    </w:p>
    <w:p w14:paraId="029E4C41" w14:textId="77777777" w:rsidR="009B5435" w:rsidRDefault="00000000">
      <w:r>
        <w:t xml:space="preserve">SAR is an active microwave sensing technology. ISRO describes RISAT-1 as a C-band SAR mission whose microwave sensing enables imaging during both day and night and provides cloud-penetrating capability. </w:t>
      </w:r>
      <w:r>
        <w:lastRenderedPageBreak/>
        <w:t>This makes SAR complementary to optical imagery, particularly when cloud cover or illumination prevents useful optical observation. SAR also introduces its own interpretation challenges, including speckle, backscatter behavior, incidence-angle effects and geometric distortions. A VLM that has merely seen RGB images cannot be assumed to understand SAR representations.</w:t>
      </w:r>
    </w:p>
    <w:p w14:paraId="0DE001C8" w14:textId="77777777" w:rsidR="009B5435" w:rsidRDefault="00000000">
      <w:pPr>
        <w:pStyle w:val="Heading2"/>
      </w:pPr>
      <w:r>
        <w:t>Why optical and SAR cannot be treated as ordinary image pairs</w:t>
      </w:r>
    </w:p>
    <w:p w14:paraId="65B1078D" w14:textId="77777777" w:rsidR="009B5435" w:rsidRDefault="00000000">
      <w:r>
        <w:t>The modalities encode different physical interactions with the Earth's surface. A useful joint system therefore needs to preserve modality-specific information before attempting fusion. A simple pixel concatenation can force heterogeneous measurements into an artificial common representation without guaranteeing semantic alignment. Existing research on heterogeneous optical–SAR change detection explicitly identifies the difficulty of mapping different sensing mechanisms into a common representation. More recent work continues to address modality-specific and common features separately, demonstrating that optical–SAR fusion remains an active research problem.</w:t>
      </w:r>
    </w:p>
    <w:p w14:paraId="537BA3C0" w14:textId="77777777" w:rsidR="009B5435" w:rsidRDefault="00000000">
      <w:r>
        <w:t>For SatQuery, this suggests a safer design: separate modality encoders or modality-specific preprocessing, followed by a learned or model-based evidence fusion layer. The language model should reason over structured outputs from these components rather than being expected to infer all physical sensor semantics directly from raw arrays.</w:t>
      </w:r>
    </w:p>
    <w:p w14:paraId="4945EA38" w14:textId="77777777" w:rsidR="009B5435" w:rsidRDefault="00000000">
      <w:pPr>
        <w:pStyle w:val="Heading1"/>
      </w:pPr>
      <w:r>
        <w:t>Data Availability and Dataset Strategy</w:t>
      </w:r>
    </w:p>
    <w:p w14:paraId="1A374EA6" w14:textId="77777777" w:rsidR="009B5435" w:rsidRDefault="00000000">
      <w:r>
        <w:t>The data strategy should be divided into public development data, benchmark evaluation data and organizer-controlled evaluation data. The team should never assume that a public benchmark is identical to the hidden ISRO/SAC evaluation set.</w:t>
      </w:r>
    </w:p>
    <w:p w14:paraId="56D0E3C9" w14:textId="77777777" w:rsidR="009B5435" w:rsidRDefault="00000000">
      <w:pPr>
        <w:pStyle w:val="Heading2"/>
      </w:pPr>
      <w:r>
        <w:t>Public data sources relevant to development</w:t>
      </w:r>
    </w:p>
    <w:tbl>
      <w:tblPr>
        <w:tblStyle w:val="TableGrid"/>
        <w:tblW w:w="0" w:type="auto"/>
        <w:jc w:val="center"/>
        <w:tblLook w:val="04A0" w:firstRow="1" w:lastRow="0" w:firstColumn="1" w:lastColumn="0" w:noHBand="0" w:noVBand="1"/>
      </w:tblPr>
      <w:tblGrid>
        <w:gridCol w:w="2436"/>
        <w:gridCol w:w="2436"/>
        <w:gridCol w:w="2436"/>
        <w:gridCol w:w="2436"/>
      </w:tblGrid>
      <w:tr w:rsidR="009B5435" w14:paraId="366E5AA6" w14:textId="77777777">
        <w:trPr>
          <w:jc w:val="center"/>
        </w:trPr>
        <w:tc>
          <w:tcPr>
            <w:tcW w:w="2436" w:type="dxa"/>
            <w:shd w:val="clear" w:color="auto" w:fill="D9E2F3"/>
            <w:vAlign w:val="center"/>
          </w:tcPr>
          <w:p w14:paraId="26BF79AD" w14:textId="77777777" w:rsidR="009B5435" w:rsidRDefault="00000000">
            <w:pPr>
              <w:spacing w:after="0"/>
            </w:pPr>
            <w:r>
              <w:rPr>
                <w:b/>
                <w:sz w:val="16"/>
              </w:rPr>
              <w:t>Data source</w:t>
            </w:r>
          </w:p>
        </w:tc>
        <w:tc>
          <w:tcPr>
            <w:tcW w:w="2436" w:type="dxa"/>
            <w:shd w:val="clear" w:color="auto" w:fill="D9E2F3"/>
            <w:vAlign w:val="center"/>
          </w:tcPr>
          <w:p w14:paraId="1AABABA8" w14:textId="77777777" w:rsidR="009B5435" w:rsidRDefault="00000000">
            <w:pPr>
              <w:spacing w:after="0"/>
            </w:pPr>
            <w:r>
              <w:rPr>
                <w:b/>
                <w:sz w:val="16"/>
              </w:rPr>
              <w:t>What it provides</w:t>
            </w:r>
          </w:p>
        </w:tc>
        <w:tc>
          <w:tcPr>
            <w:tcW w:w="2436" w:type="dxa"/>
            <w:shd w:val="clear" w:color="auto" w:fill="D9E2F3"/>
            <w:vAlign w:val="center"/>
          </w:tcPr>
          <w:p w14:paraId="46E4FC49" w14:textId="77777777" w:rsidR="009B5435" w:rsidRDefault="00000000">
            <w:pPr>
              <w:spacing w:after="0"/>
            </w:pPr>
            <w:r>
              <w:rPr>
                <w:b/>
                <w:sz w:val="16"/>
              </w:rPr>
              <w:t>Best use in SatQuery</w:t>
            </w:r>
          </w:p>
        </w:tc>
        <w:tc>
          <w:tcPr>
            <w:tcW w:w="2436" w:type="dxa"/>
            <w:shd w:val="clear" w:color="auto" w:fill="D9E2F3"/>
            <w:vAlign w:val="center"/>
          </w:tcPr>
          <w:p w14:paraId="59AF5575" w14:textId="77777777" w:rsidR="009B5435" w:rsidRDefault="00000000">
            <w:pPr>
              <w:spacing w:after="0"/>
            </w:pPr>
            <w:r>
              <w:rPr>
                <w:b/>
                <w:sz w:val="16"/>
              </w:rPr>
              <w:t>Important limitation</w:t>
            </w:r>
          </w:p>
        </w:tc>
      </w:tr>
      <w:tr w:rsidR="009B5435" w14:paraId="4CF03560" w14:textId="77777777">
        <w:trPr>
          <w:jc w:val="center"/>
        </w:trPr>
        <w:tc>
          <w:tcPr>
            <w:tcW w:w="2436" w:type="dxa"/>
            <w:vAlign w:val="center"/>
          </w:tcPr>
          <w:p w14:paraId="4298506C" w14:textId="77777777" w:rsidR="009B5435" w:rsidRDefault="00000000">
            <w:pPr>
              <w:spacing w:after="0"/>
            </w:pPr>
            <w:r>
              <w:rPr>
                <w:sz w:val="16"/>
              </w:rPr>
              <w:t>BigEarthNet v2.0</w:t>
            </w:r>
          </w:p>
        </w:tc>
        <w:tc>
          <w:tcPr>
            <w:tcW w:w="2436" w:type="dxa"/>
            <w:vAlign w:val="center"/>
          </w:tcPr>
          <w:p w14:paraId="685208F6" w14:textId="77777777" w:rsidR="009B5435" w:rsidRDefault="00000000">
            <w:pPr>
              <w:spacing w:after="0"/>
            </w:pPr>
            <w:r>
              <w:rPr>
                <w:sz w:val="16"/>
              </w:rPr>
              <w:t>Large paired Sentinel-1 and Sentinel-2 patch collection with land-cover labels and pixel-level reference information.</w:t>
            </w:r>
          </w:p>
        </w:tc>
        <w:tc>
          <w:tcPr>
            <w:tcW w:w="2436" w:type="dxa"/>
            <w:vAlign w:val="center"/>
          </w:tcPr>
          <w:p w14:paraId="2E2EBB61" w14:textId="77777777" w:rsidR="009B5435" w:rsidRDefault="00000000">
            <w:pPr>
              <w:spacing w:after="0"/>
            </w:pPr>
            <w:r>
              <w:rPr>
                <w:sz w:val="16"/>
              </w:rPr>
              <w:t>Multisensor representation learning, modality adaptation and pretraining experiments.</w:t>
            </w:r>
          </w:p>
        </w:tc>
        <w:tc>
          <w:tcPr>
            <w:tcW w:w="2436" w:type="dxa"/>
            <w:vAlign w:val="center"/>
          </w:tcPr>
          <w:p w14:paraId="51D7554C" w14:textId="77777777" w:rsidR="009B5435" w:rsidRDefault="00000000">
            <w:pPr>
              <w:spacing w:after="0"/>
            </w:pPr>
            <w:r>
              <w:rPr>
                <w:sz w:val="16"/>
              </w:rPr>
              <w:t>European geographic coverage and land-cover labels do not reproduce the Indian Cartosat and RISAT evaluation environment.</w:t>
            </w:r>
          </w:p>
        </w:tc>
      </w:tr>
      <w:tr w:rsidR="009B5435" w14:paraId="5D6A92D7" w14:textId="77777777">
        <w:trPr>
          <w:jc w:val="center"/>
        </w:trPr>
        <w:tc>
          <w:tcPr>
            <w:tcW w:w="2436" w:type="dxa"/>
            <w:vAlign w:val="center"/>
          </w:tcPr>
          <w:p w14:paraId="363C8BE0" w14:textId="77777777" w:rsidR="009B5435" w:rsidRDefault="00000000">
            <w:pPr>
              <w:spacing w:after="0"/>
            </w:pPr>
            <w:r>
              <w:rPr>
                <w:sz w:val="16"/>
              </w:rPr>
              <w:t>VRSBench</w:t>
            </w:r>
          </w:p>
        </w:tc>
        <w:tc>
          <w:tcPr>
            <w:tcW w:w="2436" w:type="dxa"/>
            <w:vAlign w:val="center"/>
          </w:tcPr>
          <w:p w14:paraId="4BCEEEB6" w14:textId="77777777" w:rsidR="009B5435" w:rsidRDefault="00000000">
            <w:pPr>
              <w:spacing w:after="0"/>
            </w:pPr>
            <w:r>
              <w:rPr>
                <w:sz w:val="16"/>
              </w:rPr>
              <w:t>Human-verified remote-sensing image captions, object references and question-answer pairs.</w:t>
            </w:r>
          </w:p>
        </w:tc>
        <w:tc>
          <w:tcPr>
            <w:tcW w:w="2436" w:type="dxa"/>
            <w:vAlign w:val="center"/>
          </w:tcPr>
          <w:p w14:paraId="5CA889E4" w14:textId="77777777" w:rsidR="009B5435" w:rsidRDefault="00000000">
            <w:pPr>
              <w:spacing w:after="0"/>
            </w:pPr>
            <w:r>
              <w:rPr>
                <w:sz w:val="16"/>
              </w:rPr>
              <w:t>Single-image captioning, visual grounding and VQA development.</w:t>
            </w:r>
          </w:p>
        </w:tc>
        <w:tc>
          <w:tcPr>
            <w:tcW w:w="2436" w:type="dxa"/>
            <w:vAlign w:val="center"/>
          </w:tcPr>
          <w:p w14:paraId="48BEDE7F" w14:textId="77777777" w:rsidR="009B5435" w:rsidRDefault="00000000">
            <w:pPr>
              <w:spacing w:after="0"/>
            </w:pPr>
            <w:r>
              <w:rPr>
                <w:sz w:val="16"/>
              </w:rPr>
              <w:t>The published benchmark is based on RGB imagery and therefore does not by itself solve SAR or temporal reasoning.</w:t>
            </w:r>
          </w:p>
        </w:tc>
      </w:tr>
      <w:tr w:rsidR="009B5435" w14:paraId="7CAF54E1" w14:textId="77777777">
        <w:trPr>
          <w:jc w:val="center"/>
        </w:trPr>
        <w:tc>
          <w:tcPr>
            <w:tcW w:w="2436" w:type="dxa"/>
            <w:vAlign w:val="center"/>
          </w:tcPr>
          <w:p w14:paraId="5C9020BD" w14:textId="77777777" w:rsidR="009B5435" w:rsidRDefault="00000000">
            <w:pPr>
              <w:spacing w:after="0"/>
            </w:pPr>
            <w:r>
              <w:rPr>
                <w:sz w:val="16"/>
              </w:rPr>
              <w:t>RSVQA and RSVQAxBEN</w:t>
            </w:r>
          </w:p>
        </w:tc>
        <w:tc>
          <w:tcPr>
            <w:tcW w:w="2436" w:type="dxa"/>
            <w:vAlign w:val="center"/>
          </w:tcPr>
          <w:p w14:paraId="2044DC50" w14:textId="77777777" w:rsidR="009B5435" w:rsidRDefault="00000000">
            <w:pPr>
              <w:spacing w:after="0"/>
            </w:pPr>
            <w:r>
              <w:rPr>
                <w:sz w:val="16"/>
              </w:rPr>
              <w:t>Natural-language question-answering datasets over remote-sensing images, including a large BigEarthNet-derived dataset.</w:t>
            </w:r>
          </w:p>
        </w:tc>
        <w:tc>
          <w:tcPr>
            <w:tcW w:w="2436" w:type="dxa"/>
            <w:vAlign w:val="center"/>
          </w:tcPr>
          <w:p w14:paraId="0CC4A0E3" w14:textId="77777777" w:rsidR="009B5435" w:rsidRDefault="00000000">
            <w:pPr>
              <w:spacing w:after="0"/>
            </w:pPr>
            <w:r>
              <w:rPr>
                <w:sz w:val="16"/>
              </w:rPr>
              <w:t>VQA baseline construction and question-type analysis.</w:t>
            </w:r>
          </w:p>
        </w:tc>
        <w:tc>
          <w:tcPr>
            <w:tcW w:w="2436" w:type="dxa"/>
            <w:vAlign w:val="center"/>
          </w:tcPr>
          <w:p w14:paraId="6E5CE44D" w14:textId="77777777" w:rsidR="009B5435" w:rsidRDefault="00000000">
            <w:pPr>
              <w:spacing w:after="0"/>
            </w:pPr>
            <w:r>
              <w:rPr>
                <w:sz w:val="16"/>
              </w:rPr>
              <w:t>Question distributions and label structure may not represent operational Indian remote-sensing questions.</w:t>
            </w:r>
          </w:p>
        </w:tc>
      </w:tr>
      <w:tr w:rsidR="009B5435" w14:paraId="6B233999" w14:textId="77777777">
        <w:trPr>
          <w:jc w:val="center"/>
        </w:trPr>
        <w:tc>
          <w:tcPr>
            <w:tcW w:w="2436" w:type="dxa"/>
            <w:vAlign w:val="center"/>
          </w:tcPr>
          <w:p w14:paraId="6D584621" w14:textId="77777777" w:rsidR="009B5435" w:rsidRDefault="00000000">
            <w:pPr>
              <w:spacing w:after="0"/>
            </w:pPr>
            <w:r>
              <w:rPr>
                <w:sz w:val="16"/>
              </w:rPr>
              <w:t>CDVQA</w:t>
            </w:r>
          </w:p>
        </w:tc>
        <w:tc>
          <w:tcPr>
            <w:tcW w:w="2436" w:type="dxa"/>
            <w:vAlign w:val="center"/>
          </w:tcPr>
          <w:p w14:paraId="6E874CB5" w14:textId="77777777" w:rsidR="009B5435" w:rsidRDefault="00000000">
            <w:pPr>
              <w:spacing w:after="0"/>
            </w:pPr>
            <w:r>
              <w:rPr>
                <w:sz w:val="16"/>
              </w:rPr>
              <w:t>Multitemporal change-based visual question answering.</w:t>
            </w:r>
          </w:p>
        </w:tc>
        <w:tc>
          <w:tcPr>
            <w:tcW w:w="2436" w:type="dxa"/>
            <w:vAlign w:val="center"/>
          </w:tcPr>
          <w:p w14:paraId="5796AB2C" w14:textId="77777777" w:rsidR="009B5435" w:rsidRDefault="00000000">
            <w:pPr>
              <w:spacing w:after="0"/>
            </w:pPr>
            <w:r>
              <w:rPr>
                <w:sz w:val="16"/>
              </w:rPr>
              <w:t>Change reasoning experiments.</w:t>
            </w:r>
          </w:p>
        </w:tc>
        <w:tc>
          <w:tcPr>
            <w:tcW w:w="2436" w:type="dxa"/>
            <w:vAlign w:val="center"/>
          </w:tcPr>
          <w:p w14:paraId="4A3194B8" w14:textId="77777777" w:rsidR="009B5435" w:rsidRDefault="00000000">
            <w:pPr>
              <w:spacing w:after="0"/>
            </w:pPr>
            <w:r>
              <w:rPr>
                <w:sz w:val="16"/>
              </w:rPr>
              <w:t>The task is narrower than a full agentic multimodal assistant.</w:t>
            </w:r>
          </w:p>
        </w:tc>
      </w:tr>
      <w:tr w:rsidR="009B5435" w14:paraId="1577F517" w14:textId="77777777">
        <w:trPr>
          <w:jc w:val="center"/>
        </w:trPr>
        <w:tc>
          <w:tcPr>
            <w:tcW w:w="2436" w:type="dxa"/>
            <w:vAlign w:val="center"/>
          </w:tcPr>
          <w:p w14:paraId="41658BDB" w14:textId="77777777" w:rsidR="009B5435" w:rsidRDefault="00000000">
            <w:pPr>
              <w:spacing w:after="0"/>
            </w:pPr>
            <w:r>
              <w:rPr>
                <w:sz w:val="16"/>
              </w:rPr>
              <w:t>LEVIR-CD and LEVIR-CC</w:t>
            </w:r>
          </w:p>
        </w:tc>
        <w:tc>
          <w:tcPr>
            <w:tcW w:w="2436" w:type="dxa"/>
            <w:vAlign w:val="center"/>
          </w:tcPr>
          <w:p w14:paraId="6FB33256" w14:textId="77777777" w:rsidR="009B5435" w:rsidRDefault="00000000">
            <w:pPr>
              <w:spacing w:after="0"/>
            </w:pPr>
            <w:r>
              <w:rPr>
                <w:sz w:val="16"/>
              </w:rPr>
              <w:t>Bi-temporal imagery with change masks and natural-language change descriptions.</w:t>
            </w:r>
          </w:p>
        </w:tc>
        <w:tc>
          <w:tcPr>
            <w:tcW w:w="2436" w:type="dxa"/>
            <w:vAlign w:val="center"/>
          </w:tcPr>
          <w:p w14:paraId="489F0F05" w14:textId="77777777" w:rsidR="009B5435" w:rsidRDefault="00000000">
            <w:pPr>
              <w:spacing w:after="0"/>
            </w:pPr>
            <w:r>
              <w:rPr>
                <w:sz w:val="16"/>
              </w:rPr>
              <w:t>Change detection and change-captioning baselines.</w:t>
            </w:r>
          </w:p>
        </w:tc>
        <w:tc>
          <w:tcPr>
            <w:tcW w:w="2436" w:type="dxa"/>
            <w:vAlign w:val="center"/>
          </w:tcPr>
          <w:p w14:paraId="190FFD5F" w14:textId="77777777" w:rsidR="009B5435" w:rsidRDefault="00000000">
            <w:pPr>
              <w:spacing w:after="0"/>
            </w:pPr>
            <w:r>
              <w:rPr>
                <w:sz w:val="16"/>
              </w:rPr>
              <w:t>High-resolution urban scenes from a specific geographic setting do not represent every Indian landscape.</w:t>
            </w:r>
          </w:p>
        </w:tc>
      </w:tr>
      <w:tr w:rsidR="009B5435" w14:paraId="076BA54C" w14:textId="77777777">
        <w:trPr>
          <w:jc w:val="center"/>
        </w:trPr>
        <w:tc>
          <w:tcPr>
            <w:tcW w:w="2436" w:type="dxa"/>
            <w:vAlign w:val="center"/>
          </w:tcPr>
          <w:p w14:paraId="36022316" w14:textId="77777777" w:rsidR="009B5435" w:rsidRDefault="00000000">
            <w:pPr>
              <w:spacing w:after="0"/>
            </w:pPr>
            <w:r>
              <w:rPr>
                <w:sz w:val="16"/>
              </w:rPr>
              <w:t>Sentinel data through Copernicus</w:t>
            </w:r>
          </w:p>
        </w:tc>
        <w:tc>
          <w:tcPr>
            <w:tcW w:w="2436" w:type="dxa"/>
            <w:vAlign w:val="center"/>
          </w:tcPr>
          <w:p w14:paraId="0B08D185" w14:textId="77777777" w:rsidR="009B5435" w:rsidRDefault="00000000">
            <w:pPr>
              <w:spacing w:after="0"/>
            </w:pPr>
            <w:r>
              <w:rPr>
                <w:sz w:val="16"/>
              </w:rPr>
              <w:t>Open access to Sentinel mission data and processing services.</w:t>
            </w:r>
          </w:p>
        </w:tc>
        <w:tc>
          <w:tcPr>
            <w:tcW w:w="2436" w:type="dxa"/>
            <w:vAlign w:val="center"/>
          </w:tcPr>
          <w:p w14:paraId="6C5A9C94" w14:textId="77777777" w:rsidR="009B5435" w:rsidRDefault="00000000">
            <w:pPr>
              <w:spacing w:after="0"/>
            </w:pPr>
            <w:r>
              <w:rPr>
                <w:sz w:val="16"/>
              </w:rPr>
              <w:t>Additional optical and SAR development data, especially for multisensor workflows.</w:t>
            </w:r>
          </w:p>
        </w:tc>
        <w:tc>
          <w:tcPr>
            <w:tcW w:w="2436" w:type="dxa"/>
            <w:vAlign w:val="center"/>
          </w:tcPr>
          <w:p w14:paraId="6B35BB9F" w14:textId="77777777" w:rsidR="009B5435" w:rsidRDefault="00000000">
            <w:pPr>
              <w:spacing w:after="0"/>
            </w:pPr>
            <w:r>
              <w:rPr>
                <w:sz w:val="16"/>
              </w:rPr>
              <w:t>Sensor characteristics differ from Cartosat-2S and RISAT.</w:t>
            </w:r>
          </w:p>
        </w:tc>
      </w:tr>
    </w:tbl>
    <w:p w14:paraId="47B102B1" w14:textId="77777777" w:rsidR="009B5435" w:rsidRDefault="009B5435"/>
    <w:p w14:paraId="6CC10EF9" w14:textId="77777777" w:rsidR="009B5435" w:rsidRDefault="00000000">
      <w:r>
        <w:lastRenderedPageBreak/>
        <w:t>BigEarthNet v2.0 is especially relevant to the adaptation requirement because it contains paired Sentinel-1 and Sentinel-2 image patches. Its documentation describes a large paired collection with both patch-level land-cover labels and pixel-level reference maps, and it uses a geographic split intended to reduce spatial correlation between training and evaluation sets. This makes it useful for multimodal experimentation, while still requiring domain adaptation before claims about Indian high-resolution imagery are made.</w:t>
      </w:r>
    </w:p>
    <w:p w14:paraId="45685C05" w14:textId="77777777" w:rsidR="009B5435" w:rsidRDefault="00000000">
      <w:r>
        <w:t>Copernicus Data Space provides access to Sentinel-1 and Sentinel-2 products and associated processing services. NASA's Earthdata ecosystem provides broader Earth-observation discovery and access. These sources can support controlled experiments and additional stress tests, but they should not be confused with the hidden evaluation data.</w:t>
      </w:r>
    </w:p>
    <w:p w14:paraId="4F9F0581" w14:textId="77777777" w:rsidR="009B5435" w:rsidRDefault="00000000">
      <w:pPr>
        <w:pStyle w:val="Heading2"/>
      </w:pPr>
      <w:r>
        <w:t>ISRO-relevant data context</w:t>
      </w:r>
    </w:p>
    <w:p w14:paraId="22A30FF7" w14:textId="77777777" w:rsidR="009B5435" w:rsidRDefault="00000000">
      <w:r>
        <w:t>ISRO's public material confirms that Cartosat-2 series imagery has been used for cartographic, urban and rural applications, land-use mapping and change detection. ISRO also documents RISAT-1 as a C-band SAR mission with day-night and cloud-penetrating capability. The public SIH26167 listing additionally states that its ISRO/SAC evaluation set is expected to use pre-georeferenced and co-registered Cartosat-2S optical and RISAT SAR pairs. That combination creates a meaningful domain-shift challenge: a system trained mostly on Sentinel or RGB research data may still fail on the organizer's imagery because sensor, spatial scale, preprocessing and scene distribution differ.</w:t>
      </w:r>
    </w:p>
    <w:p w14:paraId="64A831FF" w14:textId="77777777" w:rsidR="009B5435" w:rsidRDefault="00000000">
      <w:r>
        <w:t>A practical data plan is therefore to build the system around an explicit sensor abstraction layer. The application should identify modality, band structure, spatial metadata and image compatibility before selecting a model. The training and development corpus should be diversified, but the final validation should include a deliberately held-out sensor and geographic stress set wherever legally and technically possible.</w:t>
      </w:r>
    </w:p>
    <w:p w14:paraId="2392F77A" w14:textId="77777777" w:rsidR="009B5435" w:rsidRDefault="00000000">
      <w:pPr>
        <w:pStyle w:val="Heading1"/>
      </w:pPr>
      <w:r>
        <w:t>Existing System Landscape</w:t>
      </w:r>
    </w:p>
    <w:p w14:paraId="582CD61D" w14:textId="77777777" w:rsidR="009B5435" w:rsidRDefault="00000000">
      <w:pPr>
        <w:pStyle w:val="Heading2"/>
      </w:pPr>
      <w:r>
        <w:t>Remote-sensing VQA</w:t>
      </w:r>
    </w:p>
    <w:p w14:paraId="4B1F0BB9" w14:textId="77777777" w:rsidR="009B5435" w:rsidRDefault="00000000">
      <w:r>
        <w:t>RSVQA established natural-language question answering over remote-sensing imagery and demonstrated that natural language can expose high-level information without requiring the user to operate a task-specific computer-vision interface. The work also showed an important limitation that remains relevant: many remote-sensing systems were historically task-specific, which motivates a more accessible query interface.</w:t>
      </w:r>
    </w:p>
    <w:p w14:paraId="01119559" w14:textId="77777777" w:rsidR="009B5435" w:rsidRDefault="00000000">
      <w:pPr>
        <w:pStyle w:val="Heading2"/>
      </w:pPr>
      <w:r>
        <w:t>VRSBench</w:t>
      </w:r>
    </w:p>
    <w:p w14:paraId="1A9B2258" w14:textId="77777777" w:rsidR="009B5435" w:rsidRDefault="00000000">
      <w:r>
        <w:t>VRSBench is a modern benchmark designed for general-purpose remote-sensing vision-language understanding. Its published dataset includes human-verified captions, object references and question-answer pairs, and evaluates image captioning, visual grounding and VQA. The paper explicitly notes that the released benchmark is limited to RGB imagery and proposes future expansion toward infrared, multispectral, hyperspectral, SAR and temporal data. This limitation is directly relevant to SatQuery: VRSBench is valuable for single-image vision-language evaluation, but it is not a complete benchmark for the multimodal and temporal core of the SIH problem.</w:t>
      </w:r>
    </w:p>
    <w:p w14:paraId="4C81477C" w14:textId="77777777" w:rsidR="009B5435" w:rsidRDefault="00000000">
      <w:pPr>
        <w:pStyle w:val="Heading2"/>
      </w:pPr>
      <w:r>
        <w:lastRenderedPageBreak/>
        <w:t>GeoChat</w:t>
      </w:r>
    </w:p>
    <w:p w14:paraId="16A04A43" w14:textId="77777777" w:rsidR="009B5435" w:rsidRDefault="00000000">
      <w:r>
        <w:t>GeoChat is one of the closest research precedents to the conversational part of SatQuery. It was designed specifically for remote sensing and supports image-level and region-level dialogue, VQA, captioning and visually grounded responses. It therefore eliminates any credible claim that a conversational remote-sensing VLM with grounding is itself unprecedented. SatQuery should instead build beyond the single-model paradigm by orchestrating specialist capabilities and verifying their outputs.</w:t>
      </w:r>
    </w:p>
    <w:p w14:paraId="1E4D9ED8" w14:textId="77777777" w:rsidR="009B5435" w:rsidRDefault="00000000">
      <w:pPr>
        <w:pStyle w:val="Heading2"/>
      </w:pPr>
      <w:r>
        <w:t>EarthGPT</w:t>
      </w:r>
    </w:p>
    <w:p w14:paraId="22D38848" w14:textId="77777777" w:rsidR="009B5435" w:rsidRDefault="00000000">
      <w:r>
        <w:t>EarthGPT is particularly relevant to the cross-modal requirement. Its paper describes a multimodal large language model for multi-sensor remote-sensing image comprehension and reports a large multi-sensor instruction-following dataset containing optical, SAR and infrared data. This demonstrates that multi-sensor remote-sensing language interaction is already an established research direction. SatQuery's differentiation should therefore focus on query-driven orchestration, evidence management and auditable task execution rather than simply claiming multimodal input.</w:t>
      </w:r>
    </w:p>
    <w:p w14:paraId="281FF465" w14:textId="77777777" w:rsidR="009B5435" w:rsidRDefault="00000000">
      <w:pPr>
        <w:pStyle w:val="Heading2"/>
      </w:pPr>
      <w:r>
        <w:t>RemoteCLIP and GeoRSCLIP</w:t>
      </w:r>
    </w:p>
    <w:p w14:paraId="6CEF900B" w14:textId="77777777" w:rsidR="009B5435" w:rsidRDefault="00000000">
      <w:r>
        <w:t>RemoteCLIP and GeoRSCLIP demonstrate that remote-sensing-specific vision-language representations can outperform general-domain representations on remote-sensing retrieval and classification settings. These models are useful candidates for semantic representation, retrieval or zero-shot support, but they do not by themselves satisfy the full SatQuery workflow.</w:t>
      </w:r>
    </w:p>
    <w:p w14:paraId="3D75EF88" w14:textId="77777777" w:rsidR="009B5435" w:rsidRDefault="00000000">
      <w:pPr>
        <w:pStyle w:val="Heading2"/>
      </w:pPr>
      <w:r>
        <w:t>Temporal change reasoning</w:t>
      </w:r>
    </w:p>
    <w:p w14:paraId="7072FFDB" w14:textId="77777777" w:rsidR="009B5435" w:rsidRDefault="00000000">
      <w:r>
        <w:t>CDVQA introduced change-detection-based visual question answering for multitemporal aerial imagery. LEVIR-CC and subsequent change-captioning research show that identifying changed pixels and describing semantic changes are related but distinct tasks. This distinction matters for SatQuery: a binary change mask is evidence, not necessarily an explanation. The assistant should convert change evidence into an answer only after checking what changed, where it changed and whether the evidence is strong enough.</w:t>
      </w:r>
    </w:p>
    <w:p w14:paraId="06CE7165" w14:textId="77777777" w:rsidR="009B5435" w:rsidRDefault="00000000">
      <w:pPr>
        <w:pStyle w:val="Heading2"/>
      </w:pPr>
      <w:r>
        <w:t>Optical–SAR fusion</w:t>
      </w:r>
    </w:p>
    <w:p w14:paraId="38E0D47B" w14:textId="77777777" w:rsidR="009B5435" w:rsidRDefault="00000000">
      <w:r>
        <w:t>Optical–SAR fusion is already a mature research direction. Earlier work explored homogeneous feature fusion for heterogeneous change detection, while newer work investigates modality-specific and shared representations and semantic-guided fusion. Therefore, SatQuery should not claim that optical–SAR fusion itself is novel. The opportunity lies in making cross-modal evidence a query-selectable service inside an auditable assistant.</w:t>
      </w:r>
    </w:p>
    <w:p w14:paraId="244453A5" w14:textId="77777777" w:rsidR="009B5435" w:rsidRDefault="00000000">
      <w:pPr>
        <w:pStyle w:val="Heading1"/>
      </w:pPr>
      <w:r>
        <w:t>Competitive Gap Assessment</w:t>
      </w:r>
    </w:p>
    <w:tbl>
      <w:tblPr>
        <w:tblStyle w:val="TableGrid"/>
        <w:tblW w:w="0" w:type="auto"/>
        <w:jc w:val="center"/>
        <w:tblLook w:val="04A0" w:firstRow="1" w:lastRow="0" w:firstColumn="1" w:lastColumn="0" w:noHBand="0" w:noVBand="1"/>
      </w:tblPr>
      <w:tblGrid>
        <w:gridCol w:w="3249"/>
        <w:gridCol w:w="3249"/>
        <w:gridCol w:w="3249"/>
      </w:tblGrid>
      <w:tr w:rsidR="009B5435" w14:paraId="10509E27" w14:textId="77777777">
        <w:trPr>
          <w:jc w:val="center"/>
        </w:trPr>
        <w:tc>
          <w:tcPr>
            <w:tcW w:w="3249" w:type="dxa"/>
            <w:shd w:val="clear" w:color="auto" w:fill="D9E2F3"/>
            <w:vAlign w:val="center"/>
          </w:tcPr>
          <w:p w14:paraId="6C499610" w14:textId="77777777" w:rsidR="009B5435" w:rsidRDefault="00000000">
            <w:pPr>
              <w:spacing w:after="0"/>
            </w:pPr>
            <w:r>
              <w:rPr>
                <w:b/>
                <w:sz w:val="16"/>
              </w:rPr>
              <w:t>Capability</w:t>
            </w:r>
          </w:p>
        </w:tc>
        <w:tc>
          <w:tcPr>
            <w:tcW w:w="3249" w:type="dxa"/>
            <w:shd w:val="clear" w:color="auto" w:fill="D9E2F3"/>
            <w:vAlign w:val="center"/>
          </w:tcPr>
          <w:p w14:paraId="5E0EDBB2" w14:textId="77777777" w:rsidR="009B5435" w:rsidRDefault="00000000">
            <w:pPr>
              <w:spacing w:after="0"/>
            </w:pPr>
            <w:r>
              <w:rPr>
                <w:b/>
                <w:sz w:val="16"/>
              </w:rPr>
              <w:t>Established research</w:t>
            </w:r>
          </w:p>
        </w:tc>
        <w:tc>
          <w:tcPr>
            <w:tcW w:w="3249" w:type="dxa"/>
            <w:shd w:val="clear" w:color="auto" w:fill="D9E2F3"/>
            <w:vAlign w:val="center"/>
          </w:tcPr>
          <w:p w14:paraId="7B0F2D7A" w14:textId="77777777" w:rsidR="009B5435" w:rsidRDefault="00000000">
            <w:pPr>
              <w:spacing w:after="0"/>
            </w:pPr>
            <w:r>
              <w:rPr>
                <w:b/>
                <w:sz w:val="16"/>
              </w:rPr>
              <w:t>Remaining system-level opportunity</w:t>
            </w:r>
          </w:p>
        </w:tc>
      </w:tr>
      <w:tr w:rsidR="009B5435" w14:paraId="433D9BB7" w14:textId="77777777">
        <w:trPr>
          <w:jc w:val="center"/>
        </w:trPr>
        <w:tc>
          <w:tcPr>
            <w:tcW w:w="3249" w:type="dxa"/>
            <w:vAlign w:val="center"/>
          </w:tcPr>
          <w:p w14:paraId="7FD00951" w14:textId="77777777" w:rsidR="009B5435" w:rsidRDefault="00000000">
            <w:pPr>
              <w:spacing w:after="0"/>
            </w:pPr>
            <w:r>
              <w:rPr>
                <w:sz w:val="16"/>
              </w:rPr>
              <w:t>Remote-sensing VQA</w:t>
            </w:r>
          </w:p>
        </w:tc>
        <w:tc>
          <w:tcPr>
            <w:tcW w:w="3249" w:type="dxa"/>
            <w:vAlign w:val="center"/>
          </w:tcPr>
          <w:p w14:paraId="6B026FBE" w14:textId="77777777" w:rsidR="009B5435" w:rsidRDefault="00000000">
            <w:pPr>
              <w:spacing w:after="0"/>
            </w:pPr>
            <w:r>
              <w:rPr>
                <w:sz w:val="16"/>
              </w:rPr>
              <w:t>Strongly established through RSVQA, VRSBench and remote-sensing VLMs.</w:t>
            </w:r>
          </w:p>
        </w:tc>
        <w:tc>
          <w:tcPr>
            <w:tcW w:w="3249" w:type="dxa"/>
            <w:vAlign w:val="center"/>
          </w:tcPr>
          <w:p w14:paraId="5785CE06" w14:textId="77777777" w:rsidR="009B5435" w:rsidRDefault="00000000">
            <w:pPr>
              <w:spacing w:after="0"/>
            </w:pPr>
            <w:r>
              <w:rPr>
                <w:sz w:val="16"/>
              </w:rPr>
              <w:t>Route VQA only when the input and query justify it, then verify the answer against task-specific evidence.</w:t>
            </w:r>
          </w:p>
        </w:tc>
      </w:tr>
      <w:tr w:rsidR="009B5435" w14:paraId="7FD7BBD2" w14:textId="77777777">
        <w:trPr>
          <w:jc w:val="center"/>
        </w:trPr>
        <w:tc>
          <w:tcPr>
            <w:tcW w:w="3249" w:type="dxa"/>
            <w:vAlign w:val="center"/>
          </w:tcPr>
          <w:p w14:paraId="2D8B85A9" w14:textId="77777777" w:rsidR="009B5435" w:rsidRDefault="00000000">
            <w:pPr>
              <w:spacing w:after="0"/>
            </w:pPr>
            <w:r>
              <w:rPr>
                <w:sz w:val="16"/>
              </w:rPr>
              <w:t>Visual grounding</w:t>
            </w:r>
          </w:p>
        </w:tc>
        <w:tc>
          <w:tcPr>
            <w:tcW w:w="3249" w:type="dxa"/>
            <w:vAlign w:val="center"/>
          </w:tcPr>
          <w:p w14:paraId="5C93777D" w14:textId="77777777" w:rsidR="009B5435" w:rsidRDefault="00000000">
            <w:pPr>
              <w:spacing w:after="0"/>
            </w:pPr>
            <w:r>
              <w:rPr>
                <w:sz w:val="16"/>
              </w:rPr>
              <w:t>GeoChat and VRSBench establish grounded remote-sensing interaction.</w:t>
            </w:r>
          </w:p>
        </w:tc>
        <w:tc>
          <w:tcPr>
            <w:tcW w:w="3249" w:type="dxa"/>
            <w:vAlign w:val="center"/>
          </w:tcPr>
          <w:p w14:paraId="205BE11C" w14:textId="77777777" w:rsidR="009B5435" w:rsidRDefault="00000000">
            <w:pPr>
              <w:spacing w:after="0"/>
            </w:pPr>
            <w:r>
              <w:rPr>
                <w:sz w:val="16"/>
              </w:rPr>
              <w:t>Use grounding as evidence for the final answer and connect the evidence to the execution summary.</w:t>
            </w:r>
          </w:p>
        </w:tc>
      </w:tr>
      <w:tr w:rsidR="009B5435" w14:paraId="093861FD" w14:textId="77777777">
        <w:trPr>
          <w:jc w:val="center"/>
        </w:trPr>
        <w:tc>
          <w:tcPr>
            <w:tcW w:w="3249" w:type="dxa"/>
            <w:vAlign w:val="center"/>
          </w:tcPr>
          <w:p w14:paraId="124D6087" w14:textId="77777777" w:rsidR="009B5435" w:rsidRDefault="00000000">
            <w:pPr>
              <w:spacing w:after="0"/>
            </w:pPr>
            <w:r>
              <w:rPr>
                <w:sz w:val="16"/>
              </w:rPr>
              <w:t>Change detection</w:t>
            </w:r>
          </w:p>
        </w:tc>
        <w:tc>
          <w:tcPr>
            <w:tcW w:w="3249" w:type="dxa"/>
            <w:vAlign w:val="center"/>
          </w:tcPr>
          <w:p w14:paraId="3D7CCA9F" w14:textId="77777777" w:rsidR="009B5435" w:rsidRDefault="00000000">
            <w:pPr>
              <w:spacing w:after="0"/>
            </w:pPr>
            <w:r>
              <w:rPr>
                <w:sz w:val="16"/>
              </w:rPr>
              <w:t xml:space="preserve">Large body of temporal change-detection </w:t>
            </w:r>
            <w:r>
              <w:rPr>
                <w:sz w:val="16"/>
              </w:rPr>
              <w:lastRenderedPageBreak/>
              <w:t>research exists.</w:t>
            </w:r>
          </w:p>
        </w:tc>
        <w:tc>
          <w:tcPr>
            <w:tcW w:w="3249" w:type="dxa"/>
            <w:vAlign w:val="center"/>
          </w:tcPr>
          <w:p w14:paraId="77761CB6" w14:textId="77777777" w:rsidR="009B5435" w:rsidRDefault="00000000">
            <w:pPr>
              <w:spacing w:after="0"/>
            </w:pPr>
            <w:r>
              <w:rPr>
                <w:sz w:val="16"/>
              </w:rPr>
              <w:lastRenderedPageBreak/>
              <w:t xml:space="preserve">Separate detection from semantic change </w:t>
            </w:r>
            <w:r>
              <w:rPr>
                <w:sz w:val="16"/>
              </w:rPr>
              <w:lastRenderedPageBreak/>
              <w:t>reasoning and expose both the evidence and the explanation.</w:t>
            </w:r>
          </w:p>
        </w:tc>
      </w:tr>
      <w:tr w:rsidR="009B5435" w14:paraId="5EFD8B67" w14:textId="77777777">
        <w:trPr>
          <w:jc w:val="center"/>
        </w:trPr>
        <w:tc>
          <w:tcPr>
            <w:tcW w:w="3249" w:type="dxa"/>
            <w:vAlign w:val="center"/>
          </w:tcPr>
          <w:p w14:paraId="5313E1BA" w14:textId="77777777" w:rsidR="009B5435" w:rsidRDefault="00000000">
            <w:pPr>
              <w:spacing w:after="0"/>
            </w:pPr>
            <w:r>
              <w:rPr>
                <w:sz w:val="16"/>
              </w:rPr>
              <w:lastRenderedPageBreak/>
              <w:t>Change captioning</w:t>
            </w:r>
          </w:p>
        </w:tc>
        <w:tc>
          <w:tcPr>
            <w:tcW w:w="3249" w:type="dxa"/>
            <w:vAlign w:val="center"/>
          </w:tcPr>
          <w:p w14:paraId="3CC78CF7" w14:textId="77777777" w:rsidR="009B5435" w:rsidRDefault="00000000">
            <w:pPr>
              <w:spacing w:after="0"/>
            </w:pPr>
            <w:r>
              <w:rPr>
                <w:sz w:val="16"/>
              </w:rPr>
              <w:t>LEVIR-CC and related methods already generate natural-language descriptions of change.</w:t>
            </w:r>
          </w:p>
        </w:tc>
        <w:tc>
          <w:tcPr>
            <w:tcW w:w="3249" w:type="dxa"/>
            <w:vAlign w:val="center"/>
          </w:tcPr>
          <w:p w14:paraId="4E77A4E4" w14:textId="77777777" w:rsidR="009B5435" w:rsidRDefault="00000000">
            <w:pPr>
              <w:spacing w:after="0"/>
            </w:pPr>
            <w:r>
              <w:rPr>
                <w:sz w:val="16"/>
              </w:rPr>
              <w:t>Use change captioning as one specialist component rather than treating it as the entire temporal workflow.</w:t>
            </w:r>
          </w:p>
        </w:tc>
      </w:tr>
      <w:tr w:rsidR="009B5435" w14:paraId="1375D6FE" w14:textId="77777777">
        <w:trPr>
          <w:jc w:val="center"/>
        </w:trPr>
        <w:tc>
          <w:tcPr>
            <w:tcW w:w="3249" w:type="dxa"/>
            <w:vAlign w:val="center"/>
          </w:tcPr>
          <w:p w14:paraId="3FD9E0AF" w14:textId="77777777" w:rsidR="009B5435" w:rsidRDefault="00000000">
            <w:pPr>
              <w:spacing w:after="0"/>
            </w:pPr>
            <w:r>
              <w:rPr>
                <w:sz w:val="16"/>
              </w:rPr>
              <w:t>Optical–SAR fusion</w:t>
            </w:r>
          </w:p>
        </w:tc>
        <w:tc>
          <w:tcPr>
            <w:tcW w:w="3249" w:type="dxa"/>
            <w:vAlign w:val="center"/>
          </w:tcPr>
          <w:p w14:paraId="248D737D" w14:textId="77777777" w:rsidR="009B5435" w:rsidRDefault="00000000">
            <w:pPr>
              <w:spacing w:after="0"/>
            </w:pPr>
            <w:r>
              <w:rPr>
                <w:sz w:val="16"/>
              </w:rPr>
              <w:t>Established research field with multiple fusion strategies.</w:t>
            </w:r>
          </w:p>
        </w:tc>
        <w:tc>
          <w:tcPr>
            <w:tcW w:w="3249" w:type="dxa"/>
            <w:vAlign w:val="center"/>
          </w:tcPr>
          <w:p w14:paraId="61945B0C" w14:textId="77777777" w:rsidR="009B5435" w:rsidRDefault="00000000">
            <w:pPr>
              <w:spacing w:after="0"/>
            </w:pPr>
            <w:r>
              <w:rPr>
                <w:sz w:val="16"/>
              </w:rPr>
              <w:t>Make modality disagreement, modality sufficiency and evidence reconciliation explicit in the assistant.</w:t>
            </w:r>
          </w:p>
        </w:tc>
      </w:tr>
      <w:tr w:rsidR="009B5435" w14:paraId="14902DD4" w14:textId="77777777">
        <w:trPr>
          <w:jc w:val="center"/>
        </w:trPr>
        <w:tc>
          <w:tcPr>
            <w:tcW w:w="3249" w:type="dxa"/>
            <w:vAlign w:val="center"/>
          </w:tcPr>
          <w:p w14:paraId="2AC59CE0" w14:textId="77777777" w:rsidR="009B5435" w:rsidRDefault="00000000">
            <w:pPr>
              <w:spacing w:after="0"/>
            </w:pPr>
            <w:r>
              <w:rPr>
                <w:sz w:val="16"/>
              </w:rPr>
              <w:t>Remote-sensing VLM</w:t>
            </w:r>
          </w:p>
        </w:tc>
        <w:tc>
          <w:tcPr>
            <w:tcW w:w="3249" w:type="dxa"/>
            <w:vAlign w:val="center"/>
          </w:tcPr>
          <w:p w14:paraId="7A20059A" w14:textId="77777777" w:rsidR="009B5435" w:rsidRDefault="00000000">
            <w:pPr>
              <w:spacing w:after="0"/>
            </w:pPr>
            <w:r>
              <w:rPr>
                <w:sz w:val="16"/>
              </w:rPr>
              <w:t>GeoChat, EarthGPT, RemoteCLIP, GeoRSCLIP and others establish domain-specific VLM research.</w:t>
            </w:r>
          </w:p>
        </w:tc>
        <w:tc>
          <w:tcPr>
            <w:tcW w:w="3249" w:type="dxa"/>
            <w:vAlign w:val="center"/>
          </w:tcPr>
          <w:p w14:paraId="3983E90B" w14:textId="77777777" w:rsidR="009B5435" w:rsidRDefault="00000000">
            <w:pPr>
              <w:spacing w:after="0"/>
            </w:pPr>
            <w:r>
              <w:rPr>
                <w:sz w:val="16"/>
              </w:rPr>
              <w:t>Use one or more such models as components in a controlled system instead of relying on a single model for every task.</w:t>
            </w:r>
          </w:p>
        </w:tc>
      </w:tr>
      <w:tr w:rsidR="009B5435" w14:paraId="19FC4F90" w14:textId="77777777">
        <w:trPr>
          <w:jc w:val="center"/>
        </w:trPr>
        <w:tc>
          <w:tcPr>
            <w:tcW w:w="3249" w:type="dxa"/>
            <w:vAlign w:val="center"/>
          </w:tcPr>
          <w:p w14:paraId="7A3AE7E4" w14:textId="77777777" w:rsidR="009B5435" w:rsidRDefault="00000000">
            <w:pPr>
              <w:spacing w:after="0"/>
            </w:pPr>
            <w:r>
              <w:rPr>
                <w:sz w:val="16"/>
              </w:rPr>
              <w:t>Natural-language geospatial assistants</w:t>
            </w:r>
          </w:p>
        </w:tc>
        <w:tc>
          <w:tcPr>
            <w:tcW w:w="3249" w:type="dxa"/>
            <w:vAlign w:val="center"/>
          </w:tcPr>
          <w:p w14:paraId="40DF19C7" w14:textId="77777777" w:rsidR="009B5435" w:rsidRDefault="00000000">
            <w:pPr>
              <w:spacing w:after="0"/>
            </w:pPr>
            <w:r>
              <w:rPr>
                <w:sz w:val="16"/>
              </w:rPr>
              <w:t>Existing systems and prototypes translate language into geospatial operations.</w:t>
            </w:r>
          </w:p>
        </w:tc>
        <w:tc>
          <w:tcPr>
            <w:tcW w:w="3249" w:type="dxa"/>
            <w:vAlign w:val="center"/>
          </w:tcPr>
          <w:p w14:paraId="49ECBC30" w14:textId="77777777" w:rsidR="009B5435" w:rsidRDefault="00000000">
            <w:pPr>
              <w:spacing w:after="0"/>
            </w:pPr>
            <w:r>
              <w:rPr>
                <w:sz w:val="16"/>
              </w:rPr>
              <w:t>Keep SatQuery focused on uploaded remote-sensing imagery and benchmarked multimodal interpretation rather than becoming a general GIS automation platform.</w:t>
            </w:r>
          </w:p>
        </w:tc>
      </w:tr>
      <w:tr w:rsidR="009B5435" w14:paraId="68243965" w14:textId="77777777">
        <w:trPr>
          <w:jc w:val="center"/>
        </w:trPr>
        <w:tc>
          <w:tcPr>
            <w:tcW w:w="3249" w:type="dxa"/>
            <w:vAlign w:val="center"/>
          </w:tcPr>
          <w:p w14:paraId="7F84FDC8" w14:textId="77777777" w:rsidR="009B5435" w:rsidRDefault="00000000">
            <w:pPr>
              <w:spacing w:after="0"/>
            </w:pPr>
            <w:r>
              <w:rPr>
                <w:sz w:val="16"/>
              </w:rPr>
              <w:t>Agentic routing</w:t>
            </w:r>
          </w:p>
        </w:tc>
        <w:tc>
          <w:tcPr>
            <w:tcW w:w="3249" w:type="dxa"/>
            <w:vAlign w:val="center"/>
          </w:tcPr>
          <w:p w14:paraId="2C08E3E2" w14:textId="77777777" w:rsidR="009B5435" w:rsidRDefault="00000000">
            <w:pPr>
              <w:spacing w:after="0"/>
            </w:pPr>
            <w:r>
              <w:rPr>
                <w:sz w:val="16"/>
              </w:rPr>
              <w:t>General AI agents and geospatial agent prototypes demonstrate routing and tool use.</w:t>
            </w:r>
          </w:p>
        </w:tc>
        <w:tc>
          <w:tcPr>
            <w:tcW w:w="3249" w:type="dxa"/>
            <w:vAlign w:val="center"/>
          </w:tcPr>
          <w:p w14:paraId="6C1B2340" w14:textId="77777777" w:rsidR="009B5435" w:rsidRDefault="00000000">
            <w:pPr>
              <w:spacing w:after="0"/>
            </w:pPr>
            <w:r>
              <w:rPr>
                <w:sz w:val="16"/>
              </w:rPr>
              <w:t>Make routing capability-aware, parameter-constrained, observable and verifiable against the actual remote-sensing input.</w:t>
            </w:r>
          </w:p>
        </w:tc>
      </w:tr>
    </w:tbl>
    <w:p w14:paraId="50BACE4D" w14:textId="77777777" w:rsidR="009B5435" w:rsidRDefault="009B5435"/>
    <w:p w14:paraId="29894E6B" w14:textId="77777777" w:rsidR="009B5435" w:rsidRDefault="00000000">
      <w:pPr>
        <w:pStyle w:val="Heading1"/>
      </w:pPr>
      <w:r>
        <w:t>Recommended System Architecture</w:t>
      </w:r>
    </w:p>
    <w:p w14:paraId="13922EAC" w14:textId="77777777" w:rsidR="009B5435" w:rsidRDefault="00000000">
      <w:r>
        <w:t>The recommended design is a hybrid agentic architecture. The language model is used for query interpretation, task planning and final response composition. Specialist remote-sensing models perform the actual image-analysis operations. A capability registry constrains what the controller is allowed to call. A verification layer checks evidence consistency before a response is released.</w:t>
      </w:r>
    </w:p>
    <w:p w14:paraId="6A15411E" w14:textId="77777777" w:rsidR="009B5435" w:rsidRDefault="00000000">
      <w:pPr>
        <w:jc w:val="center"/>
      </w:pPr>
      <w:r>
        <w:rPr>
          <w:noProof/>
        </w:rPr>
        <w:drawing>
          <wp:inline distT="0" distB="0" distL="0" distR="0" wp14:anchorId="2D419B4D" wp14:editId="48EF9284">
            <wp:extent cx="5688000" cy="3809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query_architecture.png"/>
                    <pic:cNvPicPr/>
                  </pic:nvPicPr>
                  <pic:blipFill>
                    <a:blip r:embed="rId8"/>
                    <a:stretch>
                      <a:fillRect/>
                    </a:stretch>
                  </pic:blipFill>
                  <pic:spPr>
                    <a:xfrm>
                      <a:off x="0" y="0"/>
                      <a:ext cx="5688000" cy="3809244"/>
                    </a:xfrm>
                    <a:prstGeom prst="rect">
                      <a:avLst/>
                    </a:prstGeom>
                  </pic:spPr>
                </pic:pic>
              </a:graphicData>
            </a:graphic>
          </wp:inline>
        </w:drawing>
      </w:r>
    </w:p>
    <w:p w14:paraId="4C70046C" w14:textId="77777777" w:rsidR="009B5435" w:rsidRDefault="00000000">
      <w:r>
        <w:t xml:space="preserve">The architecture deliberately separates planning from evidence production. The planner does not get to invent a visual answer. Specialist tools produce measurable outputs such as answers, captions, bounding </w:t>
      </w:r>
      <w:r>
        <w:lastRenderedPageBreak/>
        <w:t>boxes, masks, change regions or modality-specific findings. The verifier then determines whether those outputs are mutually consistent and sufficient for the requested answer.</w:t>
      </w:r>
    </w:p>
    <w:p w14:paraId="00668BFD" w14:textId="77777777" w:rsidR="009B5435" w:rsidRDefault="00000000">
      <w:pPr>
        <w:pStyle w:val="Heading2"/>
      </w:pPr>
      <w:r>
        <w:t>Input gate</w:t>
      </w:r>
    </w:p>
    <w:p w14:paraId="791519D6" w14:textId="77777777" w:rsidR="009B5435" w:rsidRDefault="00000000">
      <w:pPr>
        <w:pStyle w:val="ListBullet"/>
        <w:spacing w:after="60"/>
        <w:ind w:left="283"/>
      </w:pPr>
      <w:r>
        <w:t>Identify file type and supported image representation.</w:t>
      </w:r>
    </w:p>
    <w:p w14:paraId="398D1809" w14:textId="77777777" w:rsidR="009B5435" w:rsidRDefault="00000000">
      <w:pPr>
        <w:pStyle w:val="ListBullet"/>
        <w:spacing w:after="60"/>
        <w:ind w:left="283"/>
      </w:pPr>
      <w:r>
        <w:t>Inspect spatial metadata, dimensions, band count and modality where metadata is available.</w:t>
      </w:r>
    </w:p>
    <w:p w14:paraId="74DFEBB5" w14:textId="77777777" w:rsidR="009B5435" w:rsidRDefault="00000000">
      <w:pPr>
        <w:pStyle w:val="ListBullet"/>
        <w:spacing w:after="60"/>
        <w:ind w:left="283"/>
      </w:pPr>
      <w:r>
        <w:t>Check whether a pair is spatially compatible before running a paired workflow.</w:t>
      </w:r>
    </w:p>
    <w:p w14:paraId="4D6261CF" w14:textId="77777777" w:rsidR="009B5435" w:rsidRDefault="00000000">
      <w:pPr>
        <w:pStyle w:val="ListBullet"/>
        <w:spacing w:after="60"/>
        <w:ind w:left="283"/>
      </w:pPr>
      <w:r>
        <w:t>Check whether the query requires one image, two time points or two sensor modalities.</w:t>
      </w:r>
    </w:p>
    <w:p w14:paraId="524F2122" w14:textId="77777777" w:rsidR="009B5435" w:rsidRDefault="00000000">
      <w:pPr>
        <w:pStyle w:val="ListBullet"/>
        <w:spacing w:after="60"/>
        <w:ind w:left="283"/>
      </w:pPr>
      <w:r>
        <w:t>Reject or flag unsupported configurations rather than silently forcing them through a model.</w:t>
      </w:r>
    </w:p>
    <w:p w14:paraId="40B6F483" w14:textId="77777777" w:rsidR="009B5435" w:rsidRDefault="00000000">
      <w:pPr>
        <w:pStyle w:val="Heading2"/>
      </w:pPr>
      <w:r>
        <w:t>Capability-aware controller</w:t>
      </w:r>
    </w:p>
    <w:p w14:paraId="45CF134A" w14:textId="77777777" w:rsidR="009B5435" w:rsidRDefault="00000000">
      <w:pPr>
        <w:pStyle w:val="ListBullet"/>
        <w:spacing w:after="60"/>
        <w:ind w:left="283"/>
      </w:pPr>
      <w:r>
        <w:t>Translate the natural-language query into an explicit task category.</w:t>
      </w:r>
    </w:p>
    <w:p w14:paraId="3423E596" w14:textId="77777777" w:rsidR="009B5435" w:rsidRDefault="00000000">
      <w:pPr>
        <w:pStyle w:val="ListBullet"/>
        <w:spacing w:after="60"/>
        <w:ind w:left="283"/>
      </w:pPr>
      <w:r>
        <w:t>Select the smallest set of specialist tools required to answer the query.</w:t>
      </w:r>
    </w:p>
    <w:p w14:paraId="602B6DF4" w14:textId="77777777" w:rsidR="009B5435" w:rsidRDefault="00000000">
      <w:pPr>
        <w:pStyle w:val="ListBullet"/>
        <w:spacing w:after="60"/>
        <w:ind w:left="283"/>
      </w:pPr>
      <w:r>
        <w:t>Prevent a tool from receiving unsupported input modalities.</w:t>
      </w:r>
    </w:p>
    <w:p w14:paraId="7D2607E6" w14:textId="77777777" w:rsidR="009B5435" w:rsidRDefault="00000000">
      <w:pPr>
        <w:pStyle w:val="ListBullet"/>
        <w:spacing w:after="60"/>
        <w:ind w:left="283"/>
      </w:pPr>
      <w:r>
        <w:t>Record the selected tool, model, relevant parameters and outputs.</w:t>
      </w:r>
    </w:p>
    <w:p w14:paraId="3709EFBA" w14:textId="77777777" w:rsidR="009B5435" w:rsidRDefault="00000000">
      <w:pPr>
        <w:pStyle w:val="ListBullet"/>
        <w:spacing w:after="60"/>
        <w:ind w:left="283"/>
      </w:pPr>
      <w:r>
        <w:t>Allow deterministic rules to override language-model choices when a safety or compatibility constraint is violated.</w:t>
      </w:r>
    </w:p>
    <w:p w14:paraId="133E7F13" w14:textId="77777777" w:rsidR="009B5435" w:rsidRDefault="00000000">
      <w:pPr>
        <w:pStyle w:val="Heading2"/>
      </w:pPr>
      <w:r>
        <w:t>Specialist layer</w:t>
      </w:r>
    </w:p>
    <w:p w14:paraId="5F9DC0D6" w14:textId="77777777" w:rsidR="009B5435" w:rsidRDefault="00000000">
      <w:pPr>
        <w:pStyle w:val="ListBullet"/>
        <w:spacing w:after="60"/>
        <w:ind w:left="283"/>
      </w:pPr>
      <w:r>
        <w:t>Remote-sensing VQA for question answering.</w:t>
      </w:r>
    </w:p>
    <w:p w14:paraId="41FBAFC7" w14:textId="77777777" w:rsidR="009B5435" w:rsidRDefault="00000000">
      <w:pPr>
        <w:pStyle w:val="ListBullet"/>
        <w:spacing w:after="60"/>
        <w:ind w:left="283"/>
      </w:pPr>
      <w:r>
        <w:t>Remote-sensing captioning or grounded region analysis for the additional single-image task.</w:t>
      </w:r>
    </w:p>
    <w:p w14:paraId="6F933D8E" w14:textId="77777777" w:rsidR="009B5435" w:rsidRDefault="00000000">
      <w:pPr>
        <w:pStyle w:val="ListBullet"/>
        <w:spacing w:after="60"/>
        <w:ind w:left="283"/>
      </w:pPr>
      <w:r>
        <w:t>Dedicated change detection or change VQA for bi-temporal analysis.</w:t>
      </w:r>
    </w:p>
    <w:p w14:paraId="7EAD6FBC" w14:textId="77777777" w:rsidR="009B5435" w:rsidRDefault="00000000">
      <w:pPr>
        <w:pStyle w:val="ListBullet"/>
        <w:spacing w:after="60"/>
        <w:ind w:left="283"/>
      </w:pPr>
      <w:r>
        <w:t>Optical–SAR representation or fusion model for cross-modal analysis.</w:t>
      </w:r>
    </w:p>
    <w:p w14:paraId="5EA488F0" w14:textId="77777777" w:rsidR="009B5435" w:rsidRDefault="00000000">
      <w:pPr>
        <w:pStyle w:val="ListBullet"/>
        <w:spacing w:after="60"/>
        <w:ind w:left="283"/>
      </w:pPr>
      <w:r>
        <w:t>Optional geospatial metadata and visualization utilities.</w:t>
      </w:r>
    </w:p>
    <w:p w14:paraId="692652F3" w14:textId="77777777" w:rsidR="009B5435" w:rsidRDefault="00000000">
      <w:pPr>
        <w:pStyle w:val="Heading2"/>
      </w:pPr>
      <w:r>
        <w:t>Evidence layer</w:t>
      </w:r>
    </w:p>
    <w:p w14:paraId="7E492677" w14:textId="77777777" w:rsidR="009B5435" w:rsidRDefault="00000000">
      <w:pPr>
        <w:pStyle w:val="ListBullet"/>
        <w:spacing w:after="60"/>
        <w:ind w:left="283"/>
      </w:pPr>
      <w:r>
        <w:t>Map each textual claim to the strongest available evidence.</w:t>
      </w:r>
    </w:p>
    <w:p w14:paraId="57559C8A" w14:textId="77777777" w:rsidR="009B5435" w:rsidRDefault="00000000">
      <w:pPr>
        <w:pStyle w:val="ListBullet"/>
        <w:spacing w:after="60"/>
        <w:ind w:left="283"/>
      </w:pPr>
      <w:r>
        <w:t>Prefer spatial evidence when the task supports grounding.</w:t>
      </w:r>
    </w:p>
    <w:p w14:paraId="0A6336F9" w14:textId="77777777" w:rsidR="009B5435" w:rsidRDefault="00000000">
      <w:pPr>
        <w:pStyle w:val="ListBullet"/>
        <w:spacing w:after="60"/>
        <w:ind w:left="283"/>
      </w:pPr>
      <w:r>
        <w:t>Compare outputs from multiple specialists when a query requires multiple models.</w:t>
      </w:r>
    </w:p>
    <w:p w14:paraId="1B40A3F5" w14:textId="77777777" w:rsidR="009B5435" w:rsidRDefault="00000000">
      <w:pPr>
        <w:pStyle w:val="ListBullet"/>
        <w:spacing w:after="60"/>
        <w:ind w:left="283"/>
      </w:pPr>
      <w:r>
        <w:t>Detect contradictory evidence instead of averaging away disagreement.</w:t>
      </w:r>
    </w:p>
    <w:p w14:paraId="19DEBC02" w14:textId="77777777" w:rsidR="009B5435" w:rsidRDefault="00000000">
      <w:pPr>
        <w:pStyle w:val="ListBullet"/>
        <w:spacing w:after="60"/>
        <w:ind w:left="283"/>
      </w:pPr>
      <w:r>
        <w:t>Return an uncertainty or insufficient-evidence state when validation fails.</w:t>
      </w:r>
    </w:p>
    <w:p w14:paraId="10DF4F94" w14:textId="77777777" w:rsidR="009B5435" w:rsidRDefault="00000000">
      <w:pPr>
        <w:pStyle w:val="Heading1"/>
      </w:pPr>
      <w:r>
        <w:t>Differentiated Solution Concepts</w:t>
      </w:r>
    </w:p>
    <w:p w14:paraId="61FC92BE" w14:textId="77777777" w:rsidR="009B5435" w:rsidRDefault="00000000">
      <w:r>
        <w:t>The following concepts are deliberately framed as system-level opportunities. They are not presented as inventions or patentable claims. Existing research was checked for close precedents, and the concepts below should be described in the hackathon as proposed integrations or engineering contributions unless the team later establishes stronger novelty evidence.</w:t>
      </w:r>
    </w:p>
    <w:tbl>
      <w:tblPr>
        <w:tblStyle w:val="TableGrid"/>
        <w:tblW w:w="0" w:type="auto"/>
        <w:jc w:val="center"/>
        <w:tblLook w:val="04A0" w:firstRow="1" w:lastRow="0" w:firstColumn="1" w:lastColumn="0" w:noHBand="0" w:noVBand="1"/>
      </w:tblPr>
      <w:tblGrid>
        <w:gridCol w:w="2436"/>
        <w:gridCol w:w="2436"/>
        <w:gridCol w:w="2436"/>
        <w:gridCol w:w="2436"/>
      </w:tblGrid>
      <w:tr w:rsidR="009B5435" w14:paraId="69358046" w14:textId="77777777">
        <w:trPr>
          <w:jc w:val="center"/>
        </w:trPr>
        <w:tc>
          <w:tcPr>
            <w:tcW w:w="2436" w:type="dxa"/>
            <w:shd w:val="clear" w:color="auto" w:fill="D9E2F3"/>
            <w:vAlign w:val="center"/>
          </w:tcPr>
          <w:p w14:paraId="319662C8" w14:textId="77777777" w:rsidR="009B5435" w:rsidRDefault="00000000">
            <w:pPr>
              <w:spacing w:after="0"/>
            </w:pPr>
            <w:r>
              <w:rPr>
                <w:b/>
                <w:sz w:val="16"/>
              </w:rPr>
              <w:t>Concept</w:t>
            </w:r>
          </w:p>
        </w:tc>
        <w:tc>
          <w:tcPr>
            <w:tcW w:w="2436" w:type="dxa"/>
            <w:shd w:val="clear" w:color="auto" w:fill="D9E2F3"/>
            <w:vAlign w:val="center"/>
          </w:tcPr>
          <w:p w14:paraId="715871BD" w14:textId="77777777" w:rsidR="009B5435" w:rsidRDefault="00000000">
            <w:pPr>
              <w:spacing w:after="0"/>
            </w:pPr>
            <w:r>
              <w:rPr>
                <w:b/>
                <w:sz w:val="16"/>
              </w:rPr>
              <w:t>Technical rationale</w:t>
            </w:r>
          </w:p>
        </w:tc>
        <w:tc>
          <w:tcPr>
            <w:tcW w:w="2436" w:type="dxa"/>
            <w:shd w:val="clear" w:color="auto" w:fill="D9E2F3"/>
            <w:vAlign w:val="center"/>
          </w:tcPr>
          <w:p w14:paraId="69104CC1" w14:textId="77777777" w:rsidR="009B5435" w:rsidRDefault="00000000">
            <w:pPr>
              <w:spacing w:after="0"/>
            </w:pPr>
            <w:r>
              <w:rPr>
                <w:b/>
                <w:sz w:val="16"/>
              </w:rPr>
              <w:t>Novelty position</w:t>
            </w:r>
          </w:p>
        </w:tc>
        <w:tc>
          <w:tcPr>
            <w:tcW w:w="2436" w:type="dxa"/>
            <w:shd w:val="clear" w:color="auto" w:fill="D9E2F3"/>
            <w:vAlign w:val="center"/>
          </w:tcPr>
          <w:p w14:paraId="315D73F0" w14:textId="77777777" w:rsidR="009B5435" w:rsidRDefault="00000000">
            <w:pPr>
              <w:spacing w:after="0"/>
            </w:pPr>
            <w:r>
              <w:rPr>
                <w:b/>
                <w:sz w:val="16"/>
              </w:rPr>
              <w:t>Implementation status</w:t>
            </w:r>
          </w:p>
        </w:tc>
      </w:tr>
      <w:tr w:rsidR="009B5435" w14:paraId="14BFFE25" w14:textId="77777777">
        <w:trPr>
          <w:jc w:val="center"/>
        </w:trPr>
        <w:tc>
          <w:tcPr>
            <w:tcW w:w="2436" w:type="dxa"/>
            <w:vAlign w:val="center"/>
          </w:tcPr>
          <w:p w14:paraId="4486DF36" w14:textId="77777777" w:rsidR="009B5435" w:rsidRDefault="00000000">
            <w:pPr>
              <w:spacing w:after="0"/>
            </w:pPr>
            <w:r>
              <w:rPr>
                <w:sz w:val="16"/>
              </w:rPr>
              <w:t>Evidence-linked answer generation</w:t>
            </w:r>
          </w:p>
        </w:tc>
        <w:tc>
          <w:tcPr>
            <w:tcW w:w="2436" w:type="dxa"/>
            <w:vAlign w:val="center"/>
          </w:tcPr>
          <w:p w14:paraId="052DF609" w14:textId="77777777" w:rsidR="009B5435" w:rsidRDefault="00000000">
            <w:pPr>
              <w:spacing w:after="0"/>
            </w:pPr>
            <w:r>
              <w:rPr>
                <w:sz w:val="16"/>
              </w:rPr>
              <w:t xml:space="preserve">Every major answer statement is associated with a visual or model output that supports it. A response about a detected water body can expose the </w:t>
            </w:r>
            <w:r>
              <w:rPr>
                <w:sz w:val="16"/>
              </w:rPr>
              <w:lastRenderedPageBreak/>
              <w:t>corresponding region, while a temporal statement can expose the change mask.</w:t>
            </w:r>
          </w:p>
        </w:tc>
        <w:tc>
          <w:tcPr>
            <w:tcW w:w="2436" w:type="dxa"/>
            <w:vAlign w:val="center"/>
          </w:tcPr>
          <w:p w14:paraId="4F445B76" w14:textId="77777777" w:rsidR="009B5435" w:rsidRDefault="00000000">
            <w:pPr>
              <w:spacing w:after="0"/>
            </w:pPr>
            <w:r>
              <w:rPr>
                <w:sz w:val="16"/>
              </w:rPr>
              <w:lastRenderedPageBreak/>
              <w:t>Strong differentiation</w:t>
            </w:r>
          </w:p>
        </w:tc>
        <w:tc>
          <w:tcPr>
            <w:tcW w:w="2436" w:type="dxa"/>
            <w:vAlign w:val="center"/>
          </w:tcPr>
          <w:p w14:paraId="0C758D72" w14:textId="77777777" w:rsidR="009B5435" w:rsidRDefault="00000000">
            <w:pPr>
              <w:spacing w:after="0"/>
            </w:pPr>
            <w:r>
              <w:rPr>
                <w:sz w:val="16"/>
              </w:rPr>
              <w:t>Buildable</w:t>
            </w:r>
          </w:p>
        </w:tc>
      </w:tr>
      <w:tr w:rsidR="009B5435" w14:paraId="1D8013C3" w14:textId="77777777">
        <w:trPr>
          <w:jc w:val="center"/>
        </w:trPr>
        <w:tc>
          <w:tcPr>
            <w:tcW w:w="2436" w:type="dxa"/>
            <w:vAlign w:val="center"/>
          </w:tcPr>
          <w:p w14:paraId="24859FF8" w14:textId="77777777" w:rsidR="009B5435" w:rsidRDefault="00000000">
            <w:pPr>
              <w:spacing w:after="0"/>
            </w:pPr>
            <w:r>
              <w:rPr>
                <w:sz w:val="16"/>
              </w:rPr>
              <w:t>Query-adaptive modality sufficiency</w:t>
            </w:r>
          </w:p>
        </w:tc>
        <w:tc>
          <w:tcPr>
            <w:tcW w:w="2436" w:type="dxa"/>
            <w:vAlign w:val="center"/>
          </w:tcPr>
          <w:p w14:paraId="3556AE5B" w14:textId="77777777" w:rsidR="009B5435" w:rsidRDefault="00000000">
            <w:pPr>
              <w:spacing w:after="0"/>
            </w:pPr>
            <w:r>
              <w:rPr>
                <w:sz w:val="16"/>
              </w:rPr>
              <w:t>Before using both optical and SAR, the controller determines whether the query actually requires cross-modal evidence. For a cloud-free visual description, SAR may be unnecessary; for a question about structural information under cloud cover, SAR may become essential.</w:t>
            </w:r>
          </w:p>
        </w:tc>
        <w:tc>
          <w:tcPr>
            <w:tcW w:w="2436" w:type="dxa"/>
            <w:vAlign w:val="center"/>
          </w:tcPr>
          <w:p w14:paraId="596BBAEA" w14:textId="77777777" w:rsidR="009B5435" w:rsidRDefault="00000000">
            <w:pPr>
              <w:spacing w:after="0"/>
            </w:pPr>
            <w:r>
              <w:rPr>
                <w:sz w:val="16"/>
              </w:rPr>
              <w:t>Potentially differentiated system behavior</w:t>
            </w:r>
          </w:p>
        </w:tc>
        <w:tc>
          <w:tcPr>
            <w:tcW w:w="2436" w:type="dxa"/>
            <w:vAlign w:val="center"/>
          </w:tcPr>
          <w:p w14:paraId="14EE8564" w14:textId="77777777" w:rsidR="009B5435" w:rsidRDefault="00000000">
            <w:pPr>
              <w:spacing w:after="0"/>
            </w:pPr>
            <w:r>
              <w:rPr>
                <w:sz w:val="16"/>
              </w:rPr>
              <w:t>Buildable</w:t>
            </w:r>
          </w:p>
        </w:tc>
      </w:tr>
      <w:tr w:rsidR="009B5435" w14:paraId="14881B0C" w14:textId="77777777">
        <w:trPr>
          <w:jc w:val="center"/>
        </w:trPr>
        <w:tc>
          <w:tcPr>
            <w:tcW w:w="2436" w:type="dxa"/>
            <w:vAlign w:val="center"/>
          </w:tcPr>
          <w:p w14:paraId="5582EFCA" w14:textId="77777777" w:rsidR="009B5435" w:rsidRDefault="00000000">
            <w:pPr>
              <w:spacing w:after="0"/>
            </w:pPr>
            <w:r>
              <w:rPr>
                <w:sz w:val="16"/>
              </w:rPr>
              <w:t>Cross-modal disagreement gate</w:t>
            </w:r>
          </w:p>
        </w:tc>
        <w:tc>
          <w:tcPr>
            <w:tcW w:w="2436" w:type="dxa"/>
            <w:vAlign w:val="center"/>
          </w:tcPr>
          <w:p w14:paraId="1B35EAF5" w14:textId="77777777" w:rsidR="009B5435" w:rsidRDefault="00000000">
            <w:pPr>
              <w:spacing w:after="0"/>
            </w:pPr>
            <w:r>
              <w:rPr>
                <w:sz w:val="16"/>
              </w:rPr>
              <w:t>If optical evidence suggests one interpretation and SAR evidence suggests another, the system reports the disagreement and asks for stronger evidence rather than forcing a single confident answer.</w:t>
            </w:r>
          </w:p>
        </w:tc>
        <w:tc>
          <w:tcPr>
            <w:tcW w:w="2436" w:type="dxa"/>
            <w:vAlign w:val="center"/>
          </w:tcPr>
          <w:p w14:paraId="7E8372EC" w14:textId="77777777" w:rsidR="009B5435" w:rsidRDefault="00000000">
            <w:pPr>
              <w:spacing w:after="0"/>
            </w:pPr>
            <w:r>
              <w:rPr>
                <w:sz w:val="16"/>
              </w:rPr>
              <w:t>Research-backed need; system integration opportunity</w:t>
            </w:r>
          </w:p>
        </w:tc>
        <w:tc>
          <w:tcPr>
            <w:tcW w:w="2436" w:type="dxa"/>
            <w:vAlign w:val="center"/>
          </w:tcPr>
          <w:p w14:paraId="13DCB13D" w14:textId="77777777" w:rsidR="009B5435" w:rsidRDefault="00000000">
            <w:pPr>
              <w:spacing w:after="0"/>
            </w:pPr>
            <w:r>
              <w:rPr>
                <w:sz w:val="16"/>
              </w:rPr>
              <w:t>Buildable with controlled rules</w:t>
            </w:r>
          </w:p>
        </w:tc>
      </w:tr>
      <w:tr w:rsidR="009B5435" w14:paraId="70F61FE1" w14:textId="77777777">
        <w:trPr>
          <w:jc w:val="center"/>
        </w:trPr>
        <w:tc>
          <w:tcPr>
            <w:tcW w:w="2436" w:type="dxa"/>
            <w:vAlign w:val="center"/>
          </w:tcPr>
          <w:p w14:paraId="44826371" w14:textId="77777777" w:rsidR="009B5435" w:rsidRDefault="00000000">
            <w:pPr>
              <w:spacing w:after="0"/>
            </w:pPr>
            <w:r>
              <w:rPr>
                <w:sz w:val="16"/>
              </w:rPr>
              <w:t>Answer verification pass</w:t>
            </w:r>
          </w:p>
        </w:tc>
        <w:tc>
          <w:tcPr>
            <w:tcW w:w="2436" w:type="dxa"/>
            <w:vAlign w:val="center"/>
          </w:tcPr>
          <w:p w14:paraId="592DB5D9" w14:textId="77777777" w:rsidR="009B5435" w:rsidRDefault="00000000">
            <w:pPr>
              <w:spacing w:after="0"/>
            </w:pPr>
            <w:r>
              <w:rPr>
                <w:sz w:val="16"/>
              </w:rPr>
              <w:t>A first model proposes an answer; a separate verification stage checks whether the answer is supported by specialist outputs, masks, boxes or benchmark-compatible evidence.</w:t>
            </w:r>
          </w:p>
        </w:tc>
        <w:tc>
          <w:tcPr>
            <w:tcW w:w="2436" w:type="dxa"/>
            <w:vAlign w:val="center"/>
          </w:tcPr>
          <w:p w14:paraId="49A630D4" w14:textId="77777777" w:rsidR="009B5435" w:rsidRDefault="00000000">
            <w:pPr>
              <w:spacing w:after="0"/>
            </w:pPr>
            <w:r>
              <w:rPr>
                <w:sz w:val="16"/>
              </w:rPr>
              <w:t>Established concept family; strong reliability feature</w:t>
            </w:r>
          </w:p>
        </w:tc>
        <w:tc>
          <w:tcPr>
            <w:tcW w:w="2436" w:type="dxa"/>
            <w:vAlign w:val="center"/>
          </w:tcPr>
          <w:p w14:paraId="07AC1D8B" w14:textId="77777777" w:rsidR="009B5435" w:rsidRDefault="00000000">
            <w:pPr>
              <w:spacing w:after="0"/>
            </w:pPr>
            <w:r>
              <w:rPr>
                <w:sz w:val="16"/>
              </w:rPr>
              <w:t>Buildable</w:t>
            </w:r>
          </w:p>
        </w:tc>
      </w:tr>
      <w:tr w:rsidR="009B5435" w14:paraId="32A8DA1D" w14:textId="77777777">
        <w:trPr>
          <w:jc w:val="center"/>
        </w:trPr>
        <w:tc>
          <w:tcPr>
            <w:tcW w:w="2436" w:type="dxa"/>
            <w:vAlign w:val="center"/>
          </w:tcPr>
          <w:p w14:paraId="2D31F865" w14:textId="77777777" w:rsidR="009B5435" w:rsidRDefault="00000000">
            <w:pPr>
              <w:spacing w:after="0"/>
            </w:pPr>
            <w:r>
              <w:rPr>
                <w:sz w:val="16"/>
              </w:rPr>
              <w:t>Resolution adequacy gate</w:t>
            </w:r>
          </w:p>
        </w:tc>
        <w:tc>
          <w:tcPr>
            <w:tcW w:w="2436" w:type="dxa"/>
            <w:vAlign w:val="center"/>
          </w:tcPr>
          <w:p w14:paraId="711305B1" w14:textId="77777777" w:rsidR="009B5435" w:rsidRDefault="00000000">
            <w:pPr>
              <w:spacing w:after="0"/>
            </w:pPr>
            <w:r>
              <w:rPr>
                <w:sz w:val="16"/>
              </w:rPr>
              <w:t>The system checks whether the available spatial resolution is appropriate for the requested object or change before attempting a precise answer.</w:t>
            </w:r>
          </w:p>
        </w:tc>
        <w:tc>
          <w:tcPr>
            <w:tcW w:w="2436" w:type="dxa"/>
            <w:vAlign w:val="center"/>
          </w:tcPr>
          <w:p w14:paraId="01CE50B0" w14:textId="77777777" w:rsidR="009B5435" w:rsidRDefault="00000000">
            <w:pPr>
              <w:spacing w:after="0"/>
            </w:pPr>
            <w:r>
              <w:rPr>
                <w:sz w:val="16"/>
              </w:rPr>
              <w:t>Technically defensible feature; needs calibration experiments</w:t>
            </w:r>
          </w:p>
        </w:tc>
        <w:tc>
          <w:tcPr>
            <w:tcW w:w="2436" w:type="dxa"/>
            <w:vAlign w:val="center"/>
          </w:tcPr>
          <w:p w14:paraId="62FA2D4D" w14:textId="77777777" w:rsidR="009B5435" w:rsidRDefault="00000000">
            <w:pPr>
              <w:spacing w:after="0"/>
            </w:pPr>
            <w:r>
              <w:rPr>
                <w:sz w:val="16"/>
              </w:rPr>
              <w:t>Requires experiment</w:t>
            </w:r>
          </w:p>
        </w:tc>
      </w:tr>
      <w:tr w:rsidR="009B5435" w14:paraId="5AADF844" w14:textId="77777777">
        <w:trPr>
          <w:jc w:val="center"/>
        </w:trPr>
        <w:tc>
          <w:tcPr>
            <w:tcW w:w="2436" w:type="dxa"/>
            <w:vAlign w:val="center"/>
          </w:tcPr>
          <w:p w14:paraId="12C44DAD" w14:textId="77777777" w:rsidR="009B5435" w:rsidRDefault="00000000">
            <w:pPr>
              <w:spacing w:after="0"/>
            </w:pPr>
            <w:r>
              <w:rPr>
                <w:sz w:val="16"/>
              </w:rPr>
              <w:t>Modality contribution report</w:t>
            </w:r>
          </w:p>
        </w:tc>
        <w:tc>
          <w:tcPr>
            <w:tcW w:w="2436" w:type="dxa"/>
            <w:vAlign w:val="center"/>
          </w:tcPr>
          <w:p w14:paraId="0FE48FBC" w14:textId="77777777" w:rsidR="009B5435" w:rsidRDefault="00000000">
            <w:pPr>
              <w:spacing w:after="0"/>
            </w:pPr>
            <w:r>
              <w:rPr>
                <w:sz w:val="16"/>
              </w:rPr>
              <w:t>For paired analysis, the system reports which findings were supported mainly by optical evidence, SAR evidence or both.</w:t>
            </w:r>
          </w:p>
        </w:tc>
        <w:tc>
          <w:tcPr>
            <w:tcW w:w="2436" w:type="dxa"/>
            <w:vAlign w:val="center"/>
          </w:tcPr>
          <w:p w14:paraId="4E6AE761" w14:textId="77777777" w:rsidR="009B5435" w:rsidRDefault="00000000">
            <w:pPr>
              <w:spacing w:after="0"/>
            </w:pPr>
            <w:r>
              <w:rPr>
                <w:sz w:val="16"/>
              </w:rPr>
              <w:t>Differentiated presentation and provenance feature</w:t>
            </w:r>
          </w:p>
        </w:tc>
        <w:tc>
          <w:tcPr>
            <w:tcW w:w="2436" w:type="dxa"/>
            <w:vAlign w:val="center"/>
          </w:tcPr>
          <w:p w14:paraId="763B4409" w14:textId="77777777" w:rsidR="009B5435" w:rsidRDefault="00000000">
            <w:pPr>
              <w:spacing w:after="0"/>
            </w:pPr>
            <w:r>
              <w:rPr>
                <w:sz w:val="16"/>
              </w:rPr>
              <w:t>Buildable</w:t>
            </w:r>
          </w:p>
        </w:tc>
      </w:tr>
      <w:tr w:rsidR="009B5435" w14:paraId="7A955380" w14:textId="77777777">
        <w:trPr>
          <w:jc w:val="center"/>
        </w:trPr>
        <w:tc>
          <w:tcPr>
            <w:tcW w:w="2436" w:type="dxa"/>
            <w:vAlign w:val="center"/>
          </w:tcPr>
          <w:p w14:paraId="5F1A313A" w14:textId="77777777" w:rsidR="009B5435" w:rsidRDefault="00000000">
            <w:pPr>
              <w:spacing w:after="0"/>
            </w:pPr>
            <w:r>
              <w:rPr>
                <w:sz w:val="16"/>
              </w:rPr>
              <w:t>Temporal false-change filter</w:t>
            </w:r>
          </w:p>
        </w:tc>
        <w:tc>
          <w:tcPr>
            <w:tcW w:w="2436" w:type="dxa"/>
            <w:vAlign w:val="center"/>
          </w:tcPr>
          <w:p w14:paraId="0ADF66D3" w14:textId="77777777" w:rsidR="009B5435" w:rsidRDefault="00000000">
            <w:pPr>
              <w:spacing w:after="0"/>
            </w:pPr>
            <w:r>
              <w:rPr>
                <w:sz w:val="16"/>
              </w:rPr>
              <w:t>The temporal workflow distinguishes meaningful semantic change from likely illumination, seasonal, registration or sensor artifacts before generating a natural-language explanation.</w:t>
            </w:r>
          </w:p>
        </w:tc>
        <w:tc>
          <w:tcPr>
            <w:tcW w:w="2436" w:type="dxa"/>
            <w:vAlign w:val="center"/>
          </w:tcPr>
          <w:p w14:paraId="37785D95" w14:textId="77777777" w:rsidR="009B5435" w:rsidRDefault="00000000">
            <w:pPr>
              <w:spacing w:after="0"/>
            </w:pPr>
            <w:r>
              <w:rPr>
                <w:sz w:val="16"/>
              </w:rPr>
              <w:t>Research-backed requirement; valuable integration</w:t>
            </w:r>
          </w:p>
        </w:tc>
        <w:tc>
          <w:tcPr>
            <w:tcW w:w="2436" w:type="dxa"/>
            <w:vAlign w:val="center"/>
          </w:tcPr>
          <w:p w14:paraId="1FAAE80F" w14:textId="77777777" w:rsidR="009B5435" w:rsidRDefault="00000000">
            <w:pPr>
              <w:spacing w:after="0"/>
            </w:pPr>
            <w:r>
              <w:rPr>
                <w:sz w:val="16"/>
              </w:rPr>
              <w:t>Requires experiment</w:t>
            </w:r>
          </w:p>
        </w:tc>
      </w:tr>
      <w:tr w:rsidR="009B5435" w14:paraId="747DE821" w14:textId="77777777">
        <w:trPr>
          <w:jc w:val="center"/>
        </w:trPr>
        <w:tc>
          <w:tcPr>
            <w:tcW w:w="2436" w:type="dxa"/>
            <w:vAlign w:val="center"/>
          </w:tcPr>
          <w:p w14:paraId="4DB13D5A" w14:textId="77777777" w:rsidR="009B5435" w:rsidRDefault="00000000">
            <w:pPr>
              <w:spacing w:after="0"/>
            </w:pPr>
            <w:r>
              <w:rPr>
                <w:sz w:val="16"/>
              </w:rPr>
              <w:t>Evidence disagreement panel</w:t>
            </w:r>
          </w:p>
        </w:tc>
        <w:tc>
          <w:tcPr>
            <w:tcW w:w="2436" w:type="dxa"/>
            <w:vAlign w:val="center"/>
          </w:tcPr>
          <w:p w14:paraId="238B763F" w14:textId="77777777" w:rsidR="009B5435" w:rsidRDefault="00000000">
            <w:pPr>
              <w:spacing w:after="0"/>
            </w:pPr>
            <w:r>
              <w:rPr>
                <w:sz w:val="16"/>
              </w:rPr>
              <w:t>Instead of hiding model disagreement, the interface displays competing findings and the reason for reduced confidence.</w:t>
            </w:r>
          </w:p>
        </w:tc>
        <w:tc>
          <w:tcPr>
            <w:tcW w:w="2436" w:type="dxa"/>
            <w:vAlign w:val="center"/>
          </w:tcPr>
          <w:p w14:paraId="38440C7B" w14:textId="77777777" w:rsidR="009B5435" w:rsidRDefault="00000000">
            <w:pPr>
              <w:spacing w:after="0"/>
            </w:pPr>
            <w:r>
              <w:rPr>
                <w:sz w:val="16"/>
              </w:rPr>
              <w:t>Differentiated reliability feature</w:t>
            </w:r>
          </w:p>
        </w:tc>
        <w:tc>
          <w:tcPr>
            <w:tcW w:w="2436" w:type="dxa"/>
            <w:vAlign w:val="center"/>
          </w:tcPr>
          <w:p w14:paraId="259F8A00" w14:textId="77777777" w:rsidR="009B5435" w:rsidRDefault="00000000">
            <w:pPr>
              <w:spacing w:after="0"/>
            </w:pPr>
            <w:r>
              <w:rPr>
                <w:sz w:val="16"/>
              </w:rPr>
              <w:t>Buildable</w:t>
            </w:r>
          </w:p>
        </w:tc>
      </w:tr>
      <w:tr w:rsidR="009B5435" w14:paraId="204F92DC" w14:textId="77777777">
        <w:trPr>
          <w:jc w:val="center"/>
        </w:trPr>
        <w:tc>
          <w:tcPr>
            <w:tcW w:w="2436" w:type="dxa"/>
            <w:vAlign w:val="center"/>
          </w:tcPr>
          <w:p w14:paraId="1D3F3ACB" w14:textId="77777777" w:rsidR="009B5435" w:rsidRDefault="00000000">
            <w:pPr>
              <w:spacing w:after="0"/>
            </w:pPr>
            <w:r>
              <w:rPr>
                <w:sz w:val="16"/>
              </w:rPr>
              <w:t>Capability-aware model registry</w:t>
            </w:r>
          </w:p>
        </w:tc>
        <w:tc>
          <w:tcPr>
            <w:tcW w:w="2436" w:type="dxa"/>
            <w:vAlign w:val="center"/>
          </w:tcPr>
          <w:p w14:paraId="1DBF3A84" w14:textId="77777777" w:rsidR="009B5435" w:rsidRDefault="00000000">
            <w:pPr>
              <w:spacing w:after="0"/>
            </w:pPr>
            <w:r>
              <w:rPr>
                <w:sz w:val="16"/>
              </w:rPr>
              <w:t>Every specialist model declares supported modality, task, input constraints and output type. The controller can only select compatible tools.</w:t>
            </w:r>
          </w:p>
        </w:tc>
        <w:tc>
          <w:tcPr>
            <w:tcW w:w="2436" w:type="dxa"/>
            <w:vAlign w:val="center"/>
          </w:tcPr>
          <w:p w14:paraId="4C349958" w14:textId="77777777" w:rsidR="009B5435" w:rsidRDefault="00000000">
            <w:pPr>
              <w:spacing w:after="0"/>
            </w:pPr>
            <w:r>
              <w:rPr>
                <w:sz w:val="16"/>
              </w:rPr>
              <w:t>Strong engineering control for agentic systems</w:t>
            </w:r>
          </w:p>
        </w:tc>
        <w:tc>
          <w:tcPr>
            <w:tcW w:w="2436" w:type="dxa"/>
            <w:vAlign w:val="center"/>
          </w:tcPr>
          <w:p w14:paraId="18EB9213" w14:textId="77777777" w:rsidR="009B5435" w:rsidRDefault="00000000">
            <w:pPr>
              <w:spacing w:after="0"/>
            </w:pPr>
            <w:r>
              <w:rPr>
                <w:sz w:val="16"/>
              </w:rPr>
              <w:t>Buildable</w:t>
            </w:r>
          </w:p>
        </w:tc>
      </w:tr>
      <w:tr w:rsidR="009B5435" w14:paraId="45A12034" w14:textId="77777777">
        <w:trPr>
          <w:jc w:val="center"/>
        </w:trPr>
        <w:tc>
          <w:tcPr>
            <w:tcW w:w="2436" w:type="dxa"/>
            <w:vAlign w:val="center"/>
          </w:tcPr>
          <w:p w14:paraId="27C1BEFE" w14:textId="77777777" w:rsidR="009B5435" w:rsidRDefault="00000000">
            <w:pPr>
              <w:spacing w:after="0"/>
            </w:pPr>
            <w:r>
              <w:rPr>
                <w:sz w:val="16"/>
              </w:rPr>
              <w:t>Auditable execution summary</w:t>
            </w:r>
          </w:p>
        </w:tc>
        <w:tc>
          <w:tcPr>
            <w:tcW w:w="2436" w:type="dxa"/>
            <w:vAlign w:val="center"/>
          </w:tcPr>
          <w:p w14:paraId="4EC8CB2C" w14:textId="77777777" w:rsidR="009B5435" w:rsidRDefault="00000000">
            <w:pPr>
              <w:spacing w:after="0"/>
            </w:pPr>
            <w:r>
              <w:rPr>
                <w:sz w:val="16"/>
              </w:rPr>
              <w:t>The interface records selected task, models, parameters and outputs in a compact report that can be downloaded with the analysis.</w:t>
            </w:r>
          </w:p>
        </w:tc>
        <w:tc>
          <w:tcPr>
            <w:tcW w:w="2436" w:type="dxa"/>
            <w:vAlign w:val="center"/>
          </w:tcPr>
          <w:p w14:paraId="082739F8" w14:textId="77777777" w:rsidR="009B5435" w:rsidRDefault="00000000">
            <w:pPr>
              <w:spacing w:after="0"/>
            </w:pPr>
            <w:r>
              <w:rPr>
                <w:sz w:val="16"/>
              </w:rPr>
              <w:t>Directly aligned with observable execution requirements</w:t>
            </w:r>
          </w:p>
        </w:tc>
        <w:tc>
          <w:tcPr>
            <w:tcW w:w="2436" w:type="dxa"/>
            <w:vAlign w:val="center"/>
          </w:tcPr>
          <w:p w14:paraId="63E7908B" w14:textId="77777777" w:rsidR="009B5435" w:rsidRDefault="00000000">
            <w:pPr>
              <w:spacing w:after="0"/>
            </w:pPr>
            <w:r>
              <w:rPr>
                <w:sz w:val="16"/>
              </w:rPr>
              <w:t>Buildable</w:t>
            </w:r>
          </w:p>
        </w:tc>
      </w:tr>
      <w:tr w:rsidR="009B5435" w14:paraId="1730BFF3" w14:textId="77777777">
        <w:trPr>
          <w:jc w:val="center"/>
        </w:trPr>
        <w:tc>
          <w:tcPr>
            <w:tcW w:w="2436" w:type="dxa"/>
            <w:vAlign w:val="center"/>
          </w:tcPr>
          <w:p w14:paraId="515D4075" w14:textId="77777777" w:rsidR="009B5435" w:rsidRDefault="00000000">
            <w:pPr>
              <w:spacing w:after="0"/>
            </w:pPr>
            <w:r>
              <w:rPr>
                <w:sz w:val="16"/>
              </w:rPr>
              <w:t>Counterfactual modality check</w:t>
            </w:r>
          </w:p>
        </w:tc>
        <w:tc>
          <w:tcPr>
            <w:tcW w:w="2436" w:type="dxa"/>
            <w:vAlign w:val="center"/>
          </w:tcPr>
          <w:p w14:paraId="017EB2FB" w14:textId="77777777" w:rsidR="009B5435" w:rsidRDefault="00000000">
            <w:pPr>
              <w:spacing w:after="0"/>
            </w:pPr>
            <w:r>
              <w:rPr>
                <w:sz w:val="16"/>
              </w:rPr>
              <w:t xml:space="preserve">When both optical and SAR are available, the system compares the answer produced with both </w:t>
            </w:r>
            <w:r>
              <w:rPr>
                <w:sz w:val="16"/>
              </w:rPr>
              <w:lastRenderedPageBreak/>
              <w:t>modalities against answers from each modality separately to identify whether the second modality materially changes the conclusion.</w:t>
            </w:r>
          </w:p>
        </w:tc>
        <w:tc>
          <w:tcPr>
            <w:tcW w:w="2436" w:type="dxa"/>
            <w:vAlign w:val="center"/>
          </w:tcPr>
          <w:p w14:paraId="74A4FEED" w14:textId="77777777" w:rsidR="009B5435" w:rsidRDefault="00000000">
            <w:pPr>
              <w:spacing w:after="0"/>
            </w:pPr>
            <w:r>
              <w:rPr>
                <w:sz w:val="16"/>
              </w:rPr>
              <w:lastRenderedPageBreak/>
              <w:t>Research opportunity rather than established novelty claim</w:t>
            </w:r>
          </w:p>
        </w:tc>
        <w:tc>
          <w:tcPr>
            <w:tcW w:w="2436" w:type="dxa"/>
            <w:vAlign w:val="center"/>
          </w:tcPr>
          <w:p w14:paraId="78D4CFB1" w14:textId="77777777" w:rsidR="009B5435" w:rsidRDefault="00000000">
            <w:pPr>
              <w:spacing w:after="0"/>
            </w:pPr>
            <w:r>
              <w:rPr>
                <w:sz w:val="16"/>
              </w:rPr>
              <w:t>Requires experiment</w:t>
            </w:r>
          </w:p>
        </w:tc>
      </w:tr>
      <w:tr w:rsidR="009B5435" w14:paraId="4D5E9EA0" w14:textId="77777777">
        <w:trPr>
          <w:jc w:val="center"/>
        </w:trPr>
        <w:tc>
          <w:tcPr>
            <w:tcW w:w="2436" w:type="dxa"/>
            <w:vAlign w:val="center"/>
          </w:tcPr>
          <w:p w14:paraId="4440907D" w14:textId="77777777" w:rsidR="009B5435" w:rsidRDefault="00000000">
            <w:pPr>
              <w:spacing w:after="0"/>
            </w:pPr>
            <w:r>
              <w:rPr>
                <w:sz w:val="16"/>
              </w:rPr>
              <w:t>Human correction and rerun</w:t>
            </w:r>
          </w:p>
        </w:tc>
        <w:tc>
          <w:tcPr>
            <w:tcW w:w="2436" w:type="dxa"/>
            <w:vAlign w:val="center"/>
          </w:tcPr>
          <w:p w14:paraId="7BF3E2A0" w14:textId="77777777" w:rsidR="009B5435" w:rsidRDefault="00000000">
            <w:pPr>
              <w:spacing w:after="0"/>
            </w:pPr>
            <w:r>
              <w:rPr>
                <w:sz w:val="16"/>
              </w:rPr>
              <w:t>A user can correct a region or reject an object interpretation, after which the relevant specialist workflow is rerun without restarting the entire session.</w:t>
            </w:r>
          </w:p>
        </w:tc>
        <w:tc>
          <w:tcPr>
            <w:tcW w:w="2436" w:type="dxa"/>
            <w:vAlign w:val="center"/>
          </w:tcPr>
          <w:p w14:paraId="5649FE72" w14:textId="77777777" w:rsidR="009B5435" w:rsidRDefault="00000000">
            <w:pPr>
              <w:spacing w:after="0"/>
            </w:pPr>
            <w:r>
              <w:rPr>
                <w:sz w:val="16"/>
              </w:rPr>
              <w:t>Useful interactive capability</w:t>
            </w:r>
          </w:p>
        </w:tc>
        <w:tc>
          <w:tcPr>
            <w:tcW w:w="2436" w:type="dxa"/>
            <w:vAlign w:val="center"/>
          </w:tcPr>
          <w:p w14:paraId="6FB35206" w14:textId="77777777" w:rsidR="009B5435" w:rsidRDefault="00000000">
            <w:pPr>
              <w:spacing w:after="0"/>
            </w:pPr>
            <w:r>
              <w:rPr>
                <w:sz w:val="16"/>
              </w:rPr>
              <w:t>Buildable</w:t>
            </w:r>
          </w:p>
        </w:tc>
      </w:tr>
    </w:tbl>
    <w:p w14:paraId="41F83013" w14:textId="77777777" w:rsidR="009B5435" w:rsidRDefault="009B5435"/>
    <w:p w14:paraId="69591B79" w14:textId="77777777" w:rsidR="009B5435" w:rsidRDefault="00000000">
      <w:pPr>
        <w:pStyle w:val="Heading1"/>
      </w:pPr>
      <w:r>
        <w:t>Solution Families Worth Prototyping</w:t>
      </w:r>
    </w:p>
    <w:p w14:paraId="1A7FD13E" w14:textId="77777777" w:rsidR="009B5435" w:rsidRDefault="00000000">
      <w:pPr>
        <w:pStyle w:val="Heading2"/>
      </w:pPr>
      <w:r>
        <w:t>Evidence-first multimodal assistant</w:t>
      </w:r>
    </w:p>
    <w:p w14:paraId="348AFAA9" w14:textId="77777777" w:rsidR="009B5435" w:rsidRDefault="00000000">
      <w:r>
        <w:t>This is the recommended primary direction. It uses specialist models for perception and an agentic controller for task selection, but treats evidence as the contract between tools and the language layer. The language model cannot directly invent a spatial finding. Every grounded claim must be supported by a specialist output.</w:t>
      </w:r>
    </w:p>
    <w:p w14:paraId="52BEF5A4" w14:textId="77777777" w:rsidR="009B5435" w:rsidRDefault="00000000">
      <w:pPr>
        <w:pStyle w:val="Heading2"/>
      </w:pPr>
      <w:r>
        <w:t>Two-stage temporal reasoning assistant</w:t>
      </w:r>
    </w:p>
    <w:p w14:paraId="02E28307" w14:textId="77777777" w:rsidR="009B5435" w:rsidRDefault="00000000">
      <w:r>
        <w:t>The first stage detects candidate changes. The second stage classifies and describes the semantic change. A verification stage filters obvious false changes caused by registration or imaging conditions. This is more defensible than asking a single VLM to compare two images and write a narrative.</w:t>
      </w:r>
    </w:p>
    <w:p w14:paraId="46C94CFA" w14:textId="77777777" w:rsidR="009B5435" w:rsidRDefault="00000000">
      <w:pPr>
        <w:pStyle w:val="Heading2"/>
      </w:pPr>
      <w:r>
        <w:t>Cross-modal evidence arbitration assistant</w:t>
      </w:r>
    </w:p>
    <w:p w14:paraId="339AFDD2" w14:textId="77777777" w:rsidR="009B5435" w:rsidRDefault="00000000">
      <w:r>
        <w:t>Optical and SAR are analyzed separately first, then fused at the evidence level. The system can answer with three states: supported by both modalities, supported primarily by one modality, or conflicting evidence. This creates a more interpretable workflow than forcing both modalities into a single embedding.</w:t>
      </w:r>
    </w:p>
    <w:p w14:paraId="5C083A74" w14:textId="77777777" w:rsidR="009B5435" w:rsidRDefault="00000000">
      <w:pPr>
        <w:pStyle w:val="Heading2"/>
      </w:pPr>
      <w:r>
        <w:t>Adaptive specialist orchestration</w:t>
      </w:r>
    </w:p>
    <w:p w14:paraId="42B753D3" w14:textId="77777777" w:rsidR="009B5435" w:rsidRDefault="00000000">
      <w:r>
        <w:t>The controller uses a capability registry rather than an unrestricted agent. Each tool exposes task type, supported input, expected output, and constraints. The controller chooses the minimum sufficient workflow. This reduces latency and limits failure caused by inappropriate tool selection.</w:t>
      </w:r>
    </w:p>
    <w:p w14:paraId="0E179DC5" w14:textId="77777777" w:rsidR="009B5435" w:rsidRDefault="00000000">
      <w:pPr>
        <w:pStyle w:val="Heading2"/>
      </w:pPr>
      <w:r>
        <w:t>Remote-sensing quality gate</w:t>
      </w:r>
    </w:p>
    <w:p w14:paraId="3B0C596C" w14:textId="77777777" w:rsidR="009B5435" w:rsidRDefault="00000000">
      <w:r>
        <w:t>Before analysis, the system checks modality, metadata, image compatibility, registration and other available quality indicators. When the quality gate fails, the assistant explains why the requested analysis is unreliable. This can be a strong reliability demonstration during judging.</w:t>
      </w:r>
    </w:p>
    <w:p w14:paraId="63CF4951" w14:textId="77777777" w:rsidR="009B5435" w:rsidRDefault="00000000">
      <w:pPr>
        <w:pStyle w:val="Heading1"/>
      </w:pPr>
      <w:r>
        <w:lastRenderedPageBreak/>
        <w:t>Model Strategy</w:t>
      </w:r>
    </w:p>
    <w:p w14:paraId="223C9466" w14:textId="77777777" w:rsidR="009B5435" w:rsidRDefault="00000000">
      <w:r>
        <w:t>The recommended approach is not to train a large foundation model from scratch. The available evidence suggests that strong domain-specific components already exist, while the SIH problem creates value through their orchestration and evaluation.</w:t>
      </w:r>
    </w:p>
    <w:tbl>
      <w:tblPr>
        <w:tblStyle w:val="TableGrid"/>
        <w:tblW w:w="0" w:type="auto"/>
        <w:jc w:val="center"/>
        <w:tblLook w:val="04A0" w:firstRow="1" w:lastRow="0" w:firstColumn="1" w:lastColumn="0" w:noHBand="0" w:noVBand="1"/>
      </w:tblPr>
      <w:tblGrid>
        <w:gridCol w:w="2436"/>
        <w:gridCol w:w="2436"/>
        <w:gridCol w:w="2436"/>
        <w:gridCol w:w="2436"/>
      </w:tblGrid>
      <w:tr w:rsidR="009B5435" w14:paraId="3DEDBD64" w14:textId="77777777">
        <w:trPr>
          <w:jc w:val="center"/>
        </w:trPr>
        <w:tc>
          <w:tcPr>
            <w:tcW w:w="2436" w:type="dxa"/>
            <w:shd w:val="clear" w:color="auto" w:fill="D9E2F3"/>
            <w:vAlign w:val="center"/>
          </w:tcPr>
          <w:p w14:paraId="0915DD15" w14:textId="77777777" w:rsidR="009B5435" w:rsidRDefault="00000000">
            <w:pPr>
              <w:spacing w:after="0"/>
            </w:pPr>
            <w:r>
              <w:rPr>
                <w:b/>
                <w:sz w:val="16"/>
              </w:rPr>
              <w:t>Function</w:t>
            </w:r>
          </w:p>
        </w:tc>
        <w:tc>
          <w:tcPr>
            <w:tcW w:w="2436" w:type="dxa"/>
            <w:shd w:val="clear" w:color="auto" w:fill="D9E2F3"/>
            <w:vAlign w:val="center"/>
          </w:tcPr>
          <w:p w14:paraId="26CF21CF" w14:textId="77777777" w:rsidR="009B5435" w:rsidRDefault="00000000">
            <w:pPr>
              <w:spacing w:after="0"/>
            </w:pPr>
            <w:r>
              <w:rPr>
                <w:b/>
                <w:sz w:val="16"/>
              </w:rPr>
              <w:t>Preferred starting point</w:t>
            </w:r>
          </w:p>
        </w:tc>
        <w:tc>
          <w:tcPr>
            <w:tcW w:w="2436" w:type="dxa"/>
            <w:shd w:val="clear" w:color="auto" w:fill="D9E2F3"/>
            <w:vAlign w:val="center"/>
          </w:tcPr>
          <w:p w14:paraId="7350B7FF" w14:textId="77777777" w:rsidR="009B5435" w:rsidRDefault="00000000">
            <w:pPr>
              <w:spacing w:after="0"/>
            </w:pPr>
            <w:r>
              <w:rPr>
                <w:b/>
                <w:sz w:val="16"/>
              </w:rPr>
              <w:t>Reason</w:t>
            </w:r>
          </w:p>
        </w:tc>
        <w:tc>
          <w:tcPr>
            <w:tcW w:w="2436" w:type="dxa"/>
            <w:shd w:val="clear" w:color="auto" w:fill="D9E2F3"/>
            <w:vAlign w:val="center"/>
          </w:tcPr>
          <w:p w14:paraId="7AAF9B82" w14:textId="77777777" w:rsidR="009B5435" w:rsidRDefault="00000000">
            <w:pPr>
              <w:spacing w:after="0"/>
            </w:pPr>
            <w:r>
              <w:rPr>
                <w:b/>
                <w:sz w:val="16"/>
              </w:rPr>
              <w:t>Do not assume</w:t>
            </w:r>
          </w:p>
        </w:tc>
      </w:tr>
      <w:tr w:rsidR="009B5435" w14:paraId="290C827E" w14:textId="77777777">
        <w:trPr>
          <w:jc w:val="center"/>
        </w:trPr>
        <w:tc>
          <w:tcPr>
            <w:tcW w:w="2436" w:type="dxa"/>
            <w:vAlign w:val="center"/>
          </w:tcPr>
          <w:p w14:paraId="64878635" w14:textId="77777777" w:rsidR="009B5435" w:rsidRDefault="00000000">
            <w:pPr>
              <w:spacing w:after="0"/>
            </w:pPr>
            <w:r>
              <w:rPr>
                <w:sz w:val="16"/>
              </w:rPr>
              <w:t>Single-image VQA and conversation</w:t>
            </w:r>
          </w:p>
        </w:tc>
        <w:tc>
          <w:tcPr>
            <w:tcW w:w="2436" w:type="dxa"/>
            <w:vAlign w:val="center"/>
          </w:tcPr>
          <w:p w14:paraId="3E349A23" w14:textId="77777777" w:rsidR="009B5435" w:rsidRDefault="00000000">
            <w:pPr>
              <w:spacing w:after="0"/>
            </w:pPr>
            <w:r>
              <w:rPr>
                <w:sz w:val="16"/>
              </w:rPr>
              <w:t>Remote-sensing VLM such as GeoChat or another benchmarked domain model.</w:t>
            </w:r>
          </w:p>
        </w:tc>
        <w:tc>
          <w:tcPr>
            <w:tcW w:w="2436" w:type="dxa"/>
            <w:vAlign w:val="center"/>
          </w:tcPr>
          <w:p w14:paraId="030A065D" w14:textId="77777777" w:rsidR="009B5435" w:rsidRDefault="00000000">
            <w:pPr>
              <w:spacing w:after="0"/>
            </w:pPr>
            <w:r>
              <w:rPr>
                <w:sz w:val="16"/>
              </w:rPr>
              <w:t>Directly relevant to remote-sensing dialogue and grounding.</w:t>
            </w:r>
          </w:p>
        </w:tc>
        <w:tc>
          <w:tcPr>
            <w:tcW w:w="2436" w:type="dxa"/>
            <w:vAlign w:val="center"/>
          </w:tcPr>
          <w:p w14:paraId="32A2C280" w14:textId="77777777" w:rsidR="009B5435" w:rsidRDefault="00000000">
            <w:pPr>
              <w:spacing w:after="0"/>
            </w:pPr>
            <w:r>
              <w:rPr>
                <w:sz w:val="16"/>
              </w:rPr>
              <w:t>Do not assume its benchmark performance transfers to the hidden ISRO/SAC imagery.</w:t>
            </w:r>
          </w:p>
        </w:tc>
      </w:tr>
      <w:tr w:rsidR="009B5435" w14:paraId="3F794FA4" w14:textId="77777777">
        <w:trPr>
          <w:jc w:val="center"/>
        </w:trPr>
        <w:tc>
          <w:tcPr>
            <w:tcW w:w="2436" w:type="dxa"/>
            <w:vAlign w:val="center"/>
          </w:tcPr>
          <w:p w14:paraId="5FF6EC05" w14:textId="77777777" w:rsidR="009B5435" w:rsidRDefault="00000000">
            <w:pPr>
              <w:spacing w:after="0"/>
            </w:pPr>
            <w:r>
              <w:rPr>
                <w:sz w:val="16"/>
              </w:rPr>
              <w:t>Vision-language semantic representation</w:t>
            </w:r>
          </w:p>
        </w:tc>
        <w:tc>
          <w:tcPr>
            <w:tcW w:w="2436" w:type="dxa"/>
            <w:vAlign w:val="center"/>
          </w:tcPr>
          <w:p w14:paraId="1EC96A43" w14:textId="77777777" w:rsidR="009B5435" w:rsidRDefault="00000000">
            <w:pPr>
              <w:spacing w:after="0"/>
            </w:pPr>
            <w:r>
              <w:rPr>
                <w:sz w:val="16"/>
              </w:rPr>
              <w:t>RemoteCLIP or GeoRSCLIP style representation model.</w:t>
            </w:r>
          </w:p>
        </w:tc>
        <w:tc>
          <w:tcPr>
            <w:tcW w:w="2436" w:type="dxa"/>
            <w:vAlign w:val="center"/>
          </w:tcPr>
          <w:p w14:paraId="2FFE5C24" w14:textId="77777777" w:rsidR="009B5435" w:rsidRDefault="00000000">
            <w:pPr>
              <w:spacing w:after="0"/>
            </w:pPr>
            <w:r>
              <w:rPr>
                <w:sz w:val="16"/>
              </w:rPr>
              <w:t>Useful for retrieval, semantic alignment and auxiliary representations.</w:t>
            </w:r>
          </w:p>
        </w:tc>
        <w:tc>
          <w:tcPr>
            <w:tcW w:w="2436" w:type="dxa"/>
            <w:vAlign w:val="center"/>
          </w:tcPr>
          <w:p w14:paraId="4C2195B6" w14:textId="77777777" w:rsidR="009B5435" w:rsidRDefault="00000000">
            <w:pPr>
              <w:spacing w:after="0"/>
            </w:pPr>
            <w:r>
              <w:rPr>
                <w:sz w:val="16"/>
              </w:rPr>
              <w:t>Do not use it as a replacement for a VQA or temporal reasoning specialist.</w:t>
            </w:r>
          </w:p>
        </w:tc>
      </w:tr>
      <w:tr w:rsidR="009B5435" w14:paraId="76223D7B" w14:textId="77777777">
        <w:trPr>
          <w:jc w:val="center"/>
        </w:trPr>
        <w:tc>
          <w:tcPr>
            <w:tcW w:w="2436" w:type="dxa"/>
            <w:vAlign w:val="center"/>
          </w:tcPr>
          <w:p w14:paraId="2BF12F54" w14:textId="77777777" w:rsidR="009B5435" w:rsidRDefault="00000000">
            <w:pPr>
              <w:spacing w:after="0"/>
            </w:pPr>
            <w:r>
              <w:rPr>
                <w:sz w:val="16"/>
              </w:rPr>
              <w:t>Multi-sensor comprehension</w:t>
            </w:r>
          </w:p>
        </w:tc>
        <w:tc>
          <w:tcPr>
            <w:tcW w:w="2436" w:type="dxa"/>
            <w:vAlign w:val="center"/>
          </w:tcPr>
          <w:p w14:paraId="5EB180CE" w14:textId="77777777" w:rsidR="009B5435" w:rsidRDefault="00000000">
            <w:pPr>
              <w:spacing w:after="0"/>
            </w:pPr>
            <w:r>
              <w:rPr>
                <w:sz w:val="16"/>
              </w:rPr>
              <w:t>EarthGPT-style multi-sensor architecture or a compatible modern model.</w:t>
            </w:r>
          </w:p>
        </w:tc>
        <w:tc>
          <w:tcPr>
            <w:tcW w:w="2436" w:type="dxa"/>
            <w:vAlign w:val="center"/>
          </w:tcPr>
          <w:p w14:paraId="5AA75020" w14:textId="77777777" w:rsidR="009B5435" w:rsidRDefault="00000000">
            <w:pPr>
              <w:spacing w:after="0"/>
            </w:pPr>
            <w:r>
              <w:rPr>
                <w:sz w:val="16"/>
              </w:rPr>
              <w:t>Explicitly addresses multiple remote-sensing sensors including SAR.</w:t>
            </w:r>
          </w:p>
        </w:tc>
        <w:tc>
          <w:tcPr>
            <w:tcW w:w="2436" w:type="dxa"/>
            <w:vAlign w:val="center"/>
          </w:tcPr>
          <w:p w14:paraId="5FB9CE0A" w14:textId="77777777" w:rsidR="009B5435" w:rsidRDefault="00000000">
            <w:pPr>
              <w:spacing w:after="0"/>
            </w:pPr>
            <w:r>
              <w:rPr>
                <w:sz w:val="16"/>
              </w:rPr>
              <w:t>Verify current code, weights, license and hardware before selecting it.</w:t>
            </w:r>
          </w:p>
        </w:tc>
      </w:tr>
      <w:tr w:rsidR="009B5435" w14:paraId="391BF3BB" w14:textId="77777777">
        <w:trPr>
          <w:jc w:val="center"/>
        </w:trPr>
        <w:tc>
          <w:tcPr>
            <w:tcW w:w="2436" w:type="dxa"/>
            <w:vAlign w:val="center"/>
          </w:tcPr>
          <w:p w14:paraId="1A9D8E73" w14:textId="77777777" w:rsidR="009B5435" w:rsidRDefault="00000000">
            <w:pPr>
              <w:spacing w:after="0"/>
            </w:pPr>
            <w:r>
              <w:rPr>
                <w:sz w:val="16"/>
              </w:rPr>
              <w:t>Temporal foundation features</w:t>
            </w:r>
          </w:p>
        </w:tc>
        <w:tc>
          <w:tcPr>
            <w:tcW w:w="2436" w:type="dxa"/>
            <w:vAlign w:val="center"/>
          </w:tcPr>
          <w:p w14:paraId="296E8182" w14:textId="77777777" w:rsidR="009B5435" w:rsidRDefault="00000000">
            <w:pPr>
              <w:spacing w:after="0"/>
            </w:pPr>
            <w:r>
              <w:rPr>
                <w:sz w:val="16"/>
              </w:rPr>
              <w:t>Prithvi-EO family or another validated temporal remote-sensing foundation model.</w:t>
            </w:r>
          </w:p>
        </w:tc>
        <w:tc>
          <w:tcPr>
            <w:tcW w:w="2436" w:type="dxa"/>
            <w:vAlign w:val="center"/>
          </w:tcPr>
          <w:p w14:paraId="0F6B26C1" w14:textId="77777777" w:rsidR="009B5435" w:rsidRDefault="00000000">
            <w:pPr>
              <w:spacing w:after="0"/>
            </w:pPr>
            <w:r>
              <w:rPr>
                <w:sz w:val="16"/>
              </w:rPr>
              <w:t>Designed for Earth-observation representation learning across time.</w:t>
            </w:r>
          </w:p>
        </w:tc>
        <w:tc>
          <w:tcPr>
            <w:tcW w:w="2436" w:type="dxa"/>
            <w:vAlign w:val="center"/>
          </w:tcPr>
          <w:p w14:paraId="1CBA7B61" w14:textId="77777777" w:rsidR="009B5435" w:rsidRDefault="00000000">
            <w:pPr>
              <w:spacing w:after="0"/>
            </w:pPr>
            <w:r>
              <w:rPr>
                <w:sz w:val="16"/>
              </w:rPr>
              <w:t>Its task suitability must be validated for the exact image type and resolution.</w:t>
            </w:r>
          </w:p>
        </w:tc>
      </w:tr>
      <w:tr w:rsidR="009B5435" w14:paraId="2F976F95" w14:textId="77777777">
        <w:trPr>
          <w:jc w:val="center"/>
        </w:trPr>
        <w:tc>
          <w:tcPr>
            <w:tcW w:w="2436" w:type="dxa"/>
            <w:vAlign w:val="center"/>
          </w:tcPr>
          <w:p w14:paraId="00622F52" w14:textId="77777777" w:rsidR="009B5435" w:rsidRDefault="00000000">
            <w:pPr>
              <w:spacing w:after="0"/>
            </w:pPr>
            <w:r>
              <w:rPr>
                <w:sz w:val="16"/>
              </w:rPr>
              <w:t>Change detection</w:t>
            </w:r>
          </w:p>
        </w:tc>
        <w:tc>
          <w:tcPr>
            <w:tcW w:w="2436" w:type="dxa"/>
            <w:vAlign w:val="center"/>
          </w:tcPr>
          <w:p w14:paraId="51BDFCDC" w14:textId="77777777" w:rsidR="009B5435" w:rsidRDefault="00000000">
            <w:pPr>
              <w:spacing w:after="0"/>
            </w:pPr>
            <w:r>
              <w:rPr>
                <w:sz w:val="16"/>
              </w:rPr>
              <w:t>Dedicated temporal change-detection model.</w:t>
            </w:r>
          </w:p>
        </w:tc>
        <w:tc>
          <w:tcPr>
            <w:tcW w:w="2436" w:type="dxa"/>
            <w:vAlign w:val="center"/>
          </w:tcPr>
          <w:p w14:paraId="009A53E0" w14:textId="77777777" w:rsidR="009B5435" w:rsidRDefault="00000000">
            <w:pPr>
              <w:spacing w:after="0"/>
            </w:pPr>
            <w:r>
              <w:rPr>
                <w:sz w:val="16"/>
              </w:rPr>
              <w:t>Change masks are often better produced by task-specific models than by generic VLMs.</w:t>
            </w:r>
          </w:p>
        </w:tc>
        <w:tc>
          <w:tcPr>
            <w:tcW w:w="2436" w:type="dxa"/>
            <w:vAlign w:val="center"/>
          </w:tcPr>
          <w:p w14:paraId="3B9072F8" w14:textId="77777777" w:rsidR="009B5435" w:rsidRDefault="00000000">
            <w:pPr>
              <w:spacing w:after="0"/>
            </w:pPr>
            <w:r>
              <w:rPr>
                <w:sz w:val="16"/>
              </w:rPr>
              <w:t>Do not assume a change detector can explain semantic change by itself.</w:t>
            </w:r>
          </w:p>
        </w:tc>
      </w:tr>
      <w:tr w:rsidR="009B5435" w14:paraId="37A4B6AA" w14:textId="77777777">
        <w:trPr>
          <w:jc w:val="center"/>
        </w:trPr>
        <w:tc>
          <w:tcPr>
            <w:tcW w:w="2436" w:type="dxa"/>
            <w:vAlign w:val="center"/>
          </w:tcPr>
          <w:p w14:paraId="5FA0841D" w14:textId="77777777" w:rsidR="009B5435" w:rsidRDefault="00000000">
            <w:pPr>
              <w:spacing w:after="0"/>
            </w:pPr>
            <w:r>
              <w:rPr>
                <w:sz w:val="16"/>
              </w:rPr>
              <w:t>Grounding</w:t>
            </w:r>
          </w:p>
        </w:tc>
        <w:tc>
          <w:tcPr>
            <w:tcW w:w="2436" w:type="dxa"/>
            <w:vAlign w:val="center"/>
          </w:tcPr>
          <w:p w14:paraId="2BF93656" w14:textId="77777777" w:rsidR="009B5435" w:rsidRDefault="00000000">
            <w:pPr>
              <w:spacing w:after="0"/>
            </w:pPr>
            <w:r>
              <w:rPr>
                <w:sz w:val="16"/>
              </w:rPr>
              <w:t>A remote-sensing grounding model such as GeoChat-based grounding or a benchmarked detector or segmenter.</w:t>
            </w:r>
          </w:p>
        </w:tc>
        <w:tc>
          <w:tcPr>
            <w:tcW w:w="2436" w:type="dxa"/>
            <w:vAlign w:val="center"/>
          </w:tcPr>
          <w:p w14:paraId="12A64701" w14:textId="77777777" w:rsidR="009B5435" w:rsidRDefault="00000000">
            <w:pPr>
              <w:spacing w:after="0"/>
            </w:pPr>
            <w:r>
              <w:rPr>
                <w:sz w:val="16"/>
              </w:rPr>
              <w:t>Provides spatial evidence.</w:t>
            </w:r>
          </w:p>
        </w:tc>
        <w:tc>
          <w:tcPr>
            <w:tcW w:w="2436" w:type="dxa"/>
            <w:vAlign w:val="center"/>
          </w:tcPr>
          <w:p w14:paraId="0FFEA8F7" w14:textId="77777777" w:rsidR="009B5435" w:rsidRDefault="00000000">
            <w:pPr>
              <w:spacing w:after="0"/>
            </w:pPr>
            <w:r>
              <w:rPr>
                <w:sz w:val="16"/>
              </w:rPr>
              <w:t>Do not claim a box or mask is correct merely because a language model generated it.</w:t>
            </w:r>
          </w:p>
        </w:tc>
      </w:tr>
    </w:tbl>
    <w:p w14:paraId="450074AB" w14:textId="77777777" w:rsidR="009B5435" w:rsidRDefault="009B5435"/>
    <w:p w14:paraId="3D88A6F4" w14:textId="77777777" w:rsidR="009B5435" w:rsidRDefault="00000000">
      <w:r>
        <w:t>Model selection should ultimately be driven by reproducible tests on the exact benchmark subsets and representative local data. The table above is a starting research shortlist, not a final implementation commitment.</w:t>
      </w:r>
    </w:p>
    <w:p w14:paraId="3E79A885" w14:textId="77777777" w:rsidR="009B5435" w:rsidRDefault="00000000">
      <w:pPr>
        <w:pStyle w:val="Heading1"/>
      </w:pPr>
      <w:r>
        <w:t>Evaluation and Validation Strategy</w:t>
      </w:r>
    </w:p>
    <w:p w14:paraId="5C42D3E7" w14:textId="77777777" w:rsidR="009B5435" w:rsidRDefault="00000000">
      <w:r>
        <w:t>The strongest team should evaluate the system at multiple levels rather than reporting one aggregate score.</w:t>
      </w:r>
    </w:p>
    <w:tbl>
      <w:tblPr>
        <w:tblStyle w:val="TableGrid"/>
        <w:tblW w:w="0" w:type="auto"/>
        <w:jc w:val="center"/>
        <w:tblLook w:val="04A0" w:firstRow="1" w:lastRow="0" w:firstColumn="1" w:lastColumn="0" w:noHBand="0" w:noVBand="1"/>
      </w:tblPr>
      <w:tblGrid>
        <w:gridCol w:w="3249"/>
        <w:gridCol w:w="3249"/>
        <w:gridCol w:w="3249"/>
      </w:tblGrid>
      <w:tr w:rsidR="009B5435" w14:paraId="790A67CD" w14:textId="77777777">
        <w:trPr>
          <w:jc w:val="center"/>
        </w:trPr>
        <w:tc>
          <w:tcPr>
            <w:tcW w:w="3249" w:type="dxa"/>
            <w:shd w:val="clear" w:color="auto" w:fill="D9E2F3"/>
            <w:vAlign w:val="center"/>
          </w:tcPr>
          <w:p w14:paraId="0AC819BE" w14:textId="77777777" w:rsidR="009B5435" w:rsidRDefault="00000000">
            <w:pPr>
              <w:spacing w:after="0"/>
            </w:pPr>
            <w:r>
              <w:rPr>
                <w:b/>
                <w:sz w:val="16"/>
              </w:rPr>
              <w:t>Evaluation layer</w:t>
            </w:r>
          </w:p>
        </w:tc>
        <w:tc>
          <w:tcPr>
            <w:tcW w:w="3249" w:type="dxa"/>
            <w:shd w:val="clear" w:color="auto" w:fill="D9E2F3"/>
            <w:vAlign w:val="center"/>
          </w:tcPr>
          <w:p w14:paraId="399032D0" w14:textId="77777777" w:rsidR="009B5435" w:rsidRDefault="00000000">
            <w:pPr>
              <w:spacing w:after="0"/>
            </w:pPr>
            <w:r>
              <w:rPr>
                <w:b/>
                <w:sz w:val="16"/>
              </w:rPr>
              <w:t>What to measure</w:t>
            </w:r>
          </w:p>
        </w:tc>
        <w:tc>
          <w:tcPr>
            <w:tcW w:w="3249" w:type="dxa"/>
            <w:shd w:val="clear" w:color="auto" w:fill="D9E2F3"/>
            <w:vAlign w:val="center"/>
          </w:tcPr>
          <w:p w14:paraId="6BFA3684" w14:textId="77777777" w:rsidR="009B5435" w:rsidRDefault="00000000">
            <w:pPr>
              <w:spacing w:after="0"/>
            </w:pPr>
            <w:r>
              <w:rPr>
                <w:b/>
                <w:sz w:val="16"/>
              </w:rPr>
              <w:t>Why it matters</w:t>
            </w:r>
          </w:p>
        </w:tc>
      </w:tr>
      <w:tr w:rsidR="009B5435" w14:paraId="3D510991" w14:textId="77777777">
        <w:trPr>
          <w:jc w:val="center"/>
        </w:trPr>
        <w:tc>
          <w:tcPr>
            <w:tcW w:w="3249" w:type="dxa"/>
            <w:vAlign w:val="center"/>
          </w:tcPr>
          <w:p w14:paraId="1F3D1B6F" w14:textId="77777777" w:rsidR="009B5435" w:rsidRDefault="00000000">
            <w:pPr>
              <w:spacing w:after="0"/>
            </w:pPr>
            <w:r>
              <w:rPr>
                <w:sz w:val="16"/>
              </w:rPr>
              <w:t>Single-image VQA</w:t>
            </w:r>
          </w:p>
        </w:tc>
        <w:tc>
          <w:tcPr>
            <w:tcW w:w="3249" w:type="dxa"/>
            <w:vAlign w:val="center"/>
          </w:tcPr>
          <w:p w14:paraId="065243D3" w14:textId="77777777" w:rsidR="009B5435" w:rsidRDefault="00000000">
            <w:pPr>
              <w:spacing w:after="0"/>
            </w:pPr>
            <w:r>
              <w:rPr>
                <w:sz w:val="16"/>
              </w:rPr>
              <w:t>Answer correctness on the prescribed benchmark split.</w:t>
            </w:r>
          </w:p>
        </w:tc>
        <w:tc>
          <w:tcPr>
            <w:tcW w:w="3249" w:type="dxa"/>
            <w:vAlign w:val="center"/>
          </w:tcPr>
          <w:p w14:paraId="1D00A89B" w14:textId="77777777" w:rsidR="009B5435" w:rsidRDefault="00000000">
            <w:pPr>
              <w:spacing w:after="0"/>
            </w:pPr>
            <w:r>
              <w:rPr>
                <w:sz w:val="16"/>
              </w:rPr>
              <w:t>Directly satisfies a mandatory capability.</w:t>
            </w:r>
          </w:p>
        </w:tc>
      </w:tr>
      <w:tr w:rsidR="009B5435" w14:paraId="0DCEF037" w14:textId="77777777">
        <w:trPr>
          <w:jc w:val="center"/>
        </w:trPr>
        <w:tc>
          <w:tcPr>
            <w:tcW w:w="3249" w:type="dxa"/>
            <w:vAlign w:val="center"/>
          </w:tcPr>
          <w:p w14:paraId="68E8CF8C" w14:textId="77777777" w:rsidR="009B5435" w:rsidRDefault="00000000">
            <w:pPr>
              <w:spacing w:after="0"/>
            </w:pPr>
            <w:r>
              <w:rPr>
                <w:sz w:val="16"/>
              </w:rPr>
              <w:t>Single-image grounding or captioning</w:t>
            </w:r>
          </w:p>
        </w:tc>
        <w:tc>
          <w:tcPr>
            <w:tcW w:w="3249" w:type="dxa"/>
            <w:vAlign w:val="center"/>
          </w:tcPr>
          <w:p w14:paraId="466F1FD3" w14:textId="77777777" w:rsidR="009B5435" w:rsidRDefault="00000000">
            <w:pPr>
              <w:spacing w:after="0"/>
            </w:pPr>
            <w:r>
              <w:rPr>
                <w:sz w:val="16"/>
              </w:rPr>
              <w:t>Grounding quality or caption quality according to the selected task.</w:t>
            </w:r>
          </w:p>
        </w:tc>
        <w:tc>
          <w:tcPr>
            <w:tcW w:w="3249" w:type="dxa"/>
            <w:vAlign w:val="center"/>
          </w:tcPr>
          <w:p w14:paraId="3024C60F" w14:textId="77777777" w:rsidR="009B5435" w:rsidRDefault="00000000">
            <w:pPr>
              <w:spacing w:after="0"/>
            </w:pPr>
            <w:r>
              <w:rPr>
                <w:sz w:val="16"/>
              </w:rPr>
              <w:t>Provides the required additional single-image capability.</w:t>
            </w:r>
          </w:p>
        </w:tc>
      </w:tr>
      <w:tr w:rsidR="009B5435" w14:paraId="3704EA76" w14:textId="77777777">
        <w:trPr>
          <w:jc w:val="center"/>
        </w:trPr>
        <w:tc>
          <w:tcPr>
            <w:tcW w:w="3249" w:type="dxa"/>
            <w:vAlign w:val="center"/>
          </w:tcPr>
          <w:p w14:paraId="56E21B63" w14:textId="77777777" w:rsidR="009B5435" w:rsidRDefault="00000000">
            <w:pPr>
              <w:spacing w:after="0"/>
            </w:pPr>
            <w:r>
              <w:rPr>
                <w:sz w:val="16"/>
              </w:rPr>
              <w:t>Temporal change understanding</w:t>
            </w:r>
          </w:p>
        </w:tc>
        <w:tc>
          <w:tcPr>
            <w:tcW w:w="3249" w:type="dxa"/>
            <w:vAlign w:val="center"/>
          </w:tcPr>
          <w:p w14:paraId="3B4181A7" w14:textId="77777777" w:rsidR="009B5435" w:rsidRDefault="00000000">
            <w:pPr>
              <w:spacing w:after="0"/>
            </w:pPr>
            <w:r>
              <w:rPr>
                <w:sz w:val="16"/>
              </w:rPr>
              <w:t>Change detection quality and correctness of natural-language change interpretation.</w:t>
            </w:r>
          </w:p>
        </w:tc>
        <w:tc>
          <w:tcPr>
            <w:tcW w:w="3249" w:type="dxa"/>
            <w:vAlign w:val="center"/>
          </w:tcPr>
          <w:p w14:paraId="5B17B198" w14:textId="77777777" w:rsidR="009B5435" w:rsidRDefault="00000000">
            <w:pPr>
              <w:spacing w:after="0"/>
            </w:pPr>
            <w:r>
              <w:rPr>
                <w:sz w:val="16"/>
              </w:rPr>
              <w:t>Separates pixel detection from semantic reasoning.</w:t>
            </w:r>
          </w:p>
        </w:tc>
      </w:tr>
      <w:tr w:rsidR="009B5435" w14:paraId="7A5A503B" w14:textId="77777777">
        <w:trPr>
          <w:jc w:val="center"/>
        </w:trPr>
        <w:tc>
          <w:tcPr>
            <w:tcW w:w="3249" w:type="dxa"/>
            <w:vAlign w:val="center"/>
          </w:tcPr>
          <w:p w14:paraId="52A38D54" w14:textId="77777777" w:rsidR="009B5435" w:rsidRDefault="00000000">
            <w:pPr>
              <w:spacing w:after="0"/>
            </w:pPr>
            <w:r>
              <w:rPr>
                <w:sz w:val="16"/>
              </w:rPr>
              <w:t>Optical–SAR analysis</w:t>
            </w:r>
          </w:p>
        </w:tc>
        <w:tc>
          <w:tcPr>
            <w:tcW w:w="3249" w:type="dxa"/>
            <w:vAlign w:val="center"/>
          </w:tcPr>
          <w:p w14:paraId="6771AEE6" w14:textId="77777777" w:rsidR="009B5435" w:rsidRDefault="00000000">
            <w:pPr>
              <w:spacing w:after="0"/>
            </w:pPr>
            <w:r>
              <w:rPr>
                <w:sz w:val="16"/>
              </w:rPr>
              <w:t>Correctness of joint findings and behavior under modality disagreement.</w:t>
            </w:r>
          </w:p>
        </w:tc>
        <w:tc>
          <w:tcPr>
            <w:tcW w:w="3249" w:type="dxa"/>
            <w:vAlign w:val="center"/>
          </w:tcPr>
          <w:p w14:paraId="0F4F902A" w14:textId="77777777" w:rsidR="009B5435" w:rsidRDefault="00000000">
            <w:pPr>
              <w:spacing w:after="0"/>
            </w:pPr>
            <w:r>
              <w:rPr>
                <w:sz w:val="16"/>
              </w:rPr>
              <w:t>Tests the central multimodal requirement.</w:t>
            </w:r>
          </w:p>
        </w:tc>
      </w:tr>
      <w:tr w:rsidR="009B5435" w14:paraId="105CC138" w14:textId="77777777">
        <w:trPr>
          <w:jc w:val="center"/>
        </w:trPr>
        <w:tc>
          <w:tcPr>
            <w:tcW w:w="3249" w:type="dxa"/>
            <w:vAlign w:val="center"/>
          </w:tcPr>
          <w:p w14:paraId="75C4D161" w14:textId="77777777" w:rsidR="009B5435" w:rsidRDefault="00000000">
            <w:pPr>
              <w:spacing w:after="0"/>
            </w:pPr>
            <w:r>
              <w:rPr>
                <w:sz w:val="16"/>
              </w:rPr>
              <w:t>Routing</w:t>
            </w:r>
          </w:p>
        </w:tc>
        <w:tc>
          <w:tcPr>
            <w:tcW w:w="3249" w:type="dxa"/>
            <w:vAlign w:val="center"/>
          </w:tcPr>
          <w:p w14:paraId="1AA17073" w14:textId="77777777" w:rsidR="009B5435" w:rsidRDefault="00000000">
            <w:pPr>
              <w:spacing w:after="0"/>
            </w:pPr>
            <w:r>
              <w:rPr>
                <w:sz w:val="16"/>
              </w:rPr>
              <w:t>Whether the controller selects the correct specialist workflow for the query and input configuration.</w:t>
            </w:r>
          </w:p>
        </w:tc>
        <w:tc>
          <w:tcPr>
            <w:tcW w:w="3249" w:type="dxa"/>
            <w:vAlign w:val="center"/>
          </w:tcPr>
          <w:p w14:paraId="3E63A925" w14:textId="77777777" w:rsidR="009B5435" w:rsidRDefault="00000000">
            <w:pPr>
              <w:spacing w:after="0"/>
            </w:pPr>
            <w:r>
              <w:rPr>
                <w:sz w:val="16"/>
              </w:rPr>
              <w:t>Demonstrates real agentic orchestration.</w:t>
            </w:r>
          </w:p>
        </w:tc>
      </w:tr>
      <w:tr w:rsidR="009B5435" w14:paraId="5C729FD4" w14:textId="77777777">
        <w:trPr>
          <w:jc w:val="center"/>
        </w:trPr>
        <w:tc>
          <w:tcPr>
            <w:tcW w:w="3249" w:type="dxa"/>
            <w:vAlign w:val="center"/>
          </w:tcPr>
          <w:p w14:paraId="516D2D7A" w14:textId="77777777" w:rsidR="009B5435" w:rsidRDefault="00000000">
            <w:pPr>
              <w:spacing w:after="0"/>
            </w:pPr>
            <w:r>
              <w:rPr>
                <w:sz w:val="16"/>
              </w:rPr>
              <w:t>Evidence</w:t>
            </w:r>
          </w:p>
        </w:tc>
        <w:tc>
          <w:tcPr>
            <w:tcW w:w="3249" w:type="dxa"/>
            <w:vAlign w:val="center"/>
          </w:tcPr>
          <w:p w14:paraId="64767AA2" w14:textId="77777777" w:rsidR="009B5435" w:rsidRDefault="00000000">
            <w:pPr>
              <w:spacing w:after="0"/>
            </w:pPr>
            <w:r>
              <w:rPr>
                <w:sz w:val="16"/>
              </w:rPr>
              <w:t>Whether the displayed evidence actually supports the answer.</w:t>
            </w:r>
          </w:p>
        </w:tc>
        <w:tc>
          <w:tcPr>
            <w:tcW w:w="3249" w:type="dxa"/>
            <w:vAlign w:val="center"/>
          </w:tcPr>
          <w:p w14:paraId="304B8679" w14:textId="77777777" w:rsidR="009B5435" w:rsidRDefault="00000000">
            <w:pPr>
              <w:spacing w:after="0"/>
            </w:pPr>
            <w:r>
              <w:rPr>
                <w:sz w:val="16"/>
              </w:rPr>
              <w:t>Reduces hallucination and improves judge trust.</w:t>
            </w:r>
          </w:p>
        </w:tc>
      </w:tr>
      <w:tr w:rsidR="009B5435" w14:paraId="0A321E3F" w14:textId="77777777">
        <w:trPr>
          <w:jc w:val="center"/>
        </w:trPr>
        <w:tc>
          <w:tcPr>
            <w:tcW w:w="3249" w:type="dxa"/>
            <w:vAlign w:val="center"/>
          </w:tcPr>
          <w:p w14:paraId="346A79FC" w14:textId="77777777" w:rsidR="009B5435" w:rsidRDefault="00000000">
            <w:pPr>
              <w:spacing w:after="0"/>
            </w:pPr>
            <w:r>
              <w:rPr>
                <w:sz w:val="16"/>
              </w:rPr>
              <w:t>Uncertainty</w:t>
            </w:r>
          </w:p>
        </w:tc>
        <w:tc>
          <w:tcPr>
            <w:tcW w:w="3249" w:type="dxa"/>
            <w:vAlign w:val="center"/>
          </w:tcPr>
          <w:p w14:paraId="73D67696" w14:textId="77777777" w:rsidR="009B5435" w:rsidRDefault="00000000">
            <w:pPr>
              <w:spacing w:after="0"/>
            </w:pPr>
            <w:r>
              <w:rPr>
                <w:sz w:val="16"/>
              </w:rPr>
              <w:t>Calibration and appropriate abstention on unsupported or ambiguous cases.</w:t>
            </w:r>
          </w:p>
        </w:tc>
        <w:tc>
          <w:tcPr>
            <w:tcW w:w="3249" w:type="dxa"/>
            <w:vAlign w:val="center"/>
          </w:tcPr>
          <w:p w14:paraId="0590419F" w14:textId="77777777" w:rsidR="009B5435" w:rsidRDefault="00000000">
            <w:pPr>
              <w:spacing w:after="0"/>
            </w:pPr>
            <w:r>
              <w:rPr>
                <w:sz w:val="16"/>
              </w:rPr>
              <w:t>Prevents overconfident failure.</w:t>
            </w:r>
          </w:p>
        </w:tc>
      </w:tr>
      <w:tr w:rsidR="009B5435" w14:paraId="6BB521FA" w14:textId="77777777">
        <w:trPr>
          <w:jc w:val="center"/>
        </w:trPr>
        <w:tc>
          <w:tcPr>
            <w:tcW w:w="3249" w:type="dxa"/>
            <w:vAlign w:val="center"/>
          </w:tcPr>
          <w:p w14:paraId="3FBF142E" w14:textId="77777777" w:rsidR="009B5435" w:rsidRDefault="00000000">
            <w:pPr>
              <w:spacing w:after="0"/>
            </w:pPr>
            <w:r>
              <w:rPr>
                <w:sz w:val="16"/>
              </w:rPr>
              <w:t>Robustness</w:t>
            </w:r>
          </w:p>
        </w:tc>
        <w:tc>
          <w:tcPr>
            <w:tcW w:w="3249" w:type="dxa"/>
            <w:vAlign w:val="center"/>
          </w:tcPr>
          <w:p w14:paraId="2075F284" w14:textId="77777777" w:rsidR="009B5435" w:rsidRDefault="00000000">
            <w:pPr>
              <w:spacing w:after="0"/>
            </w:pPr>
            <w:r>
              <w:rPr>
                <w:sz w:val="16"/>
              </w:rPr>
              <w:t>Performance under resolution, registration, cloud, seasonal and modality variation.</w:t>
            </w:r>
          </w:p>
        </w:tc>
        <w:tc>
          <w:tcPr>
            <w:tcW w:w="3249" w:type="dxa"/>
            <w:vAlign w:val="center"/>
          </w:tcPr>
          <w:p w14:paraId="67E58891" w14:textId="77777777" w:rsidR="009B5435" w:rsidRDefault="00000000">
            <w:pPr>
              <w:spacing w:after="0"/>
            </w:pPr>
            <w:r>
              <w:rPr>
                <w:sz w:val="16"/>
              </w:rPr>
              <w:t>Tests real-world reliability.</w:t>
            </w:r>
          </w:p>
        </w:tc>
      </w:tr>
      <w:tr w:rsidR="009B5435" w14:paraId="61E10ABE" w14:textId="77777777">
        <w:trPr>
          <w:jc w:val="center"/>
        </w:trPr>
        <w:tc>
          <w:tcPr>
            <w:tcW w:w="3249" w:type="dxa"/>
            <w:vAlign w:val="center"/>
          </w:tcPr>
          <w:p w14:paraId="1EE564F7" w14:textId="77777777" w:rsidR="009B5435" w:rsidRDefault="00000000">
            <w:pPr>
              <w:spacing w:after="0"/>
            </w:pPr>
            <w:r>
              <w:rPr>
                <w:sz w:val="16"/>
              </w:rPr>
              <w:t>Latency and resources</w:t>
            </w:r>
          </w:p>
        </w:tc>
        <w:tc>
          <w:tcPr>
            <w:tcW w:w="3249" w:type="dxa"/>
            <w:vAlign w:val="center"/>
          </w:tcPr>
          <w:p w14:paraId="615F15FF" w14:textId="77777777" w:rsidR="009B5435" w:rsidRDefault="00000000">
            <w:pPr>
              <w:spacing w:after="0"/>
            </w:pPr>
            <w:r>
              <w:rPr>
                <w:sz w:val="16"/>
              </w:rPr>
              <w:t>End-to-end inference time and memory or GPU use.</w:t>
            </w:r>
          </w:p>
        </w:tc>
        <w:tc>
          <w:tcPr>
            <w:tcW w:w="3249" w:type="dxa"/>
            <w:vAlign w:val="center"/>
          </w:tcPr>
          <w:p w14:paraId="17DBAF4E" w14:textId="77777777" w:rsidR="009B5435" w:rsidRDefault="00000000">
            <w:pPr>
              <w:spacing w:after="0"/>
            </w:pPr>
            <w:r>
              <w:rPr>
                <w:sz w:val="16"/>
              </w:rPr>
              <w:t>Determines whether the architecture is practical for a live demonstration.</w:t>
            </w:r>
          </w:p>
        </w:tc>
      </w:tr>
    </w:tbl>
    <w:p w14:paraId="1165F8D6" w14:textId="77777777" w:rsidR="009B5435" w:rsidRDefault="009B5435"/>
    <w:p w14:paraId="1007ED1B" w14:textId="77777777" w:rsidR="009B5435" w:rsidRDefault="00000000">
      <w:pPr>
        <w:pStyle w:val="Heading2"/>
      </w:pPr>
      <w:r>
        <w:lastRenderedPageBreak/>
        <w:t>Recommended evaluation protocol</w:t>
      </w:r>
    </w:p>
    <w:p w14:paraId="1B1FE39A" w14:textId="77777777" w:rsidR="009B5435" w:rsidRDefault="00000000">
      <w:pPr>
        <w:spacing w:after="80"/>
        <w:ind w:left="227"/>
      </w:pPr>
      <w:r>
        <w:t>Freeze the benchmark test data and do not tune directly on it.</w:t>
      </w:r>
    </w:p>
    <w:p w14:paraId="316B46AA" w14:textId="77777777" w:rsidR="009B5435" w:rsidRDefault="00000000">
      <w:pPr>
        <w:spacing w:after="80"/>
        <w:ind w:left="227"/>
      </w:pPr>
      <w:r>
        <w:t>Create a separate development set with representative query types.</w:t>
      </w:r>
    </w:p>
    <w:p w14:paraId="7B82B8AD" w14:textId="77777777" w:rsidR="009B5435" w:rsidRDefault="00000000">
      <w:pPr>
        <w:spacing w:after="80"/>
        <w:ind w:left="227"/>
      </w:pPr>
      <w:r>
        <w:t>Create a stress set containing ambiguous, unsupported and low-quality inputs.</w:t>
      </w:r>
    </w:p>
    <w:p w14:paraId="60F3CBA4" w14:textId="77777777" w:rsidR="009B5435" w:rsidRDefault="00000000">
      <w:pPr>
        <w:spacing w:after="80"/>
        <w:ind w:left="227"/>
      </w:pPr>
      <w:r>
        <w:t>Record model outputs before applying the verification layer.</w:t>
      </w:r>
    </w:p>
    <w:p w14:paraId="03D84A18" w14:textId="77777777" w:rsidR="009B5435" w:rsidRDefault="00000000">
      <w:pPr>
        <w:spacing w:after="80"/>
        <w:ind w:left="227"/>
      </w:pPr>
      <w:r>
        <w:t>Record the final verified answer separately.</w:t>
      </w:r>
    </w:p>
    <w:p w14:paraId="1B9F2355" w14:textId="77777777" w:rsidR="009B5435" w:rsidRDefault="00000000">
      <w:pPr>
        <w:spacing w:after="80"/>
        <w:ind w:left="227"/>
      </w:pPr>
      <w:r>
        <w:t>Measure routing errors independently from model errors.</w:t>
      </w:r>
    </w:p>
    <w:p w14:paraId="431B3897" w14:textId="77777777" w:rsidR="009B5435" w:rsidRDefault="00000000">
      <w:pPr>
        <w:spacing w:after="80"/>
        <w:ind w:left="227"/>
      </w:pPr>
      <w:r>
        <w:t>Measure hallucination or unsupported-answer rate on the stress set.</w:t>
      </w:r>
    </w:p>
    <w:p w14:paraId="0656C1FD" w14:textId="77777777" w:rsidR="009B5435" w:rsidRDefault="00000000">
      <w:pPr>
        <w:spacing w:after="80"/>
        <w:ind w:left="227"/>
      </w:pPr>
      <w:r>
        <w:t>Compare single-modality and paired-modality performance to determine whether multimodal input provides measurable value.</w:t>
      </w:r>
    </w:p>
    <w:p w14:paraId="495CC52D" w14:textId="77777777" w:rsidR="009B5435" w:rsidRDefault="00000000">
      <w:pPr>
        <w:spacing w:after="80"/>
        <w:ind w:left="227"/>
      </w:pPr>
      <w:r>
        <w:t>Report failure cases with the input, selected tools, evidence, error source and mitigation.</w:t>
      </w:r>
    </w:p>
    <w:p w14:paraId="07052704" w14:textId="77777777" w:rsidR="009B5435" w:rsidRDefault="00000000">
      <w:pPr>
        <w:pStyle w:val="Heading1"/>
      </w:pPr>
      <w:r>
        <w:t>Failure Analysis and Red-Team Findings</w:t>
      </w:r>
    </w:p>
    <w:tbl>
      <w:tblPr>
        <w:tblStyle w:val="TableGrid"/>
        <w:tblW w:w="0" w:type="auto"/>
        <w:jc w:val="center"/>
        <w:tblLook w:val="04A0" w:firstRow="1" w:lastRow="0" w:firstColumn="1" w:lastColumn="0" w:noHBand="0" w:noVBand="1"/>
      </w:tblPr>
      <w:tblGrid>
        <w:gridCol w:w="2436"/>
        <w:gridCol w:w="2436"/>
        <w:gridCol w:w="2436"/>
        <w:gridCol w:w="2436"/>
      </w:tblGrid>
      <w:tr w:rsidR="009B5435" w14:paraId="226CC228" w14:textId="77777777">
        <w:trPr>
          <w:jc w:val="center"/>
        </w:trPr>
        <w:tc>
          <w:tcPr>
            <w:tcW w:w="2436" w:type="dxa"/>
            <w:shd w:val="clear" w:color="auto" w:fill="D9E2F3"/>
            <w:vAlign w:val="center"/>
          </w:tcPr>
          <w:p w14:paraId="6BB68BDC" w14:textId="77777777" w:rsidR="009B5435" w:rsidRDefault="00000000">
            <w:pPr>
              <w:spacing w:after="0"/>
            </w:pPr>
            <w:r>
              <w:rPr>
                <w:b/>
                <w:sz w:val="16"/>
              </w:rPr>
              <w:t>Failure condition</w:t>
            </w:r>
          </w:p>
        </w:tc>
        <w:tc>
          <w:tcPr>
            <w:tcW w:w="2436" w:type="dxa"/>
            <w:shd w:val="clear" w:color="auto" w:fill="D9E2F3"/>
            <w:vAlign w:val="center"/>
          </w:tcPr>
          <w:p w14:paraId="552054BB" w14:textId="77777777" w:rsidR="009B5435" w:rsidRDefault="00000000">
            <w:pPr>
              <w:spacing w:after="0"/>
            </w:pPr>
            <w:r>
              <w:rPr>
                <w:b/>
                <w:sz w:val="16"/>
              </w:rPr>
              <w:t>Likely cause</w:t>
            </w:r>
          </w:p>
        </w:tc>
        <w:tc>
          <w:tcPr>
            <w:tcW w:w="2436" w:type="dxa"/>
            <w:shd w:val="clear" w:color="auto" w:fill="D9E2F3"/>
            <w:vAlign w:val="center"/>
          </w:tcPr>
          <w:p w14:paraId="545F73A8" w14:textId="77777777" w:rsidR="009B5435" w:rsidRDefault="00000000">
            <w:pPr>
              <w:spacing w:after="0"/>
            </w:pPr>
            <w:r>
              <w:rPr>
                <w:b/>
                <w:sz w:val="16"/>
              </w:rPr>
              <w:t>Detection</w:t>
            </w:r>
          </w:p>
        </w:tc>
        <w:tc>
          <w:tcPr>
            <w:tcW w:w="2436" w:type="dxa"/>
            <w:shd w:val="clear" w:color="auto" w:fill="D9E2F3"/>
            <w:vAlign w:val="center"/>
          </w:tcPr>
          <w:p w14:paraId="6CE4D92F" w14:textId="77777777" w:rsidR="009B5435" w:rsidRDefault="00000000">
            <w:pPr>
              <w:spacing w:after="0"/>
            </w:pPr>
            <w:r>
              <w:rPr>
                <w:b/>
                <w:sz w:val="16"/>
              </w:rPr>
              <w:t>Mitigation</w:t>
            </w:r>
          </w:p>
        </w:tc>
      </w:tr>
      <w:tr w:rsidR="009B5435" w14:paraId="7E2981B6" w14:textId="77777777">
        <w:trPr>
          <w:jc w:val="center"/>
        </w:trPr>
        <w:tc>
          <w:tcPr>
            <w:tcW w:w="2436" w:type="dxa"/>
            <w:vAlign w:val="center"/>
          </w:tcPr>
          <w:p w14:paraId="41614987" w14:textId="77777777" w:rsidR="009B5435" w:rsidRDefault="00000000">
            <w:pPr>
              <w:spacing w:after="0"/>
            </w:pPr>
            <w:r>
              <w:rPr>
                <w:sz w:val="16"/>
              </w:rPr>
              <w:t>Wrong tool selected</w:t>
            </w:r>
          </w:p>
        </w:tc>
        <w:tc>
          <w:tcPr>
            <w:tcW w:w="2436" w:type="dxa"/>
            <w:vAlign w:val="center"/>
          </w:tcPr>
          <w:p w14:paraId="4C4EA772" w14:textId="77777777" w:rsidR="009B5435" w:rsidRDefault="00000000">
            <w:pPr>
              <w:spacing w:after="0"/>
            </w:pPr>
            <w:r>
              <w:rPr>
                <w:sz w:val="16"/>
              </w:rPr>
              <w:t>Ambiguous query or weak intent classification.</w:t>
            </w:r>
          </w:p>
        </w:tc>
        <w:tc>
          <w:tcPr>
            <w:tcW w:w="2436" w:type="dxa"/>
            <w:vAlign w:val="center"/>
          </w:tcPr>
          <w:p w14:paraId="007A8D5F" w14:textId="77777777" w:rsidR="009B5435" w:rsidRDefault="00000000">
            <w:pPr>
              <w:spacing w:after="0"/>
            </w:pPr>
            <w:r>
              <w:rPr>
                <w:sz w:val="16"/>
              </w:rPr>
              <w:t>Compare query intent with tool capability registry.</w:t>
            </w:r>
          </w:p>
        </w:tc>
        <w:tc>
          <w:tcPr>
            <w:tcW w:w="2436" w:type="dxa"/>
            <w:vAlign w:val="center"/>
          </w:tcPr>
          <w:p w14:paraId="788E1787" w14:textId="77777777" w:rsidR="009B5435" w:rsidRDefault="00000000">
            <w:pPr>
              <w:spacing w:after="0"/>
            </w:pPr>
            <w:r>
              <w:rPr>
                <w:sz w:val="16"/>
              </w:rPr>
              <w:t>Use constrained routing and deterministic compatibility checks.</w:t>
            </w:r>
          </w:p>
        </w:tc>
      </w:tr>
      <w:tr w:rsidR="009B5435" w14:paraId="5B3F6B5C" w14:textId="77777777">
        <w:trPr>
          <w:jc w:val="center"/>
        </w:trPr>
        <w:tc>
          <w:tcPr>
            <w:tcW w:w="2436" w:type="dxa"/>
            <w:vAlign w:val="center"/>
          </w:tcPr>
          <w:p w14:paraId="19622F9C" w14:textId="77777777" w:rsidR="009B5435" w:rsidRDefault="00000000">
            <w:pPr>
              <w:spacing w:after="0"/>
            </w:pPr>
            <w:r>
              <w:rPr>
                <w:sz w:val="16"/>
              </w:rPr>
              <w:t>False temporal change</w:t>
            </w:r>
          </w:p>
        </w:tc>
        <w:tc>
          <w:tcPr>
            <w:tcW w:w="2436" w:type="dxa"/>
            <w:vAlign w:val="center"/>
          </w:tcPr>
          <w:p w14:paraId="66C93D53" w14:textId="77777777" w:rsidR="009B5435" w:rsidRDefault="00000000">
            <w:pPr>
              <w:spacing w:after="0"/>
            </w:pPr>
            <w:r>
              <w:rPr>
                <w:sz w:val="16"/>
              </w:rPr>
              <w:t>Registration, seasonal, illumination or sensor effects.</w:t>
            </w:r>
          </w:p>
        </w:tc>
        <w:tc>
          <w:tcPr>
            <w:tcW w:w="2436" w:type="dxa"/>
            <w:vAlign w:val="center"/>
          </w:tcPr>
          <w:p w14:paraId="51428832" w14:textId="77777777" w:rsidR="009B5435" w:rsidRDefault="00000000">
            <w:pPr>
              <w:spacing w:after="0"/>
            </w:pPr>
            <w:r>
              <w:rPr>
                <w:sz w:val="16"/>
              </w:rPr>
              <w:t>Registration checks and change-confidence analysis.</w:t>
            </w:r>
          </w:p>
        </w:tc>
        <w:tc>
          <w:tcPr>
            <w:tcW w:w="2436" w:type="dxa"/>
            <w:vAlign w:val="center"/>
          </w:tcPr>
          <w:p w14:paraId="006FC75A" w14:textId="77777777" w:rsidR="009B5435" w:rsidRDefault="00000000">
            <w:pPr>
              <w:spacing w:after="0"/>
            </w:pPr>
            <w:r>
              <w:rPr>
                <w:sz w:val="16"/>
              </w:rPr>
              <w:t>Use temporal specialist and false-change filtering.</w:t>
            </w:r>
          </w:p>
        </w:tc>
      </w:tr>
      <w:tr w:rsidR="009B5435" w14:paraId="25D01681" w14:textId="77777777">
        <w:trPr>
          <w:jc w:val="center"/>
        </w:trPr>
        <w:tc>
          <w:tcPr>
            <w:tcW w:w="2436" w:type="dxa"/>
            <w:vAlign w:val="center"/>
          </w:tcPr>
          <w:p w14:paraId="2B0693F2" w14:textId="77777777" w:rsidR="009B5435" w:rsidRDefault="00000000">
            <w:pPr>
              <w:spacing w:after="0"/>
            </w:pPr>
            <w:r>
              <w:rPr>
                <w:sz w:val="16"/>
              </w:rPr>
              <w:t>Optical–SAR disagreement</w:t>
            </w:r>
          </w:p>
        </w:tc>
        <w:tc>
          <w:tcPr>
            <w:tcW w:w="2436" w:type="dxa"/>
            <w:vAlign w:val="center"/>
          </w:tcPr>
          <w:p w14:paraId="366682F5" w14:textId="77777777" w:rsidR="009B5435" w:rsidRDefault="00000000">
            <w:pPr>
              <w:spacing w:after="0"/>
            </w:pPr>
            <w:r>
              <w:rPr>
                <w:sz w:val="16"/>
              </w:rPr>
              <w:t>Different physical sensing mechanisms or genuine ambiguity.</w:t>
            </w:r>
          </w:p>
        </w:tc>
        <w:tc>
          <w:tcPr>
            <w:tcW w:w="2436" w:type="dxa"/>
            <w:vAlign w:val="center"/>
          </w:tcPr>
          <w:p w14:paraId="15BAB4E4" w14:textId="77777777" w:rsidR="009B5435" w:rsidRDefault="00000000">
            <w:pPr>
              <w:spacing w:after="0"/>
            </w:pPr>
            <w:r>
              <w:rPr>
                <w:sz w:val="16"/>
              </w:rPr>
              <w:t>Compare modality-specific findings.</w:t>
            </w:r>
          </w:p>
        </w:tc>
        <w:tc>
          <w:tcPr>
            <w:tcW w:w="2436" w:type="dxa"/>
            <w:vAlign w:val="center"/>
          </w:tcPr>
          <w:p w14:paraId="36BA5809" w14:textId="77777777" w:rsidR="009B5435" w:rsidRDefault="00000000">
            <w:pPr>
              <w:spacing w:after="0"/>
            </w:pPr>
            <w:r>
              <w:rPr>
                <w:sz w:val="16"/>
              </w:rPr>
              <w:t>Report disagreement and lower confidence.</w:t>
            </w:r>
          </w:p>
        </w:tc>
      </w:tr>
      <w:tr w:rsidR="009B5435" w14:paraId="61ED6E87" w14:textId="77777777">
        <w:trPr>
          <w:jc w:val="center"/>
        </w:trPr>
        <w:tc>
          <w:tcPr>
            <w:tcW w:w="2436" w:type="dxa"/>
            <w:vAlign w:val="center"/>
          </w:tcPr>
          <w:p w14:paraId="3AFC2669" w14:textId="77777777" w:rsidR="009B5435" w:rsidRDefault="00000000">
            <w:pPr>
              <w:spacing w:after="0"/>
            </w:pPr>
            <w:r>
              <w:rPr>
                <w:sz w:val="16"/>
              </w:rPr>
              <w:t>Hallucinated object</w:t>
            </w:r>
          </w:p>
        </w:tc>
        <w:tc>
          <w:tcPr>
            <w:tcW w:w="2436" w:type="dxa"/>
            <w:vAlign w:val="center"/>
          </w:tcPr>
          <w:p w14:paraId="765A51EC" w14:textId="77777777" w:rsidR="009B5435" w:rsidRDefault="00000000">
            <w:pPr>
              <w:spacing w:after="0"/>
            </w:pPr>
            <w:r>
              <w:rPr>
                <w:sz w:val="16"/>
              </w:rPr>
              <w:t>VLM generates plausible language without sufficient visual evidence.</w:t>
            </w:r>
          </w:p>
        </w:tc>
        <w:tc>
          <w:tcPr>
            <w:tcW w:w="2436" w:type="dxa"/>
            <w:vAlign w:val="center"/>
          </w:tcPr>
          <w:p w14:paraId="0205CB64" w14:textId="77777777" w:rsidR="009B5435" w:rsidRDefault="00000000">
            <w:pPr>
              <w:spacing w:after="0"/>
            </w:pPr>
            <w:r>
              <w:rPr>
                <w:sz w:val="16"/>
              </w:rPr>
              <w:t>Grounding verification or specialist object evidence.</w:t>
            </w:r>
          </w:p>
        </w:tc>
        <w:tc>
          <w:tcPr>
            <w:tcW w:w="2436" w:type="dxa"/>
            <w:vAlign w:val="center"/>
          </w:tcPr>
          <w:p w14:paraId="33586A29" w14:textId="77777777" w:rsidR="009B5435" w:rsidRDefault="00000000">
            <w:pPr>
              <w:spacing w:after="0"/>
            </w:pPr>
            <w:r>
              <w:rPr>
                <w:sz w:val="16"/>
              </w:rPr>
              <w:t>Require evidence before asserting precise spatial claims.</w:t>
            </w:r>
          </w:p>
        </w:tc>
      </w:tr>
      <w:tr w:rsidR="009B5435" w14:paraId="54A560F5" w14:textId="77777777">
        <w:trPr>
          <w:jc w:val="center"/>
        </w:trPr>
        <w:tc>
          <w:tcPr>
            <w:tcW w:w="2436" w:type="dxa"/>
            <w:vAlign w:val="center"/>
          </w:tcPr>
          <w:p w14:paraId="6CB61465" w14:textId="77777777" w:rsidR="009B5435" w:rsidRDefault="00000000">
            <w:pPr>
              <w:spacing w:after="0"/>
            </w:pPr>
            <w:r>
              <w:rPr>
                <w:sz w:val="16"/>
              </w:rPr>
              <w:t>Unsupported question</w:t>
            </w:r>
          </w:p>
        </w:tc>
        <w:tc>
          <w:tcPr>
            <w:tcW w:w="2436" w:type="dxa"/>
            <w:vAlign w:val="center"/>
          </w:tcPr>
          <w:p w14:paraId="2039615A" w14:textId="77777777" w:rsidR="009B5435" w:rsidRDefault="00000000">
            <w:pPr>
              <w:spacing w:after="0"/>
            </w:pPr>
            <w:r>
              <w:rPr>
                <w:sz w:val="16"/>
              </w:rPr>
              <w:t>Question asks for information not available from supplied imagery.</w:t>
            </w:r>
          </w:p>
        </w:tc>
        <w:tc>
          <w:tcPr>
            <w:tcW w:w="2436" w:type="dxa"/>
            <w:vAlign w:val="center"/>
          </w:tcPr>
          <w:p w14:paraId="54587A82" w14:textId="77777777" w:rsidR="009B5435" w:rsidRDefault="00000000">
            <w:pPr>
              <w:spacing w:after="0"/>
            </w:pPr>
            <w:r>
              <w:rPr>
                <w:sz w:val="16"/>
              </w:rPr>
              <w:t>Capability and evidence check.</w:t>
            </w:r>
          </w:p>
        </w:tc>
        <w:tc>
          <w:tcPr>
            <w:tcW w:w="2436" w:type="dxa"/>
            <w:vAlign w:val="center"/>
          </w:tcPr>
          <w:p w14:paraId="6160ABA2" w14:textId="77777777" w:rsidR="009B5435" w:rsidRDefault="00000000">
            <w:pPr>
              <w:spacing w:after="0"/>
            </w:pPr>
            <w:r>
              <w:rPr>
                <w:sz w:val="16"/>
              </w:rPr>
              <w:t>Return an explicit insufficient-evidence response.</w:t>
            </w:r>
          </w:p>
        </w:tc>
      </w:tr>
      <w:tr w:rsidR="009B5435" w14:paraId="61C7F253" w14:textId="77777777">
        <w:trPr>
          <w:jc w:val="center"/>
        </w:trPr>
        <w:tc>
          <w:tcPr>
            <w:tcW w:w="2436" w:type="dxa"/>
            <w:vAlign w:val="center"/>
          </w:tcPr>
          <w:p w14:paraId="6785818D" w14:textId="77777777" w:rsidR="009B5435" w:rsidRDefault="00000000">
            <w:pPr>
              <w:spacing w:after="0"/>
            </w:pPr>
            <w:r>
              <w:rPr>
                <w:sz w:val="16"/>
              </w:rPr>
              <w:t>Resolution mismatch</w:t>
            </w:r>
          </w:p>
        </w:tc>
        <w:tc>
          <w:tcPr>
            <w:tcW w:w="2436" w:type="dxa"/>
            <w:vAlign w:val="center"/>
          </w:tcPr>
          <w:p w14:paraId="07C7E34E" w14:textId="77777777" w:rsidR="009B5435" w:rsidRDefault="00000000">
            <w:pPr>
              <w:spacing w:after="0"/>
            </w:pPr>
            <w:r>
              <w:rPr>
                <w:sz w:val="16"/>
              </w:rPr>
              <w:t>Requested object is too small for the image resolution.</w:t>
            </w:r>
          </w:p>
        </w:tc>
        <w:tc>
          <w:tcPr>
            <w:tcW w:w="2436" w:type="dxa"/>
            <w:vAlign w:val="center"/>
          </w:tcPr>
          <w:p w14:paraId="1A67DC17" w14:textId="77777777" w:rsidR="009B5435" w:rsidRDefault="00000000">
            <w:pPr>
              <w:spacing w:after="0"/>
            </w:pPr>
            <w:r>
              <w:rPr>
                <w:sz w:val="16"/>
              </w:rPr>
              <w:t>Resolution metadata and task threshold.</w:t>
            </w:r>
          </w:p>
        </w:tc>
        <w:tc>
          <w:tcPr>
            <w:tcW w:w="2436" w:type="dxa"/>
            <w:vAlign w:val="center"/>
          </w:tcPr>
          <w:p w14:paraId="1D730D0A" w14:textId="77777777" w:rsidR="009B5435" w:rsidRDefault="00000000">
            <w:pPr>
              <w:spacing w:after="0"/>
            </w:pPr>
            <w:r>
              <w:rPr>
                <w:sz w:val="16"/>
              </w:rPr>
              <w:t>Warn or abstain from precise identification.</w:t>
            </w:r>
          </w:p>
        </w:tc>
      </w:tr>
      <w:tr w:rsidR="009B5435" w14:paraId="4505CC50" w14:textId="77777777">
        <w:trPr>
          <w:jc w:val="center"/>
        </w:trPr>
        <w:tc>
          <w:tcPr>
            <w:tcW w:w="2436" w:type="dxa"/>
            <w:vAlign w:val="center"/>
          </w:tcPr>
          <w:p w14:paraId="4EA8551C" w14:textId="77777777" w:rsidR="009B5435" w:rsidRDefault="00000000">
            <w:pPr>
              <w:spacing w:after="0"/>
            </w:pPr>
            <w:r>
              <w:rPr>
                <w:sz w:val="16"/>
              </w:rPr>
              <w:t>Model overconfidence</w:t>
            </w:r>
          </w:p>
        </w:tc>
        <w:tc>
          <w:tcPr>
            <w:tcW w:w="2436" w:type="dxa"/>
            <w:vAlign w:val="center"/>
          </w:tcPr>
          <w:p w14:paraId="2AD5EFC9" w14:textId="77777777" w:rsidR="009B5435" w:rsidRDefault="00000000">
            <w:pPr>
              <w:spacing w:after="0"/>
            </w:pPr>
            <w:r>
              <w:rPr>
                <w:sz w:val="16"/>
              </w:rPr>
              <w:t>Uncalibrated language model probability or confident prose.</w:t>
            </w:r>
          </w:p>
        </w:tc>
        <w:tc>
          <w:tcPr>
            <w:tcW w:w="2436" w:type="dxa"/>
            <w:vAlign w:val="center"/>
          </w:tcPr>
          <w:p w14:paraId="6C5CB8F9" w14:textId="77777777" w:rsidR="009B5435" w:rsidRDefault="00000000">
            <w:pPr>
              <w:spacing w:after="0"/>
            </w:pPr>
            <w:r>
              <w:rPr>
                <w:sz w:val="16"/>
              </w:rPr>
              <w:t>External confidence calibration and evidence score.</w:t>
            </w:r>
          </w:p>
        </w:tc>
        <w:tc>
          <w:tcPr>
            <w:tcW w:w="2436" w:type="dxa"/>
            <w:vAlign w:val="center"/>
          </w:tcPr>
          <w:p w14:paraId="3C31292F" w14:textId="77777777" w:rsidR="009B5435" w:rsidRDefault="00000000">
            <w:pPr>
              <w:spacing w:after="0"/>
            </w:pPr>
            <w:r>
              <w:rPr>
                <w:sz w:val="16"/>
              </w:rPr>
              <w:t>Separate linguistic confidence from evidence confidence.</w:t>
            </w:r>
          </w:p>
        </w:tc>
      </w:tr>
      <w:tr w:rsidR="009B5435" w14:paraId="37D417A6" w14:textId="77777777">
        <w:trPr>
          <w:jc w:val="center"/>
        </w:trPr>
        <w:tc>
          <w:tcPr>
            <w:tcW w:w="2436" w:type="dxa"/>
            <w:vAlign w:val="center"/>
          </w:tcPr>
          <w:p w14:paraId="0A7BE38B" w14:textId="77777777" w:rsidR="009B5435" w:rsidRDefault="00000000">
            <w:pPr>
              <w:spacing w:after="0"/>
            </w:pPr>
            <w:r>
              <w:rPr>
                <w:sz w:val="16"/>
              </w:rPr>
              <w:t>Incorrect pair interpretation</w:t>
            </w:r>
          </w:p>
        </w:tc>
        <w:tc>
          <w:tcPr>
            <w:tcW w:w="2436" w:type="dxa"/>
            <w:vAlign w:val="center"/>
          </w:tcPr>
          <w:p w14:paraId="4DD5141A" w14:textId="77777777" w:rsidR="009B5435" w:rsidRDefault="00000000">
            <w:pPr>
              <w:spacing w:after="0"/>
            </w:pPr>
            <w:r>
              <w:rPr>
                <w:sz w:val="16"/>
              </w:rPr>
              <w:t>Images are not co-registered or do not represent the same area.</w:t>
            </w:r>
          </w:p>
        </w:tc>
        <w:tc>
          <w:tcPr>
            <w:tcW w:w="2436" w:type="dxa"/>
            <w:vAlign w:val="center"/>
          </w:tcPr>
          <w:p w14:paraId="027103AA" w14:textId="77777777" w:rsidR="009B5435" w:rsidRDefault="00000000">
            <w:pPr>
              <w:spacing w:after="0"/>
            </w:pPr>
            <w:r>
              <w:rPr>
                <w:sz w:val="16"/>
              </w:rPr>
              <w:t>Metadata and image-alignment checks.</w:t>
            </w:r>
          </w:p>
        </w:tc>
        <w:tc>
          <w:tcPr>
            <w:tcW w:w="2436" w:type="dxa"/>
            <w:vAlign w:val="center"/>
          </w:tcPr>
          <w:p w14:paraId="44A6388B" w14:textId="77777777" w:rsidR="009B5435" w:rsidRDefault="00000000">
            <w:pPr>
              <w:spacing w:after="0"/>
            </w:pPr>
            <w:r>
              <w:rPr>
                <w:sz w:val="16"/>
              </w:rPr>
              <w:t>Reject paired workflow until compatibility is established.</w:t>
            </w:r>
          </w:p>
        </w:tc>
      </w:tr>
    </w:tbl>
    <w:p w14:paraId="5E9BFC0B" w14:textId="77777777" w:rsidR="009B5435" w:rsidRDefault="009B5435"/>
    <w:p w14:paraId="21210971" w14:textId="77777777" w:rsidR="009B5435" w:rsidRDefault="00000000">
      <w:pPr>
        <w:pStyle w:val="Heading1"/>
      </w:pPr>
      <w:r>
        <w:t>Features That Should Not Dominate Development</w:t>
      </w:r>
    </w:p>
    <w:p w14:paraId="0B73E68E" w14:textId="77777777" w:rsidR="009B5435" w:rsidRDefault="00000000">
      <w:pPr>
        <w:pStyle w:val="ListBullet"/>
        <w:spacing w:after="60"/>
        <w:ind w:left="283"/>
      </w:pPr>
      <w:r>
        <w:t>A generic voice assistant without a measurable remote-sensing advantage.</w:t>
      </w:r>
    </w:p>
    <w:p w14:paraId="78609965" w14:textId="77777777" w:rsidR="009B5435" w:rsidRDefault="00000000">
      <w:pPr>
        <w:pStyle w:val="ListBullet"/>
        <w:spacing w:after="60"/>
        <w:ind w:left="283"/>
      </w:pPr>
      <w:r>
        <w:t>A decorative three-dimensional globe that does not improve the required analysis.</w:t>
      </w:r>
    </w:p>
    <w:p w14:paraId="2CE9A04B" w14:textId="77777777" w:rsidR="009B5435" w:rsidRDefault="00000000">
      <w:pPr>
        <w:pStyle w:val="ListBullet"/>
        <w:spacing w:after="60"/>
        <w:ind w:left="283"/>
      </w:pPr>
      <w:r>
        <w:t>A broad GIS automation platform that expands scope beyond the evaluation tasks.</w:t>
      </w:r>
    </w:p>
    <w:p w14:paraId="19B7269B" w14:textId="77777777" w:rsidR="009B5435" w:rsidRDefault="00000000">
      <w:pPr>
        <w:pStyle w:val="ListBullet"/>
        <w:spacing w:after="60"/>
        <w:ind w:left="283"/>
      </w:pPr>
      <w:r>
        <w:t>Training a new large language model from scratch when existing remote-sensing models can be adapted.</w:t>
      </w:r>
    </w:p>
    <w:p w14:paraId="2250B51E" w14:textId="77777777" w:rsidR="009B5435" w:rsidRDefault="00000000">
      <w:pPr>
        <w:pStyle w:val="ListBullet"/>
        <w:spacing w:after="60"/>
        <w:ind w:left="283"/>
      </w:pPr>
      <w:r>
        <w:t>A long chain-of-thought display. The public problem description states that internal reasoning text is not evaluated; concise execution metadata is sufficient.</w:t>
      </w:r>
    </w:p>
    <w:p w14:paraId="0D410B34" w14:textId="77777777" w:rsidR="009B5435" w:rsidRDefault="00000000">
      <w:pPr>
        <w:pStyle w:val="ListBullet"/>
        <w:spacing w:after="60"/>
        <w:ind w:left="283"/>
      </w:pPr>
      <w:r>
        <w:t>A large number of loosely connected specialist models with no routing or verification discipline.</w:t>
      </w:r>
    </w:p>
    <w:p w14:paraId="1357926D" w14:textId="77777777" w:rsidR="009B5435" w:rsidRDefault="00000000">
      <w:pPr>
        <w:pStyle w:val="ListBullet"/>
        <w:spacing w:after="60"/>
        <w:ind w:left="283"/>
      </w:pPr>
      <w:r>
        <w:t>A claim that the system is unique merely because several existing technologies are combined.</w:t>
      </w:r>
    </w:p>
    <w:p w14:paraId="21990C7B" w14:textId="77777777" w:rsidR="009B5435" w:rsidRDefault="00000000">
      <w:pPr>
        <w:pStyle w:val="ListBullet"/>
        <w:spacing w:after="60"/>
        <w:ind w:left="283"/>
      </w:pPr>
      <w:r>
        <w:t>Features that cannot be demonstrated reliably under the available hardware and time constraints.</w:t>
      </w:r>
    </w:p>
    <w:p w14:paraId="07809CF5" w14:textId="77777777" w:rsidR="009B5435" w:rsidRDefault="00000000">
      <w:pPr>
        <w:pStyle w:val="Heading1"/>
      </w:pPr>
      <w:r>
        <w:lastRenderedPageBreak/>
        <w:t>Development Data Pipeline</w:t>
      </w:r>
    </w:p>
    <w:p w14:paraId="6C122769" w14:textId="77777777" w:rsidR="009B5435" w:rsidRDefault="00000000">
      <w:pPr>
        <w:spacing w:after="80"/>
        <w:ind w:left="227"/>
      </w:pPr>
      <w:r>
        <w:t>Acquire public development data from documented sources and record license and provenance.</w:t>
      </w:r>
    </w:p>
    <w:p w14:paraId="0F7EE122" w14:textId="77777777" w:rsidR="009B5435" w:rsidRDefault="00000000">
      <w:pPr>
        <w:spacing w:after="80"/>
        <w:ind w:left="227"/>
      </w:pPr>
      <w:r>
        <w:t>Normalize supported imagery into a common internal representation without destroying sensor-specific information.</w:t>
      </w:r>
    </w:p>
    <w:p w14:paraId="118F7DBE" w14:textId="77777777" w:rsidR="009B5435" w:rsidRDefault="00000000">
      <w:pPr>
        <w:spacing w:after="80"/>
        <w:ind w:left="227"/>
      </w:pPr>
      <w:r>
        <w:t>Preserve original metadata and create derived metadata for modality, dimensions, spatial reference and acquisition relationship.</w:t>
      </w:r>
    </w:p>
    <w:p w14:paraId="48D791D4" w14:textId="77777777" w:rsidR="009B5435" w:rsidRDefault="00000000">
      <w:pPr>
        <w:spacing w:after="80"/>
        <w:ind w:left="227"/>
      </w:pPr>
      <w:r>
        <w:t>Construct task-specific training and validation subsets for VQA, grounding, temporal change and cross-modal reasoning.</w:t>
      </w:r>
    </w:p>
    <w:p w14:paraId="11024783" w14:textId="77777777" w:rsidR="009B5435" w:rsidRDefault="00000000">
      <w:pPr>
        <w:spacing w:after="80"/>
        <w:ind w:left="227"/>
      </w:pPr>
      <w:r>
        <w:t>Keep benchmark test subsets isolated.</w:t>
      </w:r>
    </w:p>
    <w:p w14:paraId="1F7E29BC" w14:textId="77777777" w:rsidR="009B5435" w:rsidRDefault="00000000">
      <w:pPr>
        <w:spacing w:after="80"/>
        <w:ind w:left="227"/>
      </w:pPr>
      <w:r>
        <w:t>Create a sensor-shift validation set that differs from the main training distribution.</w:t>
      </w:r>
    </w:p>
    <w:p w14:paraId="4613CD2A" w14:textId="77777777" w:rsidR="009B5435" w:rsidRDefault="00000000">
      <w:pPr>
        <w:spacing w:after="80"/>
        <w:ind w:left="227"/>
      </w:pPr>
      <w:r>
        <w:t>Log every experiment with model version, data version, preprocessing configuration and evaluation result.</w:t>
      </w:r>
    </w:p>
    <w:p w14:paraId="00B2A31F" w14:textId="77777777" w:rsidR="009B5435" w:rsidRDefault="00000000">
      <w:pPr>
        <w:spacing w:after="80"/>
        <w:ind w:left="227"/>
      </w:pPr>
      <w:r>
        <w:t>Use failure cases to improve routing and verification rather than only retraining the language model.</w:t>
      </w:r>
    </w:p>
    <w:p w14:paraId="60288E16" w14:textId="77777777" w:rsidR="009B5435" w:rsidRDefault="00000000">
      <w:pPr>
        <w:pStyle w:val="Heading1"/>
      </w:pPr>
      <w:r>
        <w:t>Practical Data Acquisition Map</w:t>
      </w:r>
    </w:p>
    <w:tbl>
      <w:tblPr>
        <w:tblStyle w:val="TableGrid"/>
        <w:tblW w:w="0" w:type="auto"/>
        <w:jc w:val="center"/>
        <w:tblLook w:val="04A0" w:firstRow="1" w:lastRow="0" w:firstColumn="1" w:lastColumn="0" w:noHBand="0" w:noVBand="1"/>
      </w:tblPr>
      <w:tblGrid>
        <w:gridCol w:w="3249"/>
        <w:gridCol w:w="3249"/>
        <w:gridCol w:w="3249"/>
      </w:tblGrid>
      <w:tr w:rsidR="009B5435" w14:paraId="57A97A27" w14:textId="77777777">
        <w:trPr>
          <w:jc w:val="center"/>
        </w:trPr>
        <w:tc>
          <w:tcPr>
            <w:tcW w:w="3249" w:type="dxa"/>
            <w:shd w:val="clear" w:color="auto" w:fill="D9E2F3"/>
            <w:vAlign w:val="center"/>
          </w:tcPr>
          <w:p w14:paraId="0EDFDA2F" w14:textId="77777777" w:rsidR="009B5435" w:rsidRDefault="00000000">
            <w:pPr>
              <w:spacing w:after="0"/>
            </w:pPr>
            <w:r>
              <w:rPr>
                <w:b/>
                <w:sz w:val="16"/>
              </w:rPr>
              <w:t>Source</w:t>
            </w:r>
          </w:p>
        </w:tc>
        <w:tc>
          <w:tcPr>
            <w:tcW w:w="3249" w:type="dxa"/>
            <w:shd w:val="clear" w:color="auto" w:fill="D9E2F3"/>
            <w:vAlign w:val="center"/>
          </w:tcPr>
          <w:p w14:paraId="3CC1E323" w14:textId="77777777" w:rsidR="009B5435" w:rsidRDefault="00000000">
            <w:pPr>
              <w:spacing w:after="0"/>
            </w:pPr>
            <w:r>
              <w:rPr>
                <w:b/>
                <w:sz w:val="16"/>
              </w:rPr>
              <w:t>Access position</w:t>
            </w:r>
          </w:p>
        </w:tc>
        <w:tc>
          <w:tcPr>
            <w:tcW w:w="3249" w:type="dxa"/>
            <w:shd w:val="clear" w:color="auto" w:fill="D9E2F3"/>
            <w:vAlign w:val="center"/>
          </w:tcPr>
          <w:p w14:paraId="75339A0A" w14:textId="77777777" w:rsidR="009B5435" w:rsidRDefault="00000000">
            <w:pPr>
              <w:spacing w:after="0"/>
            </w:pPr>
            <w:r>
              <w:rPr>
                <w:b/>
                <w:sz w:val="16"/>
              </w:rPr>
              <w:t>Useful role</w:t>
            </w:r>
          </w:p>
        </w:tc>
      </w:tr>
      <w:tr w:rsidR="009B5435" w14:paraId="7A8D5AC5" w14:textId="77777777">
        <w:trPr>
          <w:jc w:val="center"/>
        </w:trPr>
        <w:tc>
          <w:tcPr>
            <w:tcW w:w="3249" w:type="dxa"/>
            <w:vAlign w:val="center"/>
          </w:tcPr>
          <w:p w14:paraId="1BC00236" w14:textId="77777777" w:rsidR="009B5435" w:rsidRDefault="00000000">
            <w:pPr>
              <w:spacing w:after="0"/>
            </w:pPr>
            <w:r>
              <w:rPr>
                <w:sz w:val="16"/>
              </w:rPr>
              <w:t>BigEarthNet</w:t>
            </w:r>
          </w:p>
        </w:tc>
        <w:tc>
          <w:tcPr>
            <w:tcW w:w="3249" w:type="dxa"/>
            <w:vAlign w:val="center"/>
          </w:tcPr>
          <w:p w14:paraId="30219581" w14:textId="77777777" w:rsidR="009B5435" w:rsidRDefault="00000000">
            <w:pPr>
              <w:spacing w:after="0"/>
            </w:pPr>
            <w:r>
              <w:rPr>
                <w:sz w:val="16"/>
              </w:rPr>
              <w:t>Public dataset documentation and download ecosystem.</w:t>
            </w:r>
          </w:p>
        </w:tc>
        <w:tc>
          <w:tcPr>
            <w:tcW w:w="3249" w:type="dxa"/>
            <w:vAlign w:val="center"/>
          </w:tcPr>
          <w:p w14:paraId="13713F12" w14:textId="77777777" w:rsidR="009B5435" w:rsidRDefault="00000000">
            <w:pPr>
              <w:spacing w:after="0"/>
            </w:pPr>
            <w:r>
              <w:rPr>
                <w:sz w:val="16"/>
              </w:rPr>
              <w:t>Multisensor representation adaptation and Sentinel-1/Sentinel-2 experiments.</w:t>
            </w:r>
          </w:p>
        </w:tc>
      </w:tr>
      <w:tr w:rsidR="009B5435" w14:paraId="19BB5350" w14:textId="77777777">
        <w:trPr>
          <w:jc w:val="center"/>
        </w:trPr>
        <w:tc>
          <w:tcPr>
            <w:tcW w:w="3249" w:type="dxa"/>
            <w:vAlign w:val="center"/>
          </w:tcPr>
          <w:p w14:paraId="1BE0317A" w14:textId="77777777" w:rsidR="009B5435" w:rsidRDefault="00000000">
            <w:pPr>
              <w:spacing w:after="0"/>
            </w:pPr>
            <w:r>
              <w:rPr>
                <w:sz w:val="16"/>
              </w:rPr>
              <w:t>VRSBench</w:t>
            </w:r>
          </w:p>
        </w:tc>
        <w:tc>
          <w:tcPr>
            <w:tcW w:w="3249" w:type="dxa"/>
            <w:vAlign w:val="center"/>
          </w:tcPr>
          <w:p w14:paraId="02D6DD2E" w14:textId="77777777" w:rsidR="009B5435" w:rsidRDefault="00000000">
            <w:pPr>
              <w:spacing w:after="0"/>
            </w:pPr>
            <w:r>
              <w:rPr>
                <w:sz w:val="16"/>
              </w:rPr>
              <w:t>Public benchmark and project repository.</w:t>
            </w:r>
          </w:p>
        </w:tc>
        <w:tc>
          <w:tcPr>
            <w:tcW w:w="3249" w:type="dxa"/>
            <w:vAlign w:val="center"/>
          </w:tcPr>
          <w:p w14:paraId="07EFE89C" w14:textId="77777777" w:rsidR="009B5435" w:rsidRDefault="00000000">
            <w:pPr>
              <w:spacing w:after="0"/>
            </w:pPr>
            <w:r>
              <w:rPr>
                <w:sz w:val="16"/>
              </w:rPr>
              <w:t>Captioning, grounding and VQA development.</w:t>
            </w:r>
          </w:p>
        </w:tc>
      </w:tr>
      <w:tr w:rsidR="009B5435" w14:paraId="4FDF6F93" w14:textId="77777777">
        <w:trPr>
          <w:jc w:val="center"/>
        </w:trPr>
        <w:tc>
          <w:tcPr>
            <w:tcW w:w="3249" w:type="dxa"/>
            <w:vAlign w:val="center"/>
          </w:tcPr>
          <w:p w14:paraId="4277D5BB" w14:textId="77777777" w:rsidR="009B5435" w:rsidRDefault="00000000">
            <w:pPr>
              <w:spacing w:after="0"/>
            </w:pPr>
            <w:r>
              <w:rPr>
                <w:sz w:val="16"/>
              </w:rPr>
              <w:t>RSVQA</w:t>
            </w:r>
          </w:p>
        </w:tc>
        <w:tc>
          <w:tcPr>
            <w:tcW w:w="3249" w:type="dxa"/>
            <w:vAlign w:val="center"/>
          </w:tcPr>
          <w:p w14:paraId="0A4F41F0" w14:textId="77777777" w:rsidR="009B5435" w:rsidRDefault="00000000">
            <w:pPr>
              <w:spacing w:after="0"/>
            </w:pPr>
            <w:r>
              <w:rPr>
                <w:sz w:val="16"/>
              </w:rPr>
              <w:t>Public research dataset resources.</w:t>
            </w:r>
          </w:p>
        </w:tc>
        <w:tc>
          <w:tcPr>
            <w:tcW w:w="3249" w:type="dxa"/>
            <w:vAlign w:val="center"/>
          </w:tcPr>
          <w:p w14:paraId="1DA14BA3" w14:textId="77777777" w:rsidR="009B5435" w:rsidRDefault="00000000">
            <w:pPr>
              <w:spacing w:after="0"/>
            </w:pPr>
            <w:r>
              <w:rPr>
                <w:sz w:val="16"/>
              </w:rPr>
              <w:t>VQA task construction and comparison.</w:t>
            </w:r>
          </w:p>
        </w:tc>
      </w:tr>
      <w:tr w:rsidR="009B5435" w14:paraId="1903FF6E" w14:textId="77777777">
        <w:trPr>
          <w:jc w:val="center"/>
        </w:trPr>
        <w:tc>
          <w:tcPr>
            <w:tcW w:w="3249" w:type="dxa"/>
            <w:vAlign w:val="center"/>
          </w:tcPr>
          <w:p w14:paraId="49C83F8E" w14:textId="77777777" w:rsidR="009B5435" w:rsidRDefault="00000000">
            <w:pPr>
              <w:spacing w:after="0"/>
            </w:pPr>
            <w:r>
              <w:rPr>
                <w:sz w:val="16"/>
              </w:rPr>
              <w:t>CDVQA</w:t>
            </w:r>
          </w:p>
        </w:tc>
        <w:tc>
          <w:tcPr>
            <w:tcW w:w="3249" w:type="dxa"/>
            <w:vAlign w:val="center"/>
          </w:tcPr>
          <w:p w14:paraId="223B0CAB" w14:textId="77777777" w:rsidR="009B5435" w:rsidRDefault="00000000">
            <w:pPr>
              <w:spacing w:after="0"/>
            </w:pPr>
            <w:r>
              <w:rPr>
                <w:sz w:val="16"/>
              </w:rPr>
              <w:t>Research dataset associated with change-based VQA.</w:t>
            </w:r>
          </w:p>
        </w:tc>
        <w:tc>
          <w:tcPr>
            <w:tcW w:w="3249" w:type="dxa"/>
            <w:vAlign w:val="center"/>
          </w:tcPr>
          <w:p w14:paraId="4E61CD0B" w14:textId="77777777" w:rsidR="009B5435" w:rsidRDefault="00000000">
            <w:pPr>
              <w:spacing w:after="0"/>
            </w:pPr>
            <w:r>
              <w:rPr>
                <w:sz w:val="16"/>
              </w:rPr>
              <w:t>Temporal question answering.</w:t>
            </w:r>
          </w:p>
        </w:tc>
      </w:tr>
      <w:tr w:rsidR="009B5435" w14:paraId="02BA97E2" w14:textId="77777777">
        <w:trPr>
          <w:jc w:val="center"/>
        </w:trPr>
        <w:tc>
          <w:tcPr>
            <w:tcW w:w="3249" w:type="dxa"/>
            <w:vAlign w:val="center"/>
          </w:tcPr>
          <w:p w14:paraId="496AF008" w14:textId="77777777" w:rsidR="009B5435" w:rsidRDefault="00000000">
            <w:pPr>
              <w:spacing w:after="0"/>
            </w:pPr>
            <w:r>
              <w:rPr>
                <w:sz w:val="16"/>
              </w:rPr>
              <w:t>LEVIR-CD and LEVIR-CC</w:t>
            </w:r>
          </w:p>
        </w:tc>
        <w:tc>
          <w:tcPr>
            <w:tcW w:w="3249" w:type="dxa"/>
            <w:vAlign w:val="center"/>
          </w:tcPr>
          <w:p w14:paraId="26875147" w14:textId="77777777" w:rsidR="009B5435" w:rsidRDefault="00000000">
            <w:pPr>
              <w:spacing w:after="0"/>
            </w:pPr>
            <w:r>
              <w:rPr>
                <w:sz w:val="16"/>
              </w:rPr>
              <w:t>Public research resources.</w:t>
            </w:r>
          </w:p>
        </w:tc>
        <w:tc>
          <w:tcPr>
            <w:tcW w:w="3249" w:type="dxa"/>
            <w:vAlign w:val="center"/>
          </w:tcPr>
          <w:p w14:paraId="3045D9A0" w14:textId="77777777" w:rsidR="009B5435" w:rsidRDefault="00000000">
            <w:pPr>
              <w:spacing w:after="0"/>
            </w:pPr>
            <w:r>
              <w:rPr>
                <w:sz w:val="16"/>
              </w:rPr>
              <w:t>Change detection and change description.</w:t>
            </w:r>
          </w:p>
        </w:tc>
      </w:tr>
      <w:tr w:rsidR="009B5435" w14:paraId="53464997" w14:textId="77777777">
        <w:trPr>
          <w:jc w:val="center"/>
        </w:trPr>
        <w:tc>
          <w:tcPr>
            <w:tcW w:w="3249" w:type="dxa"/>
            <w:vAlign w:val="center"/>
          </w:tcPr>
          <w:p w14:paraId="4B617AE3" w14:textId="77777777" w:rsidR="009B5435" w:rsidRDefault="00000000">
            <w:pPr>
              <w:spacing w:after="0"/>
            </w:pPr>
            <w:r>
              <w:rPr>
                <w:sz w:val="16"/>
              </w:rPr>
              <w:t>Copernicus Data Space</w:t>
            </w:r>
          </w:p>
        </w:tc>
        <w:tc>
          <w:tcPr>
            <w:tcW w:w="3249" w:type="dxa"/>
            <w:vAlign w:val="center"/>
          </w:tcPr>
          <w:p w14:paraId="75B442BC" w14:textId="77777777" w:rsidR="009B5435" w:rsidRDefault="00000000">
            <w:pPr>
              <w:spacing w:after="0"/>
            </w:pPr>
            <w:r>
              <w:rPr>
                <w:sz w:val="16"/>
              </w:rPr>
              <w:t>Open Sentinel data and processing ecosystem.</w:t>
            </w:r>
          </w:p>
        </w:tc>
        <w:tc>
          <w:tcPr>
            <w:tcW w:w="3249" w:type="dxa"/>
            <w:vAlign w:val="center"/>
          </w:tcPr>
          <w:p w14:paraId="1F712933" w14:textId="77777777" w:rsidR="009B5435" w:rsidRDefault="00000000">
            <w:pPr>
              <w:spacing w:after="0"/>
            </w:pPr>
            <w:r>
              <w:rPr>
                <w:sz w:val="16"/>
              </w:rPr>
              <w:t>Additional optical and SAR data for development and stress testing.</w:t>
            </w:r>
          </w:p>
        </w:tc>
      </w:tr>
      <w:tr w:rsidR="009B5435" w14:paraId="7164D981" w14:textId="77777777">
        <w:trPr>
          <w:jc w:val="center"/>
        </w:trPr>
        <w:tc>
          <w:tcPr>
            <w:tcW w:w="3249" w:type="dxa"/>
            <w:vAlign w:val="center"/>
          </w:tcPr>
          <w:p w14:paraId="4A820B4F" w14:textId="77777777" w:rsidR="009B5435" w:rsidRDefault="00000000">
            <w:pPr>
              <w:spacing w:after="0"/>
            </w:pPr>
            <w:r>
              <w:rPr>
                <w:sz w:val="16"/>
              </w:rPr>
              <w:t>NASA Earthdata</w:t>
            </w:r>
          </w:p>
        </w:tc>
        <w:tc>
          <w:tcPr>
            <w:tcW w:w="3249" w:type="dxa"/>
            <w:vAlign w:val="center"/>
          </w:tcPr>
          <w:p w14:paraId="79F8AD4A" w14:textId="77777777" w:rsidR="009B5435" w:rsidRDefault="00000000">
            <w:pPr>
              <w:spacing w:after="0"/>
            </w:pPr>
            <w:r>
              <w:rPr>
                <w:sz w:val="16"/>
              </w:rPr>
              <w:t>Earth-observation discovery and access ecosystem.</w:t>
            </w:r>
          </w:p>
        </w:tc>
        <w:tc>
          <w:tcPr>
            <w:tcW w:w="3249" w:type="dxa"/>
            <w:vAlign w:val="center"/>
          </w:tcPr>
          <w:p w14:paraId="541CD6AF" w14:textId="77777777" w:rsidR="009B5435" w:rsidRDefault="00000000">
            <w:pPr>
              <w:spacing w:after="0"/>
            </w:pPr>
            <w:r>
              <w:rPr>
                <w:sz w:val="16"/>
              </w:rPr>
              <w:t>Additional Earth-observation data and validation resources.</w:t>
            </w:r>
          </w:p>
        </w:tc>
      </w:tr>
      <w:tr w:rsidR="009B5435" w14:paraId="3E8C9BDF" w14:textId="77777777">
        <w:trPr>
          <w:jc w:val="center"/>
        </w:trPr>
        <w:tc>
          <w:tcPr>
            <w:tcW w:w="3249" w:type="dxa"/>
            <w:vAlign w:val="center"/>
          </w:tcPr>
          <w:p w14:paraId="44F91336" w14:textId="77777777" w:rsidR="009B5435" w:rsidRDefault="00000000">
            <w:pPr>
              <w:spacing w:after="0"/>
            </w:pPr>
            <w:r>
              <w:rPr>
                <w:sz w:val="16"/>
              </w:rPr>
              <w:t>ISRO and SAC public resources</w:t>
            </w:r>
          </w:p>
        </w:tc>
        <w:tc>
          <w:tcPr>
            <w:tcW w:w="3249" w:type="dxa"/>
            <w:vAlign w:val="center"/>
          </w:tcPr>
          <w:p w14:paraId="2262E772" w14:textId="77777777" w:rsidR="009B5435" w:rsidRDefault="00000000">
            <w:pPr>
              <w:spacing w:after="0"/>
            </w:pPr>
            <w:r>
              <w:rPr>
                <w:sz w:val="16"/>
              </w:rPr>
              <w:t>Public mission and remote-sensing documentation; availability varies by product and policy.</w:t>
            </w:r>
          </w:p>
        </w:tc>
        <w:tc>
          <w:tcPr>
            <w:tcW w:w="3249" w:type="dxa"/>
            <w:vAlign w:val="center"/>
          </w:tcPr>
          <w:p w14:paraId="4755B84F" w14:textId="77777777" w:rsidR="009B5435" w:rsidRDefault="00000000">
            <w:pPr>
              <w:spacing w:after="0"/>
            </w:pPr>
            <w:r>
              <w:rPr>
                <w:sz w:val="16"/>
              </w:rPr>
              <w:t>Sensor understanding, Indian context and publicly available supporting data.</w:t>
            </w:r>
          </w:p>
        </w:tc>
      </w:tr>
      <w:tr w:rsidR="009B5435" w14:paraId="30585A90" w14:textId="77777777">
        <w:trPr>
          <w:jc w:val="center"/>
        </w:trPr>
        <w:tc>
          <w:tcPr>
            <w:tcW w:w="3249" w:type="dxa"/>
            <w:vAlign w:val="center"/>
          </w:tcPr>
          <w:p w14:paraId="33448671" w14:textId="77777777" w:rsidR="009B5435" w:rsidRDefault="00000000">
            <w:pPr>
              <w:spacing w:after="0"/>
            </w:pPr>
            <w:r>
              <w:rPr>
                <w:sz w:val="16"/>
              </w:rPr>
              <w:t>ISRO/SAC evaluation data</w:t>
            </w:r>
          </w:p>
        </w:tc>
        <w:tc>
          <w:tcPr>
            <w:tcW w:w="3249" w:type="dxa"/>
            <w:vAlign w:val="center"/>
          </w:tcPr>
          <w:p w14:paraId="66E65B04" w14:textId="77777777" w:rsidR="009B5435" w:rsidRDefault="00000000">
            <w:pPr>
              <w:spacing w:after="0"/>
            </w:pPr>
            <w:r>
              <w:rPr>
                <w:sz w:val="16"/>
              </w:rPr>
              <w:t>Organizer-controlled according to the public SIH26167 description.</w:t>
            </w:r>
          </w:p>
        </w:tc>
        <w:tc>
          <w:tcPr>
            <w:tcW w:w="3249" w:type="dxa"/>
            <w:vAlign w:val="center"/>
          </w:tcPr>
          <w:p w14:paraId="2E3E8A9C" w14:textId="77777777" w:rsidR="009B5435" w:rsidRDefault="00000000">
            <w:pPr>
              <w:spacing w:after="0"/>
            </w:pPr>
            <w:r>
              <w:rPr>
                <w:sz w:val="16"/>
              </w:rPr>
              <w:t>Final evaluation target; availability to teams must be confirmed through the official competition channel.</w:t>
            </w:r>
          </w:p>
        </w:tc>
      </w:tr>
    </w:tbl>
    <w:p w14:paraId="489722A0" w14:textId="77777777" w:rsidR="009B5435" w:rsidRDefault="009B5435"/>
    <w:p w14:paraId="69182592" w14:textId="77777777" w:rsidR="009B5435" w:rsidRDefault="00000000">
      <w:pPr>
        <w:pStyle w:val="Heading1"/>
      </w:pPr>
      <w:r>
        <w:t>Judge-Facing Technical Positioning</w:t>
      </w:r>
    </w:p>
    <w:p w14:paraId="5E663CE3" w14:textId="77777777" w:rsidR="009B5435" w:rsidRDefault="00000000">
      <w:r>
        <w:t>The strongest positioning is not that SatQuery has more models. It is that SatQuery turns a collection of specialist remote-sensing capabilities into a controlled, evidence-grounded analytical workflow.</w:t>
      </w:r>
    </w:p>
    <w:tbl>
      <w:tblPr>
        <w:tblStyle w:val="TableGrid"/>
        <w:tblW w:w="0" w:type="auto"/>
        <w:jc w:val="center"/>
        <w:tblLook w:val="04A0" w:firstRow="1" w:lastRow="0" w:firstColumn="1" w:lastColumn="0" w:noHBand="0" w:noVBand="1"/>
      </w:tblPr>
      <w:tblGrid>
        <w:gridCol w:w="4873"/>
        <w:gridCol w:w="4873"/>
      </w:tblGrid>
      <w:tr w:rsidR="009B5435" w14:paraId="2391FD06" w14:textId="77777777">
        <w:trPr>
          <w:jc w:val="center"/>
        </w:trPr>
        <w:tc>
          <w:tcPr>
            <w:tcW w:w="4873" w:type="dxa"/>
            <w:shd w:val="clear" w:color="auto" w:fill="D9E2F3"/>
            <w:vAlign w:val="center"/>
          </w:tcPr>
          <w:p w14:paraId="133AAB0E" w14:textId="77777777" w:rsidR="009B5435" w:rsidRDefault="00000000">
            <w:pPr>
              <w:spacing w:after="0"/>
            </w:pPr>
            <w:r>
              <w:rPr>
                <w:b/>
                <w:sz w:val="16"/>
              </w:rPr>
              <w:t>Likely judge question</w:t>
            </w:r>
          </w:p>
        </w:tc>
        <w:tc>
          <w:tcPr>
            <w:tcW w:w="4873" w:type="dxa"/>
            <w:shd w:val="clear" w:color="auto" w:fill="D9E2F3"/>
            <w:vAlign w:val="center"/>
          </w:tcPr>
          <w:p w14:paraId="4CC102B7" w14:textId="77777777" w:rsidR="009B5435" w:rsidRDefault="00000000">
            <w:pPr>
              <w:spacing w:after="0"/>
            </w:pPr>
            <w:r>
              <w:rPr>
                <w:b/>
                <w:sz w:val="16"/>
              </w:rPr>
              <w:t>Defensible answer</w:t>
            </w:r>
          </w:p>
        </w:tc>
      </w:tr>
      <w:tr w:rsidR="009B5435" w14:paraId="22BF8448" w14:textId="77777777">
        <w:trPr>
          <w:jc w:val="center"/>
        </w:trPr>
        <w:tc>
          <w:tcPr>
            <w:tcW w:w="4873" w:type="dxa"/>
            <w:vAlign w:val="center"/>
          </w:tcPr>
          <w:p w14:paraId="32A4A127" w14:textId="77777777" w:rsidR="009B5435" w:rsidRDefault="00000000">
            <w:pPr>
              <w:spacing w:after="0"/>
            </w:pPr>
            <w:r>
              <w:rPr>
                <w:sz w:val="16"/>
              </w:rPr>
              <w:t>Why not use a generic VLM?</w:t>
            </w:r>
          </w:p>
        </w:tc>
        <w:tc>
          <w:tcPr>
            <w:tcW w:w="4873" w:type="dxa"/>
            <w:vAlign w:val="center"/>
          </w:tcPr>
          <w:p w14:paraId="70C72411" w14:textId="77777777" w:rsidR="009B5435" w:rsidRDefault="00000000">
            <w:pPr>
              <w:spacing w:after="0"/>
            </w:pPr>
            <w:r>
              <w:rPr>
                <w:sz w:val="16"/>
              </w:rPr>
              <w:t>Remote-sensing imagery has sensor-specific semantics and scale characteristics. The public problem description explicitly requires remote-sensing adaptation. SatQuery therefore uses domain-specific components and specialist tools rather than treating the image as a generic photograph.</w:t>
            </w:r>
          </w:p>
        </w:tc>
      </w:tr>
      <w:tr w:rsidR="009B5435" w14:paraId="2060A976" w14:textId="77777777">
        <w:trPr>
          <w:jc w:val="center"/>
        </w:trPr>
        <w:tc>
          <w:tcPr>
            <w:tcW w:w="4873" w:type="dxa"/>
            <w:vAlign w:val="center"/>
          </w:tcPr>
          <w:p w14:paraId="28428B69" w14:textId="77777777" w:rsidR="009B5435" w:rsidRDefault="00000000">
            <w:pPr>
              <w:spacing w:after="0"/>
            </w:pPr>
            <w:r>
              <w:rPr>
                <w:sz w:val="16"/>
              </w:rPr>
              <w:t>What is actually agentic?</w:t>
            </w:r>
          </w:p>
        </w:tc>
        <w:tc>
          <w:tcPr>
            <w:tcW w:w="4873" w:type="dxa"/>
            <w:vAlign w:val="center"/>
          </w:tcPr>
          <w:p w14:paraId="1BEAF90A" w14:textId="77777777" w:rsidR="009B5435" w:rsidRDefault="00000000">
            <w:pPr>
              <w:spacing w:after="0"/>
            </w:pPr>
            <w:r>
              <w:rPr>
                <w:sz w:val="16"/>
              </w:rPr>
              <w:t xml:space="preserve">The controller interprets the query and input configuration, selects compatible specialist tools, sequences them, records the </w:t>
            </w:r>
            <w:r>
              <w:rPr>
                <w:sz w:val="16"/>
              </w:rPr>
              <w:lastRenderedPageBreak/>
              <w:t>execution and integrates their outputs. The agent is constrained by a capability registry rather than given unrestricted tool access.</w:t>
            </w:r>
          </w:p>
        </w:tc>
      </w:tr>
      <w:tr w:rsidR="009B5435" w14:paraId="15D807CD" w14:textId="77777777">
        <w:trPr>
          <w:jc w:val="center"/>
        </w:trPr>
        <w:tc>
          <w:tcPr>
            <w:tcW w:w="4873" w:type="dxa"/>
            <w:vAlign w:val="center"/>
          </w:tcPr>
          <w:p w14:paraId="3751C984" w14:textId="77777777" w:rsidR="009B5435" w:rsidRDefault="00000000">
            <w:pPr>
              <w:spacing w:after="0"/>
            </w:pPr>
            <w:r>
              <w:rPr>
                <w:sz w:val="16"/>
              </w:rPr>
              <w:lastRenderedPageBreak/>
              <w:t>What is multimodal?</w:t>
            </w:r>
          </w:p>
        </w:tc>
        <w:tc>
          <w:tcPr>
            <w:tcW w:w="4873" w:type="dxa"/>
            <w:vAlign w:val="center"/>
          </w:tcPr>
          <w:p w14:paraId="57ACA8E4" w14:textId="77777777" w:rsidR="009B5435" w:rsidRDefault="00000000">
            <w:pPr>
              <w:spacing w:after="0"/>
            </w:pPr>
            <w:r>
              <w:rPr>
                <w:sz w:val="16"/>
              </w:rPr>
              <w:t>The system separately processes optical or multispectral and SAR evidence, then performs cross-modal evidence reconciliation. It does not merely place two images beside each other.</w:t>
            </w:r>
          </w:p>
        </w:tc>
      </w:tr>
      <w:tr w:rsidR="009B5435" w14:paraId="2BDBB5C3" w14:textId="77777777">
        <w:trPr>
          <w:jc w:val="center"/>
        </w:trPr>
        <w:tc>
          <w:tcPr>
            <w:tcW w:w="4873" w:type="dxa"/>
            <w:vAlign w:val="center"/>
          </w:tcPr>
          <w:p w14:paraId="1BAFF634" w14:textId="77777777" w:rsidR="009B5435" w:rsidRDefault="00000000">
            <w:pPr>
              <w:spacing w:after="0"/>
            </w:pPr>
            <w:r>
              <w:rPr>
                <w:sz w:val="16"/>
              </w:rPr>
              <w:t>How do you reduce hallucination?</w:t>
            </w:r>
          </w:p>
        </w:tc>
        <w:tc>
          <w:tcPr>
            <w:tcW w:w="4873" w:type="dxa"/>
            <w:vAlign w:val="center"/>
          </w:tcPr>
          <w:p w14:paraId="4884DB3E" w14:textId="77777777" w:rsidR="009B5435" w:rsidRDefault="00000000">
            <w:pPr>
              <w:spacing w:after="0"/>
            </w:pPr>
            <w:r>
              <w:rPr>
                <w:sz w:val="16"/>
              </w:rPr>
              <w:t>The language layer is not the sole source of visual evidence. Specialist outputs, spatial grounding and verification are used before an answer is released.</w:t>
            </w:r>
          </w:p>
        </w:tc>
      </w:tr>
      <w:tr w:rsidR="009B5435" w14:paraId="70C96AE7" w14:textId="77777777">
        <w:trPr>
          <w:jc w:val="center"/>
        </w:trPr>
        <w:tc>
          <w:tcPr>
            <w:tcW w:w="4873" w:type="dxa"/>
            <w:vAlign w:val="center"/>
          </w:tcPr>
          <w:p w14:paraId="26D8C452" w14:textId="77777777" w:rsidR="009B5435" w:rsidRDefault="00000000">
            <w:pPr>
              <w:spacing w:after="0"/>
            </w:pPr>
            <w:r>
              <w:rPr>
                <w:sz w:val="16"/>
              </w:rPr>
              <w:t>What happens when models disagree?</w:t>
            </w:r>
          </w:p>
        </w:tc>
        <w:tc>
          <w:tcPr>
            <w:tcW w:w="4873" w:type="dxa"/>
            <w:vAlign w:val="center"/>
          </w:tcPr>
          <w:p w14:paraId="64F04665" w14:textId="77777777" w:rsidR="009B5435" w:rsidRDefault="00000000">
            <w:pPr>
              <w:spacing w:after="0"/>
            </w:pPr>
            <w:r>
              <w:rPr>
                <w:sz w:val="16"/>
              </w:rPr>
              <w:t>The system preserves the disagreement, lowers confidence and explains which modality or specialist produced each finding instead of silently choosing a confident narrative.</w:t>
            </w:r>
          </w:p>
        </w:tc>
      </w:tr>
      <w:tr w:rsidR="009B5435" w14:paraId="23EF0138" w14:textId="77777777">
        <w:trPr>
          <w:jc w:val="center"/>
        </w:trPr>
        <w:tc>
          <w:tcPr>
            <w:tcW w:w="4873" w:type="dxa"/>
            <w:vAlign w:val="center"/>
          </w:tcPr>
          <w:p w14:paraId="7A17146E" w14:textId="77777777" w:rsidR="009B5435" w:rsidRDefault="00000000">
            <w:pPr>
              <w:spacing w:after="0"/>
            </w:pPr>
            <w:r>
              <w:rPr>
                <w:sz w:val="16"/>
              </w:rPr>
              <w:t>Why is the system useful?</w:t>
            </w:r>
          </w:p>
        </w:tc>
        <w:tc>
          <w:tcPr>
            <w:tcW w:w="4873" w:type="dxa"/>
            <w:vAlign w:val="center"/>
          </w:tcPr>
          <w:p w14:paraId="6277AB2E" w14:textId="77777777" w:rsidR="009B5435" w:rsidRDefault="00000000">
            <w:pPr>
              <w:spacing w:after="0"/>
            </w:pPr>
            <w:r>
              <w:rPr>
                <w:sz w:val="16"/>
              </w:rPr>
              <w:t>It reduces the need for users to know which remote-sensing model or workflow should be applied to a natural-language question while keeping the analytical evidence visible.</w:t>
            </w:r>
          </w:p>
        </w:tc>
      </w:tr>
      <w:tr w:rsidR="009B5435" w14:paraId="0009D7E0" w14:textId="77777777">
        <w:trPr>
          <w:jc w:val="center"/>
        </w:trPr>
        <w:tc>
          <w:tcPr>
            <w:tcW w:w="4873" w:type="dxa"/>
            <w:vAlign w:val="center"/>
          </w:tcPr>
          <w:p w14:paraId="230E7E56" w14:textId="77777777" w:rsidR="009B5435" w:rsidRDefault="00000000">
            <w:pPr>
              <w:spacing w:after="0"/>
            </w:pPr>
            <w:r>
              <w:rPr>
                <w:sz w:val="16"/>
              </w:rPr>
              <w:t>What is innovative?</w:t>
            </w:r>
          </w:p>
        </w:tc>
        <w:tc>
          <w:tcPr>
            <w:tcW w:w="4873" w:type="dxa"/>
            <w:vAlign w:val="center"/>
          </w:tcPr>
          <w:p w14:paraId="7E117D88" w14:textId="77777777" w:rsidR="009B5435" w:rsidRDefault="00000000">
            <w:pPr>
              <w:spacing w:after="0"/>
            </w:pPr>
            <w:r>
              <w:rPr>
                <w:sz w:val="16"/>
              </w:rPr>
              <w:t>The defensible innovation is the integration of capability-aware routing, multimodal evidence arbitration, verification and auditable execution around remote-sensing specialist models. Individual components are not claimed to be unprecedented.</w:t>
            </w:r>
          </w:p>
        </w:tc>
      </w:tr>
    </w:tbl>
    <w:p w14:paraId="14AB5D75" w14:textId="77777777" w:rsidR="009B5435" w:rsidRDefault="009B5435"/>
    <w:p w14:paraId="0D2D0403" w14:textId="77777777" w:rsidR="009B5435" w:rsidRDefault="00000000">
      <w:pPr>
        <w:pStyle w:val="Heading1"/>
      </w:pPr>
      <w:r>
        <w:t>Recommended SatQuery Product</w:t>
      </w:r>
    </w:p>
    <w:p w14:paraId="12FF9232" w14:textId="77777777" w:rsidR="009B5435" w:rsidRDefault="00000000">
      <w:r>
        <w:t>SatQuery should be implemented as an evidence-first agentic remote-sensing assistant. The user supplies one image or a supported pair and asks a natural-language question. The system validates the input, interprets the task, chooses the minimum sufficient specialist workflow, generates structured evidence, checks consistency, estimates confidence and returns a grounded answer with visual evidence and a concise execution summary.</w:t>
      </w:r>
    </w:p>
    <w:p w14:paraId="719844CC" w14:textId="77777777" w:rsidR="009B5435" w:rsidRDefault="00000000">
      <w:pPr>
        <w:pStyle w:val="Heading2"/>
      </w:pPr>
      <w:r>
        <w:t>Core differentiators</w:t>
      </w:r>
    </w:p>
    <w:p w14:paraId="79943C70" w14:textId="77777777" w:rsidR="009B5435" w:rsidRDefault="00000000">
      <w:pPr>
        <w:pStyle w:val="ListBullet"/>
        <w:spacing w:after="60"/>
        <w:ind w:left="283"/>
      </w:pPr>
      <w:r>
        <w:t>Evidence-linked answers rather than text-only responses.</w:t>
      </w:r>
    </w:p>
    <w:p w14:paraId="46DF85E7" w14:textId="77777777" w:rsidR="009B5435" w:rsidRDefault="00000000">
      <w:pPr>
        <w:pStyle w:val="ListBullet"/>
        <w:spacing w:after="60"/>
        <w:ind w:left="283"/>
      </w:pPr>
      <w:r>
        <w:t>Query-adaptive use of optical and SAR rather than mandatory fusion for every query.</w:t>
      </w:r>
    </w:p>
    <w:p w14:paraId="0820DA72" w14:textId="77777777" w:rsidR="009B5435" w:rsidRDefault="00000000">
      <w:pPr>
        <w:pStyle w:val="ListBullet"/>
        <w:spacing w:after="60"/>
        <w:ind w:left="283"/>
      </w:pPr>
      <w:r>
        <w:t>Cross-modal disagreement detection and explicit uncertainty.</w:t>
      </w:r>
    </w:p>
    <w:p w14:paraId="6F68EDA0" w14:textId="77777777" w:rsidR="009B5435" w:rsidRDefault="00000000">
      <w:pPr>
        <w:pStyle w:val="ListBullet"/>
        <w:spacing w:after="60"/>
        <w:ind w:left="283"/>
      </w:pPr>
      <w:r>
        <w:t>Temporal reasoning that separates change detection from change explanation.</w:t>
      </w:r>
    </w:p>
    <w:p w14:paraId="27710564" w14:textId="77777777" w:rsidR="009B5435" w:rsidRDefault="00000000">
      <w:pPr>
        <w:pStyle w:val="ListBullet"/>
        <w:spacing w:after="60"/>
        <w:ind w:left="283"/>
      </w:pPr>
      <w:r>
        <w:t>Capability-aware agentic routing with constrained tool selection.</w:t>
      </w:r>
    </w:p>
    <w:p w14:paraId="35E8A751" w14:textId="77777777" w:rsidR="009B5435" w:rsidRDefault="00000000">
      <w:pPr>
        <w:pStyle w:val="ListBullet"/>
        <w:spacing w:after="60"/>
        <w:ind w:left="283"/>
      </w:pPr>
      <w:r>
        <w:t>Auditable execution summaries aligned with the observable execution requirement.</w:t>
      </w:r>
    </w:p>
    <w:p w14:paraId="3967AE09" w14:textId="77777777" w:rsidR="009B5435" w:rsidRDefault="00000000">
      <w:pPr>
        <w:pStyle w:val="Heading2"/>
      </w:pPr>
      <w:r>
        <w:t>Recommended implementation priority</w:t>
      </w:r>
    </w:p>
    <w:p w14:paraId="598C606A" w14:textId="77777777" w:rsidR="009B5435" w:rsidRDefault="00000000">
      <w:pPr>
        <w:spacing w:after="80"/>
        <w:ind w:left="227"/>
      </w:pPr>
      <w:r>
        <w:t>Make the mandatory single-image VQA path reliable.</w:t>
      </w:r>
    </w:p>
    <w:p w14:paraId="795BB7D8" w14:textId="77777777" w:rsidR="009B5435" w:rsidRDefault="00000000">
      <w:pPr>
        <w:spacing w:after="80"/>
        <w:ind w:left="227"/>
      </w:pPr>
      <w:r>
        <w:t>Add grounded single-image analysis so the system can point to evidence.</w:t>
      </w:r>
    </w:p>
    <w:p w14:paraId="4EA8C48A" w14:textId="77777777" w:rsidR="009B5435" w:rsidRDefault="00000000">
      <w:pPr>
        <w:spacing w:after="80"/>
        <w:ind w:left="227"/>
      </w:pPr>
      <w:r>
        <w:t>Build a dedicated temporal change path with change evidence and explanation.</w:t>
      </w:r>
    </w:p>
    <w:p w14:paraId="3B88D1B4" w14:textId="77777777" w:rsidR="009B5435" w:rsidRDefault="00000000">
      <w:pPr>
        <w:spacing w:after="80"/>
        <w:ind w:left="227"/>
      </w:pPr>
      <w:r>
        <w:t>Build a separate optical–SAR path and test whether joint reasoning improves selected questions.</w:t>
      </w:r>
    </w:p>
    <w:p w14:paraId="0AE1ABA1" w14:textId="77777777" w:rsidR="009B5435" w:rsidRDefault="00000000">
      <w:pPr>
        <w:spacing w:after="80"/>
        <w:ind w:left="227"/>
      </w:pPr>
      <w:r>
        <w:t>Add the constrained agentic controller and capability registry.</w:t>
      </w:r>
    </w:p>
    <w:p w14:paraId="0E81ECAC" w14:textId="77777777" w:rsidR="009B5435" w:rsidRDefault="00000000">
      <w:pPr>
        <w:spacing w:after="80"/>
        <w:ind w:left="227"/>
      </w:pPr>
      <w:r>
        <w:t>Add verification, uncertainty and evidence presentation.</w:t>
      </w:r>
    </w:p>
    <w:p w14:paraId="29614A44" w14:textId="77777777" w:rsidR="009B5435" w:rsidRDefault="00000000">
      <w:pPr>
        <w:spacing w:after="80"/>
        <w:ind w:left="227"/>
      </w:pPr>
      <w:r>
        <w:t>Run the entire workflow on a hidden-test simulation set and attack it with unsupported and ambiguous queries.</w:t>
      </w:r>
    </w:p>
    <w:p w14:paraId="146AECFF" w14:textId="77777777" w:rsidR="009B5435" w:rsidRDefault="00000000">
      <w:pPr>
        <w:spacing w:after="80"/>
        <w:ind w:left="227"/>
      </w:pPr>
      <w:r>
        <w:t>Only after reliability is established, add high-impact interface polish.</w:t>
      </w:r>
    </w:p>
    <w:p w14:paraId="6512A164" w14:textId="77777777" w:rsidR="009B5435" w:rsidRDefault="00000000">
      <w:pPr>
        <w:pStyle w:val="Heading1"/>
      </w:pPr>
      <w:r>
        <w:lastRenderedPageBreak/>
        <w:t>Final Evidence Audit</w:t>
      </w:r>
    </w:p>
    <w:p w14:paraId="16C6605B" w14:textId="77777777" w:rsidR="009B5435" w:rsidRDefault="00000000">
      <w:r>
        <w:t>The report was reviewed against the uploaded research prompt and the public sources retrieved for this document. The key factual claims about the SIH problem are explicitly attributed to a public third-party problem listing and are not treated as organizer-certified beyond what that source states. Research claims about datasets and models are based on the corresponding papers or official data documentation. Proposed features are labeled as system-level opportunities rather than asserted as patentable or first-ever inventions.</w:t>
      </w:r>
    </w:p>
    <w:p w14:paraId="536B5388" w14:textId="77777777" w:rsidR="009B5435" w:rsidRDefault="00000000">
      <w:r>
        <w:t>The most important unresolved item is access to the exact official SIH organizer package and any official evaluation protocol that is not publicly indexed. The team should obtain the organizer-provided problem statement, benchmark subset instructions, permitted model or API restrictions, and exact evaluation metric definitions before freezing the implementation. This is not a weakness in the architecture; it is a necessary validation step because hidden evaluation data and organizer-specific instructions can materially affect model choice and preprocessing.</w:t>
      </w:r>
    </w:p>
    <w:p w14:paraId="57706564" w14:textId="77777777" w:rsidR="009B5435" w:rsidRDefault="00000000">
      <w:pPr>
        <w:pStyle w:val="Heading1"/>
      </w:pPr>
      <w:r>
        <w:t>Selected Source Register</w:t>
      </w:r>
    </w:p>
    <w:p w14:paraId="0DEE9721" w14:textId="77777777" w:rsidR="009B5435" w:rsidRDefault="00000000">
      <w:r>
        <w:rPr>
          <w:b/>
        </w:rPr>
        <w:t>Public SIH26167 problem listing</w:t>
      </w:r>
      <w:r>
        <w:t xml:space="preserve"> — Used only for the detailed public reconstruction of the problem requirements and evaluation setup.</w:t>
      </w:r>
      <w:hyperlink r:id="rId9">
        <w:r>
          <w:rPr>
            <w:color w:val="0563C1"/>
            <w:u w:val="single"/>
          </w:rPr>
          <w:t>https://sih-fit.vercel.app/problem/SIH26167</w:t>
        </w:r>
      </w:hyperlink>
    </w:p>
    <w:p w14:paraId="152892C0" w14:textId="77777777" w:rsidR="009B5435" w:rsidRDefault="00000000">
      <w:r>
        <w:rPr>
          <w:b/>
        </w:rPr>
        <w:t>VRSBench paper and benchmark</w:t>
      </w:r>
      <w:r>
        <w:t xml:space="preserve"> — Primary research source for the VRSBench dataset and tasks.</w:t>
      </w:r>
      <w:hyperlink r:id="rId10">
        <w:r>
          <w:rPr>
            <w:color w:val="0563C1"/>
            <w:u w:val="single"/>
          </w:rPr>
          <w:t>https://arxiv.org/abs/2406.12384</w:t>
        </w:r>
      </w:hyperlink>
    </w:p>
    <w:p w14:paraId="50928759" w14:textId="77777777" w:rsidR="009B5435" w:rsidRDefault="00000000">
      <w:r>
        <w:rPr>
          <w:b/>
        </w:rPr>
        <w:t>VRSBench NeurIPS paper</w:t>
      </w:r>
      <w:r>
        <w:t xml:space="preserve"> — Benchmark publication and dataset limitations.</w:t>
      </w:r>
      <w:hyperlink r:id="rId11">
        <w:r>
          <w:rPr>
            <w:color w:val="0563C1"/>
            <w:u w:val="single"/>
          </w:rPr>
          <w:t>https://proceedings.neurips.cc/paper_files/paper/2024/file/05b7f821234f66b78f99e7803fffa78a-Paper-Datasets_and_Benchmarks_Track.pdf</w:t>
        </w:r>
      </w:hyperlink>
    </w:p>
    <w:p w14:paraId="205F32A2" w14:textId="77777777" w:rsidR="009B5435" w:rsidRDefault="00000000">
      <w:r>
        <w:rPr>
          <w:b/>
        </w:rPr>
        <w:t>RSVQA paper</w:t>
      </w:r>
      <w:r>
        <w:t xml:space="preserve"> — Foundational remote-sensing VQA task and dataset work.</w:t>
      </w:r>
      <w:hyperlink r:id="rId12">
        <w:r>
          <w:rPr>
            <w:color w:val="0563C1"/>
            <w:u w:val="single"/>
          </w:rPr>
          <w:t>https://arxiv.org/abs/2003.07333</w:t>
        </w:r>
      </w:hyperlink>
    </w:p>
    <w:p w14:paraId="7F262765" w14:textId="77777777" w:rsidR="009B5435" w:rsidRDefault="00000000">
      <w:r>
        <w:rPr>
          <w:b/>
        </w:rPr>
        <w:t>RSVQA meets BigEarthNet</w:t>
      </w:r>
      <w:r>
        <w:t xml:space="preserve"> — Large-scale BigEarthNet-derived VQA dataset source.</w:t>
      </w:r>
      <w:hyperlink r:id="rId13">
        <w:r>
          <w:rPr>
            <w:color w:val="0563C1"/>
            <w:u w:val="single"/>
          </w:rPr>
          <w:t>https://rsvqa.sylvainlobry.com/IGARSS21.pdf</w:t>
        </w:r>
      </w:hyperlink>
    </w:p>
    <w:p w14:paraId="75C256E2" w14:textId="77777777" w:rsidR="009B5435" w:rsidRDefault="00000000">
      <w:r>
        <w:rPr>
          <w:b/>
        </w:rPr>
        <w:t>GeoChat paper</w:t>
      </w:r>
      <w:r>
        <w:t xml:space="preserve"> — Remote-sensing VLM, dialogue and grounding.</w:t>
      </w:r>
      <w:hyperlink r:id="rId14">
        <w:r>
          <w:rPr>
            <w:color w:val="0563C1"/>
            <w:u w:val="single"/>
          </w:rPr>
          <w:t>https://openaccess.thecvf.com/content/CVPR2024/papers/Kuckreja_GeoChat_Grounded_Large_Vision-Language_Model_for_Remote_Sensing_CVPR_2024_paper.pdf</w:t>
        </w:r>
      </w:hyperlink>
    </w:p>
    <w:p w14:paraId="3B8C0C6B" w14:textId="77777777" w:rsidR="009B5435" w:rsidRDefault="00000000">
      <w:r>
        <w:rPr>
          <w:b/>
        </w:rPr>
        <w:t>EarthGPT paper</w:t>
      </w:r>
      <w:r>
        <w:t xml:space="preserve"> — Multi-sensor remote-sensing multimodal language model.</w:t>
      </w:r>
      <w:hyperlink r:id="rId15">
        <w:r>
          <w:rPr>
            <w:color w:val="0563C1"/>
            <w:u w:val="single"/>
          </w:rPr>
          <w:t>https://arxiv.org/abs/2401.16822</w:t>
        </w:r>
      </w:hyperlink>
    </w:p>
    <w:p w14:paraId="06C54981" w14:textId="77777777" w:rsidR="009B5435" w:rsidRDefault="00000000">
      <w:r>
        <w:rPr>
          <w:b/>
        </w:rPr>
        <w:t>RemoteCLIP paper</w:t>
      </w:r>
      <w:r>
        <w:t xml:space="preserve"> — Remote-sensing vision-language foundation model.</w:t>
      </w:r>
      <w:hyperlink r:id="rId16">
        <w:r>
          <w:rPr>
            <w:color w:val="0563C1"/>
            <w:u w:val="single"/>
          </w:rPr>
          <w:t>https://arxiv.org/abs/2306.11029</w:t>
        </w:r>
      </w:hyperlink>
    </w:p>
    <w:p w14:paraId="59A18B2A" w14:textId="77777777" w:rsidR="009B5435" w:rsidRDefault="00000000">
      <w:r>
        <w:rPr>
          <w:b/>
        </w:rPr>
        <w:t>RS5M and GeoRSCLIP</w:t>
      </w:r>
      <w:r>
        <w:t xml:space="preserve"> — Remote-sensing image-text data and vision-language representation learning.</w:t>
      </w:r>
      <w:hyperlink r:id="rId17">
        <w:r>
          <w:rPr>
            <w:color w:val="0563C1"/>
            <w:u w:val="single"/>
          </w:rPr>
          <w:t>https://arxiv.org/abs/2306.11300</w:t>
        </w:r>
      </w:hyperlink>
    </w:p>
    <w:p w14:paraId="2564B808" w14:textId="77777777" w:rsidR="009B5435" w:rsidRDefault="00000000">
      <w:r>
        <w:rPr>
          <w:b/>
        </w:rPr>
        <w:t>BigEarthNet v2.0 documentation</w:t>
      </w:r>
      <w:r>
        <w:t xml:space="preserve"> — Paired Sentinel-1 and Sentinel-2 dataset documentation.</w:t>
      </w:r>
      <w:hyperlink r:id="rId18">
        <w:r>
          <w:rPr>
            <w:color w:val="0563C1"/>
            <w:u w:val="single"/>
          </w:rPr>
          <w:t>https://bigearth.net/static/documents/Description_BigEarthNet_v2.pdf</w:t>
        </w:r>
      </w:hyperlink>
    </w:p>
    <w:p w14:paraId="23F4C25B" w14:textId="77777777" w:rsidR="009B5435" w:rsidRDefault="00000000">
      <w:r>
        <w:rPr>
          <w:b/>
        </w:rPr>
        <w:t>Prithvi-EO-2.0 technical report</w:t>
      </w:r>
      <w:r>
        <w:t xml:space="preserve"> — Earth-observation foundation model and temporal representation context.</w:t>
      </w:r>
      <w:hyperlink r:id="rId19">
        <w:r>
          <w:rPr>
            <w:color w:val="0563C1"/>
            <w:u w:val="single"/>
          </w:rPr>
          <w:t>https://ntrs.nasa.gov/api/citations/20240015391/downloads/RSE%20Prithvi%20Global.pdf</w:t>
        </w:r>
      </w:hyperlink>
    </w:p>
    <w:p w14:paraId="7FD0E06A" w14:textId="77777777" w:rsidR="009B5435" w:rsidRDefault="00000000">
      <w:r>
        <w:rPr>
          <w:b/>
        </w:rPr>
        <w:t>Copernicus Data Space</w:t>
      </w:r>
      <w:r>
        <w:t xml:space="preserve"> — Current access context for Sentinel data.</w:t>
      </w:r>
      <w:hyperlink r:id="rId20">
        <w:r>
          <w:rPr>
            <w:color w:val="0563C1"/>
            <w:u w:val="single"/>
          </w:rPr>
          <w:t>https://dataspace.copernicus.eu/about</w:t>
        </w:r>
      </w:hyperlink>
    </w:p>
    <w:p w14:paraId="0B3E4E07" w14:textId="77777777" w:rsidR="009B5435" w:rsidRDefault="00000000">
      <w:r>
        <w:rPr>
          <w:b/>
        </w:rPr>
        <w:lastRenderedPageBreak/>
        <w:t>Sentinel-1 mission data</w:t>
      </w:r>
      <w:r>
        <w:t xml:space="preserve"> — SAR capability and data access context.</w:t>
      </w:r>
      <w:hyperlink r:id="rId21">
        <w:r>
          <w:rPr>
            <w:color w:val="0563C1"/>
            <w:u w:val="single"/>
          </w:rPr>
          <w:t>https://dataspace.copernicus.eu/data-collections/copernicus-sentinel-missions/sentinel-1</w:t>
        </w:r>
      </w:hyperlink>
    </w:p>
    <w:p w14:paraId="70441E68" w14:textId="77777777" w:rsidR="009B5435" w:rsidRDefault="00000000">
      <w:r>
        <w:rPr>
          <w:b/>
        </w:rPr>
        <w:t>ISRO RISAT-1</w:t>
      </w:r>
      <w:r>
        <w:t xml:space="preserve"> — Official ISRO description of C-band SAR and day-night/cloud-penetrating capability.</w:t>
      </w:r>
      <w:hyperlink r:id="rId22">
        <w:r>
          <w:rPr>
            <w:color w:val="0563C1"/>
            <w:u w:val="single"/>
          </w:rPr>
          <w:t>https://www.isro.gov.in/RISAT_1.html</w:t>
        </w:r>
      </w:hyperlink>
    </w:p>
    <w:p w14:paraId="004F8102" w14:textId="77777777" w:rsidR="009B5435" w:rsidRDefault="00000000">
      <w:r>
        <w:rPr>
          <w:b/>
        </w:rPr>
        <w:t>ISRO Cartosat-2 series</w:t>
      </w:r>
      <w:r>
        <w:t xml:space="preserve"> — Official ISRO description of Cartosat-2 series applications and imaging.</w:t>
      </w:r>
      <w:hyperlink r:id="rId23">
        <w:r>
          <w:rPr>
            <w:color w:val="0563C1"/>
            <w:u w:val="single"/>
          </w:rPr>
          <w:t>https://www.isro.gov.in/CARTOSAT_2_PSLVC34.html</w:t>
        </w:r>
      </w:hyperlink>
    </w:p>
    <w:p w14:paraId="0514DBB5" w14:textId="77777777" w:rsidR="009B5435" w:rsidRDefault="00000000">
      <w:r>
        <w:rPr>
          <w:b/>
        </w:rPr>
        <w:t>ISRO Cartosat-2A</w:t>
      </w:r>
      <w:r>
        <w:t xml:space="preserve"> — Official ISRO mission context for high-resolution panchromatic imagery.</w:t>
      </w:r>
      <w:hyperlink r:id="rId24">
        <w:r>
          <w:rPr>
            <w:color w:val="0563C1"/>
            <w:u w:val="single"/>
          </w:rPr>
          <w:t>https://www.isro.gov.in/ISRO_EN/CARTOSAT_2A.html</w:t>
        </w:r>
      </w:hyperlink>
    </w:p>
    <w:p w14:paraId="0C3D6827" w14:textId="77777777" w:rsidR="009B5435" w:rsidRDefault="00000000">
      <w:r>
        <w:rPr>
          <w:b/>
        </w:rPr>
        <w:t>RISAT scientific report</w:t>
      </w:r>
      <w:r>
        <w:t xml:space="preserve"> — ISRO/SAC technical context for RISAT SAR modes and resolution.</w:t>
      </w:r>
      <w:hyperlink r:id="rId25">
        <w:r>
          <w:rPr>
            <w:color w:val="0563C1"/>
            <w:u w:val="single"/>
          </w:rPr>
          <w:t>https://www.mosdac.gov.in/filebrowser/download/14</w:t>
        </w:r>
      </w:hyperlink>
    </w:p>
    <w:p w14:paraId="2AD16743" w14:textId="77777777" w:rsidR="009B5435" w:rsidRDefault="00000000">
      <w:r>
        <w:rPr>
          <w:b/>
        </w:rPr>
        <w:t>CDVQA research</w:t>
      </w:r>
      <w:r>
        <w:t xml:space="preserve"> — Change-detection visual question answering.</w:t>
      </w:r>
      <w:hyperlink r:id="rId26">
        <w:r>
          <w:rPr>
            <w:color w:val="0563C1"/>
            <w:u w:val="single"/>
          </w:rPr>
          <w:t>https://mediatum.ub.tum.de/doc/1776138/document.pdf</w:t>
        </w:r>
      </w:hyperlink>
    </w:p>
    <w:p w14:paraId="3E7346C0" w14:textId="77777777" w:rsidR="009B5435" w:rsidRDefault="00000000">
      <w:r>
        <w:rPr>
          <w:b/>
        </w:rPr>
        <w:t>LEVIR-CC change captioning dataset</w:t>
      </w:r>
      <w:r>
        <w:t xml:space="preserve"> — Bi-temporal change captioning and dataset context.</w:t>
      </w:r>
      <w:hyperlink r:id="rId27">
        <w:r>
          <w:rPr>
            <w:color w:val="0563C1"/>
            <w:u w:val="single"/>
          </w:rPr>
          <w:t>https://levir.buaa.edu.cn/static/pdfs/2022_chenyang_liu_remote_dataset.pdf</w:t>
        </w:r>
      </w:hyperlink>
    </w:p>
    <w:p w14:paraId="676E07EE" w14:textId="77777777" w:rsidR="009B5435" w:rsidRDefault="00000000">
      <w:r>
        <w:rPr>
          <w:b/>
        </w:rPr>
        <w:t>Optical–SAR change detection research</w:t>
      </w:r>
      <w:r>
        <w:t xml:space="preserve"> — Heterogeneous optical–SAR change detection.</w:t>
      </w:r>
      <w:hyperlink r:id="rId28">
        <w:r>
          <w:rPr>
            <w:color w:val="0563C1"/>
            <w:u w:val="single"/>
          </w:rPr>
          <w:t>https://arxiv.org/abs/2004.03830</w:t>
        </w:r>
      </w:hyperlink>
    </w:p>
    <w:p w14:paraId="03332542" w14:textId="77777777" w:rsidR="009B5435" w:rsidRDefault="00000000">
      <w:r>
        <w:rPr>
          <w:b/>
        </w:rPr>
        <w:t>Recent multimodal change detection research</w:t>
      </w:r>
      <w:r>
        <w:t xml:space="preserve"> — Current optical–SAR multimodal change detection research context.</w:t>
      </w:r>
      <w:hyperlink r:id="rId29">
        <w:r>
          <w:rPr>
            <w:color w:val="0563C1"/>
            <w:u w:val="single"/>
          </w:rPr>
          <w:t>https://arxiv.org/abs/2604.05527</w:t>
        </w:r>
      </w:hyperlink>
    </w:p>
    <w:p w14:paraId="5C2908C0" w14:textId="77777777" w:rsidR="009B5435" w:rsidRDefault="00000000">
      <w:r>
        <w:rPr>
          <w:b/>
        </w:rPr>
        <w:t>Recent vision-language reasoning benchmark</w:t>
      </w:r>
      <w:r>
        <w:t xml:space="preserve"> — Evidence that remote-sensing benchmarks are moving beyond perception toward complex reasoning.</w:t>
      </w:r>
      <w:hyperlink r:id="rId30">
        <w:r>
          <w:rPr>
            <w:color w:val="0563C1"/>
            <w:u w:val="single"/>
          </w:rPr>
          <w:t>https://arxiv.org/abs/2602.07045</w:t>
        </w:r>
      </w:hyperlink>
    </w:p>
    <w:sectPr w:rsidR="009B5435" w:rsidSect="00034616">
      <w:footerReference w:type="default" r:id="rId3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308BC" w14:textId="77777777" w:rsidR="00B9050C" w:rsidRDefault="00B9050C">
      <w:pPr>
        <w:spacing w:after="0" w:line="240" w:lineRule="auto"/>
      </w:pPr>
      <w:r>
        <w:separator/>
      </w:r>
    </w:p>
  </w:endnote>
  <w:endnote w:type="continuationSeparator" w:id="0">
    <w:p w14:paraId="36D1897E" w14:textId="77777777" w:rsidR="00B9050C" w:rsidRDefault="00B90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A265" w14:textId="77777777" w:rsidR="009B5435" w:rsidRDefault="00000000">
    <w:pPr>
      <w:pStyle w:val="Footer"/>
      <w:jc w:val="center"/>
    </w:pPr>
    <w:r>
      <w:rPr>
        <w:color w:val="646464"/>
        <w:sz w:val="16"/>
      </w:rPr>
      <w:t>SatQuery AI Technical Strategy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AFFC1" w14:textId="77777777" w:rsidR="00B9050C" w:rsidRDefault="00B9050C">
      <w:pPr>
        <w:spacing w:after="0" w:line="240" w:lineRule="auto"/>
      </w:pPr>
      <w:r>
        <w:separator/>
      </w:r>
    </w:p>
  </w:footnote>
  <w:footnote w:type="continuationSeparator" w:id="0">
    <w:p w14:paraId="3A60BE7D" w14:textId="77777777" w:rsidR="00B9050C" w:rsidRDefault="00B90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156086">
    <w:abstractNumId w:val="8"/>
  </w:num>
  <w:num w:numId="2" w16cid:durableId="1866169504">
    <w:abstractNumId w:val="6"/>
  </w:num>
  <w:num w:numId="3" w16cid:durableId="1363440446">
    <w:abstractNumId w:val="5"/>
  </w:num>
  <w:num w:numId="4" w16cid:durableId="1704942765">
    <w:abstractNumId w:val="4"/>
  </w:num>
  <w:num w:numId="5" w16cid:durableId="1937202404">
    <w:abstractNumId w:val="7"/>
  </w:num>
  <w:num w:numId="6" w16cid:durableId="2070611090">
    <w:abstractNumId w:val="3"/>
  </w:num>
  <w:num w:numId="7" w16cid:durableId="1418019653">
    <w:abstractNumId w:val="2"/>
  </w:num>
  <w:num w:numId="8" w16cid:durableId="110050930">
    <w:abstractNumId w:val="1"/>
  </w:num>
  <w:num w:numId="9" w16cid:durableId="119977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549"/>
    <w:rsid w:val="009B5435"/>
    <w:rsid w:val="00AA1D8D"/>
    <w:rsid w:val="00B42914"/>
    <w:rsid w:val="00B47730"/>
    <w:rsid w:val="00B905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5A9C4"/>
  <w14:defaultImageDpi w14:val="300"/>
  <w15:docId w15:val="{5DE20D79-A30D-4FCB-865A-92CE87CBF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80"/>
    </w:pPr>
    <w:rPr>
      <w:rFonts w:ascii="Aptos" w:hAnsi="Aptos"/>
      <w:color w:val="505050"/>
      <w:sz w:val="24"/>
    </w:rPr>
  </w:style>
  <w:style w:type="paragraph" w:customStyle="1" w:styleId="SmallNote">
    <w:name w:val="Small Note"/>
    <w:rPr>
      <w:rFonts w:ascii="Aptos" w:hAnsi="Aptos"/>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svqa.sylvainlobry.com/IGARSS21.pdf" TargetMode="External"/><Relationship Id="rId18" Type="http://schemas.openxmlformats.org/officeDocument/2006/relationships/hyperlink" Target="https://bigearth.net/static/documents/Description_BigEarthNet_v2.pdf" TargetMode="External"/><Relationship Id="rId26" Type="http://schemas.openxmlformats.org/officeDocument/2006/relationships/hyperlink" Target="https://mediatum.ub.tum.de/doc/1776138/document.pdf" TargetMode="External"/><Relationship Id="rId3" Type="http://schemas.openxmlformats.org/officeDocument/2006/relationships/styles" Target="styles.xml"/><Relationship Id="rId21" Type="http://schemas.openxmlformats.org/officeDocument/2006/relationships/hyperlink" Target="https://dataspace.copernicus.eu/data-collections/copernicus-sentinel-missions/sentinel-1" TargetMode="External"/><Relationship Id="rId7" Type="http://schemas.openxmlformats.org/officeDocument/2006/relationships/endnotes" Target="endnotes.xml"/><Relationship Id="rId12" Type="http://schemas.openxmlformats.org/officeDocument/2006/relationships/hyperlink" Target="https://arxiv.org/abs/2003.07333" TargetMode="External"/><Relationship Id="rId17" Type="http://schemas.openxmlformats.org/officeDocument/2006/relationships/hyperlink" Target="https://arxiv.org/abs/2306.11300" TargetMode="External"/><Relationship Id="rId25" Type="http://schemas.openxmlformats.org/officeDocument/2006/relationships/hyperlink" Target="https://www.mosdac.gov.in/filebrowser/download/1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306.11029" TargetMode="External"/><Relationship Id="rId20" Type="http://schemas.openxmlformats.org/officeDocument/2006/relationships/hyperlink" Target="https://dataspace.copernicus.eu/about" TargetMode="External"/><Relationship Id="rId29" Type="http://schemas.openxmlformats.org/officeDocument/2006/relationships/hyperlink" Target="https://arxiv.org/abs/2604.055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neurips.cc/paper_files/paper/2024/file/05b7f821234f66b78f99e7803fffa78a-Paper-Datasets_and_Benchmarks_Track.pdf" TargetMode="External"/><Relationship Id="rId24" Type="http://schemas.openxmlformats.org/officeDocument/2006/relationships/hyperlink" Target="https://www.isro.gov.in/ISRO_EN/CARTOSAT_2A.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2401.16822" TargetMode="External"/><Relationship Id="rId23" Type="http://schemas.openxmlformats.org/officeDocument/2006/relationships/hyperlink" Target="https://www.isro.gov.in/CARTOSAT_2_PSLVC34.html" TargetMode="External"/><Relationship Id="rId28" Type="http://schemas.openxmlformats.org/officeDocument/2006/relationships/hyperlink" Target="https://arxiv.org/abs/2004.03830" TargetMode="External"/><Relationship Id="rId10" Type="http://schemas.openxmlformats.org/officeDocument/2006/relationships/hyperlink" Target="https://arxiv.org/abs/2406.12384" TargetMode="External"/><Relationship Id="rId19" Type="http://schemas.openxmlformats.org/officeDocument/2006/relationships/hyperlink" Target="https://ntrs.nasa.gov/api/citations/20240015391/downloads/RSE%20Prithvi%20Global.pdf"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ih-fit.vercel.app/problem/SIH26167" TargetMode="External"/><Relationship Id="rId14" Type="http://schemas.openxmlformats.org/officeDocument/2006/relationships/hyperlink" Target="https://openaccess.thecvf.com/content/CVPR2024/papers/Kuckreja_GeoChat_Grounded_Large_Vision-Language_Model_for_Remote_Sensing_CVPR_2024_paper.pdf" TargetMode="External"/><Relationship Id="rId22" Type="http://schemas.openxmlformats.org/officeDocument/2006/relationships/hyperlink" Target="https://www.isro.gov.in/RISAT_1.html" TargetMode="External"/><Relationship Id="rId27" Type="http://schemas.openxmlformats.org/officeDocument/2006/relationships/hyperlink" Target="https://levir.buaa.edu.cn/static/pdfs/2022_chenyang_liu_remote_dataset.pdf" TargetMode="External"/><Relationship Id="rId30" Type="http://schemas.openxmlformats.org/officeDocument/2006/relationships/hyperlink" Target="https://arxiv.org/abs/2602.07045"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6531</Words>
  <Characters>37228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kishormpatil@outlook.com</cp:lastModifiedBy>
  <cp:revision>2</cp:revision>
  <dcterms:created xsi:type="dcterms:W3CDTF">2013-12-23T23:15:00Z</dcterms:created>
  <dcterms:modified xsi:type="dcterms:W3CDTF">2026-08-24T17:13:00Z</dcterms:modified>
  <cp:category/>
</cp:coreProperties>
</file>