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SatQuery AI – Deep Feature Implementation</w:t>
        <w:br/>
        <w:t>Problem &amp; Risk Analysis</w:t>
      </w:r>
    </w:p>
    <w:p>
      <w:pPr>
        <w:jc w:val="center"/>
      </w:pPr>
      <w:r>
        <w:rPr>
          <w:i/>
          <w:sz w:val="22"/>
        </w:rPr>
        <w:t>Research document for extending an existing SIH 2026 SatQuery AI project</w:t>
      </w:r>
    </w:p>
    <w:p>
      <w:r>
        <w:t>Purpose: This document identifies the practical, technical, data, AI/ML, UX, security, performance, and integration problems that can arise when adding a new feature to an already working SatQuery AI system. The goal is to help the team choose a feature that is innovative but also feasible, reliable, testable, and compatible with the existing architecture.</w:t>
      </w:r>
    </w:p>
    <w:p>
      <w:pPr>
        <w:pStyle w:val="Heading1"/>
      </w:pPr>
      <w:r>
        <w:t>1. Existing Problem Context</w:t>
      </w:r>
    </w:p>
    <w:p>
      <w:r>
        <w:t>SatQuery AI is defined as an interactive, agentic vision-language assistant for analysing single and paired remote-sensing imagery through natural-language queries. The SIH problem statement requires support for single optical/multispectral or SAR images, co-registered optical–SAR pairs, and bi-temporal imagery. It also expects single-image VQA, another single-image task, change analysis, optical–SAR joint analysis, and agentic selection of specialist models/tools through an interactive GUI or web application.</w:t>
      </w:r>
    </w:p>
    <w:p>
      <w:r>
        <w:t>The key engineering challenge is therefore not simply 'adding one more button'. A new feature can affect the complete pipeline: user query → input validation → image preprocessing → agent/model selection → inference → result validation → evidence/grounding → UI rendering → logging and evaluation.</w:t>
      </w:r>
    </w:p>
    <w:p>
      <w:pPr>
        <w:pStyle w:val="Heading1"/>
      </w:pPr>
      <w:r>
        <w:t>2. Core Assumption for Feature Addition</w:t>
      </w:r>
    </w:p>
    <w:p>
      <w:r>
        <w:t>For this analysis, the proposed new feature is treated generically as a new remote-sensing analysis capability added to the existing SatQuery AI system—for example, a new detection, measurement, geospatial query, temporal analysis, or region-grounding capability. The analysis is intentionally feature-agnostic so it can be reused for whichever final feature the team selects.</w:t>
      </w:r>
    </w:p>
    <w:p>
      <w:pPr>
        <w:pStyle w:val="Heading1"/>
      </w:pPr>
      <w:r>
        <w:t>3. End-to-End Areas Where Problems Can Arise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rFonts w:ascii="Arial" w:hAnsi="Arial"/>
                <w:sz w:val="17"/>
              </w:rPr>
              <w:t>Area</w:t>
            </w:r>
          </w:p>
        </w:tc>
        <w:tc>
          <w:tcPr>
            <w:tcW w:type="dxa" w:w="2556"/>
          </w:tcPr>
          <w:p>
            <w:r>
              <w:rPr>
                <w:rFonts w:ascii="Arial" w:hAnsi="Arial"/>
                <w:sz w:val="17"/>
              </w:rPr>
              <w:t>Problem likely to arise</w:t>
            </w:r>
          </w:p>
        </w:tc>
        <w:tc>
          <w:tcPr>
            <w:tcW w:type="dxa" w:w="2556"/>
          </w:tcPr>
          <w:p>
            <w:r>
              <w:rPr>
                <w:rFonts w:ascii="Arial" w:hAnsi="Arial"/>
                <w:sz w:val="17"/>
              </w:rPr>
              <w:t>Risk</w:t>
            </w:r>
          </w:p>
        </w:tc>
        <w:tc>
          <w:tcPr>
            <w:tcW w:type="dxa" w:w="2556"/>
          </w:tcPr>
          <w:p>
            <w:r>
              <w:rPr>
                <w:rFonts w:ascii="Arial" w:hAnsi="Arial"/>
                <w:sz w:val="17"/>
              </w:rPr>
              <w:t>Recommended mitigation</w:t>
            </w:r>
          </w:p>
        </w:tc>
      </w:tr>
      <w:tr>
        <w:tc>
          <w:tcPr>
            <w:tcW w:type="dxa" w:w="2556"/>
            <w:vAlign w:val="top"/>
          </w:tcPr>
          <w:p>
            <w:r>
              <w:rPr>
                <w:rFonts w:ascii="Arial" w:hAnsi="Arial"/>
                <w:sz w:val="17"/>
              </w:rPr>
              <w:t>A. Existing Architecture Integration</w:t>
            </w:r>
          </w:p>
        </w:tc>
        <w:tc>
          <w:tcPr>
            <w:tcW w:type="dxa" w:w="2556"/>
            <w:vAlign w:val="top"/>
          </w:tcPr>
          <w:p>
            <w:r>
              <w:rPr>
                <w:rFonts w:ascii="Arial" w:hAnsi="Arial"/>
                <w:sz w:val="17"/>
              </w:rPr>
              <w:t>The new module may not match the current API contracts, data structures, model interfaces, or agent workflow.</w:t>
            </w:r>
          </w:p>
        </w:tc>
        <w:tc>
          <w:tcPr>
            <w:tcW w:type="dxa" w:w="2556"/>
            <w:vAlign w:val="top"/>
          </w:tcPr>
          <w:p>
            <w:r>
              <w:rPr>
                <w:rFonts w:ascii="Arial" w:hAnsi="Arial"/>
                <w:sz w:val="17"/>
              </w:rPr>
              <w:t>High</w:t>
            </w:r>
          </w:p>
        </w:tc>
        <w:tc>
          <w:tcPr>
            <w:tcW w:type="dxa" w:w="2556"/>
            <w:vAlign w:val="top"/>
          </w:tcPr>
          <w:p>
            <w:r>
              <w:rPr>
                <w:rFonts w:ascii="Arial" w:hAnsi="Arial"/>
                <w:sz w:val="17"/>
              </w:rPr>
              <w:t>Define a standard Feature/Tool interface; isolate the feature behind an API/service boundary; add integration tests before merging.</w:t>
            </w:r>
          </w:p>
        </w:tc>
      </w:tr>
      <w:tr>
        <w:tc>
          <w:tcPr>
            <w:tcW w:type="dxa" w:w="2556"/>
            <w:vAlign w:val="top"/>
          </w:tcPr>
          <w:p>
            <w:r>
              <w:rPr>
                <w:rFonts w:ascii="Arial" w:hAnsi="Arial"/>
                <w:sz w:val="17"/>
              </w:rPr>
              <w:t>B. Input Format Compatibility</w:t>
            </w:r>
          </w:p>
        </w:tc>
        <w:tc>
          <w:tcPr>
            <w:tcW w:type="dxa" w:w="2556"/>
            <w:vAlign w:val="top"/>
          </w:tcPr>
          <w:p>
            <w:r>
              <w:rPr>
                <w:rFonts w:ascii="Arial" w:hAnsi="Arial"/>
                <w:sz w:val="17"/>
              </w:rPr>
              <w:t>GeoTIFF/TIFF, multispectral, SAR, RGB and paired images may have different bands, metadata, resolutions, projections and dimensions.</w:t>
            </w:r>
          </w:p>
        </w:tc>
        <w:tc>
          <w:tcPr>
            <w:tcW w:type="dxa" w:w="2556"/>
            <w:vAlign w:val="top"/>
          </w:tcPr>
          <w:p>
            <w:r>
              <w:rPr>
                <w:rFonts w:ascii="Arial" w:hAnsi="Arial"/>
                <w:sz w:val="17"/>
              </w:rPr>
              <w:t>Critical</w:t>
            </w:r>
          </w:p>
        </w:tc>
        <w:tc>
          <w:tcPr>
            <w:tcW w:type="dxa" w:w="2556"/>
            <w:vAlign w:val="top"/>
          </w:tcPr>
          <w:p>
            <w:r>
              <w:rPr>
                <w:rFonts w:ascii="Arial" w:hAnsi="Arial"/>
                <w:sz w:val="17"/>
              </w:rPr>
              <w:t>Create a common input-validation and preprocessing layer with explicit supported formats and clear error messages.</w:t>
            </w:r>
          </w:p>
        </w:tc>
      </w:tr>
      <w:tr>
        <w:tc>
          <w:tcPr>
            <w:tcW w:type="dxa" w:w="2556"/>
            <w:vAlign w:val="top"/>
          </w:tcPr>
          <w:p>
            <w:r>
              <w:rPr>
                <w:rFonts w:ascii="Arial" w:hAnsi="Arial"/>
                <w:sz w:val="17"/>
              </w:rPr>
              <w:t>C. Coordinate Reference Systems</w:t>
            </w:r>
          </w:p>
        </w:tc>
        <w:tc>
          <w:tcPr>
            <w:tcW w:type="dxa" w:w="2556"/>
            <w:vAlign w:val="top"/>
          </w:tcPr>
          <w:p>
            <w:r>
              <w:rPr>
                <w:rFonts w:ascii="Arial" w:hAnsi="Arial"/>
                <w:sz w:val="17"/>
              </w:rPr>
              <w:t>Two images can look aligned but use different CRS, affine transforms, pixel sizes or geographic extents.</w:t>
            </w:r>
          </w:p>
        </w:tc>
        <w:tc>
          <w:tcPr>
            <w:tcW w:type="dxa" w:w="2556"/>
            <w:vAlign w:val="top"/>
          </w:tcPr>
          <w:p>
            <w:r>
              <w:rPr>
                <w:rFonts w:ascii="Arial" w:hAnsi="Arial"/>
                <w:sz w:val="17"/>
              </w:rPr>
              <w:t>Critical</w:t>
            </w:r>
          </w:p>
        </w:tc>
        <w:tc>
          <w:tcPr>
            <w:tcW w:type="dxa" w:w="2556"/>
            <w:vAlign w:val="top"/>
          </w:tcPr>
          <w:p>
            <w:r>
              <w:rPr>
                <w:rFonts w:ascii="Arial" w:hAnsi="Arial"/>
                <w:sz w:val="17"/>
              </w:rPr>
              <w:t>Validate CRS, transform, bounds and resolution; reproject/resample only when scientifically justified; preserve geospatial metadata.</w:t>
            </w:r>
          </w:p>
        </w:tc>
      </w:tr>
      <w:tr>
        <w:tc>
          <w:tcPr>
            <w:tcW w:type="dxa" w:w="2556"/>
            <w:vAlign w:val="top"/>
          </w:tcPr>
          <w:p>
            <w:r>
              <w:rPr>
                <w:rFonts w:ascii="Arial" w:hAnsi="Arial"/>
                <w:sz w:val="17"/>
              </w:rPr>
              <w:t>D. Optical–SAR Fusion</w:t>
            </w:r>
          </w:p>
        </w:tc>
        <w:tc>
          <w:tcPr>
            <w:tcW w:type="dxa" w:w="2556"/>
            <w:vAlign w:val="top"/>
          </w:tcPr>
          <w:p>
            <w:r>
              <w:rPr>
                <w:rFonts w:ascii="Arial" w:hAnsi="Arial"/>
                <w:sz w:val="17"/>
              </w:rPr>
              <w:t>Optical and SAR data have very different physical characteristics. A model trained on one modality may fail on another.</w:t>
            </w:r>
          </w:p>
        </w:tc>
        <w:tc>
          <w:tcPr>
            <w:tcW w:type="dxa" w:w="2556"/>
            <w:vAlign w:val="top"/>
          </w:tcPr>
          <w:p>
            <w:r>
              <w:rPr>
                <w:rFonts w:ascii="Arial" w:hAnsi="Arial"/>
                <w:sz w:val="17"/>
              </w:rPr>
              <w:t>Critical</w:t>
            </w:r>
          </w:p>
        </w:tc>
        <w:tc>
          <w:tcPr>
            <w:tcW w:type="dxa" w:w="2556"/>
            <w:vAlign w:val="top"/>
          </w:tcPr>
          <w:p>
            <w:r>
              <w:rPr>
                <w:rFonts w:ascii="Arial" w:hAnsi="Arial"/>
                <w:sz w:val="17"/>
              </w:rPr>
              <w:t>Use modality-aware preprocessing and a specialist fusion model; test on cross-modal cases instead of assuming ordinary RGB compatibility.</w:t>
            </w:r>
          </w:p>
        </w:tc>
      </w:tr>
      <w:tr>
        <w:tc>
          <w:tcPr>
            <w:tcW w:type="dxa" w:w="2556"/>
            <w:vAlign w:val="top"/>
          </w:tcPr>
          <w:p>
            <w:r>
              <w:rPr>
                <w:rFonts w:ascii="Arial" w:hAnsi="Arial"/>
                <w:sz w:val="17"/>
              </w:rPr>
              <w:t>E. Multitemporal Alignment</w:t>
            </w:r>
          </w:p>
        </w:tc>
        <w:tc>
          <w:tcPr>
            <w:tcW w:type="dxa" w:w="2556"/>
            <w:vAlign w:val="top"/>
          </w:tcPr>
          <w:p>
            <w:r>
              <w:rPr>
                <w:rFonts w:ascii="Arial" w:hAnsi="Arial"/>
                <w:sz w:val="17"/>
              </w:rPr>
              <w:t>Images captured at different times may have different footprints, cloud cover, viewing geometry, resolution or registration errors.</w:t>
            </w:r>
          </w:p>
        </w:tc>
        <w:tc>
          <w:tcPr>
            <w:tcW w:type="dxa" w:w="2556"/>
            <w:vAlign w:val="top"/>
          </w:tcPr>
          <w:p>
            <w:r>
              <w:rPr>
                <w:rFonts w:ascii="Arial" w:hAnsi="Arial"/>
                <w:sz w:val="17"/>
              </w:rPr>
              <w:t>Critical</w:t>
            </w:r>
          </w:p>
        </w:tc>
        <w:tc>
          <w:tcPr>
            <w:tcW w:type="dxa" w:w="2556"/>
            <w:vAlign w:val="top"/>
          </w:tcPr>
          <w:p>
            <w:r>
              <w:rPr>
                <w:rFonts w:ascii="Arial" w:hAnsi="Arial"/>
                <w:sz w:val="17"/>
              </w:rPr>
              <w:t>Perform co-registration/quality checks and reject or flag poorly aligned pairs before change analysis.</w:t>
            </w:r>
          </w:p>
        </w:tc>
      </w:tr>
      <w:tr>
        <w:tc>
          <w:tcPr>
            <w:tcW w:type="dxa" w:w="2556"/>
            <w:vAlign w:val="top"/>
          </w:tcPr>
          <w:p>
            <w:r>
              <w:rPr>
                <w:rFonts w:ascii="Arial" w:hAnsi="Arial"/>
                <w:sz w:val="17"/>
              </w:rPr>
              <w:t>F. Model Selection by Agent</w:t>
            </w:r>
          </w:p>
        </w:tc>
        <w:tc>
          <w:tcPr>
            <w:tcW w:type="dxa" w:w="2556"/>
            <w:vAlign w:val="top"/>
          </w:tcPr>
          <w:p>
            <w:r>
              <w:rPr>
                <w:rFonts w:ascii="Arial" w:hAnsi="Arial"/>
                <w:sz w:val="17"/>
              </w:rPr>
              <w:t>Adding a feature means the agent must correctly decide when to call the new specialist model/tool.</w:t>
            </w:r>
          </w:p>
        </w:tc>
        <w:tc>
          <w:tcPr>
            <w:tcW w:type="dxa" w:w="2556"/>
            <w:vAlign w:val="top"/>
          </w:tcPr>
          <w:p>
            <w:r>
              <w:rPr>
                <w:rFonts w:ascii="Arial" w:hAnsi="Arial"/>
                <w:sz w:val="17"/>
              </w:rPr>
              <w:t>High</w:t>
            </w:r>
          </w:p>
        </w:tc>
        <w:tc>
          <w:tcPr>
            <w:tcW w:type="dxa" w:w="2556"/>
            <w:vAlign w:val="top"/>
          </w:tcPr>
          <w:p>
            <w:r>
              <w:rPr>
                <w:rFonts w:ascii="Arial" w:hAnsi="Arial"/>
                <w:sz w:val="17"/>
              </w:rPr>
              <w:t>Use explicit tool descriptions, routing rules, confidence thresholds and fallback behaviour; log every routing decision.</w:t>
            </w:r>
          </w:p>
        </w:tc>
      </w:tr>
      <w:tr>
        <w:tc>
          <w:tcPr>
            <w:tcW w:type="dxa" w:w="2556"/>
            <w:vAlign w:val="top"/>
          </w:tcPr>
          <w:p>
            <w:r>
              <w:rPr>
                <w:rFonts w:ascii="Arial" w:hAnsi="Arial"/>
                <w:sz w:val="17"/>
              </w:rPr>
              <w:t>G. Model Compatibility</w:t>
            </w:r>
          </w:p>
        </w:tc>
        <w:tc>
          <w:tcPr>
            <w:tcW w:type="dxa" w:w="2556"/>
            <w:vAlign w:val="top"/>
          </w:tcPr>
          <w:p>
            <w:r>
              <w:rPr>
                <w:rFonts w:ascii="Arial" w:hAnsi="Arial"/>
                <w:sz w:val="17"/>
              </w:rPr>
              <w:t>The new model may require a different framework, Python version, GPU memory, preprocessing pipeline or dependency set.</w:t>
            </w:r>
          </w:p>
        </w:tc>
        <w:tc>
          <w:tcPr>
            <w:tcW w:type="dxa" w:w="2556"/>
            <w:vAlign w:val="top"/>
          </w:tcPr>
          <w:p>
            <w:r>
              <w:rPr>
                <w:rFonts w:ascii="Arial" w:hAnsi="Arial"/>
                <w:sz w:val="17"/>
              </w:rPr>
              <w:t>High</w:t>
            </w:r>
          </w:p>
        </w:tc>
        <w:tc>
          <w:tcPr>
            <w:tcW w:type="dxa" w:w="2556"/>
            <w:vAlign w:val="top"/>
          </w:tcPr>
          <w:p>
            <w:r>
              <w:rPr>
                <w:rFonts w:ascii="Arial" w:hAnsi="Arial"/>
                <w:sz w:val="17"/>
              </w:rPr>
              <w:t>Containerize or isolate model dependencies; document versions; run a reproducible inference test in CI.</w:t>
            </w:r>
          </w:p>
        </w:tc>
      </w:tr>
      <w:tr>
        <w:tc>
          <w:tcPr>
            <w:tcW w:type="dxa" w:w="2556"/>
            <w:vAlign w:val="top"/>
          </w:tcPr>
          <w:p>
            <w:r>
              <w:rPr>
                <w:rFonts w:ascii="Arial" w:hAnsi="Arial"/>
                <w:sz w:val="17"/>
              </w:rPr>
              <w:t>H. Hallucination / Unsupported Answers</w:t>
            </w:r>
          </w:p>
        </w:tc>
        <w:tc>
          <w:tcPr>
            <w:tcW w:type="dxa" w:w="2556"/>
            <w:vAlign w:val="top"/>
          </w:tcPr>
          <w:p>
            <w:r>
              <w:rPr>
                <w:rFonts w:ascii="Arial" w:hAnsi="Arial"/>
                <w:sz w:val="17"/>
              </w:rPr>
              <w:t>A language model may produce a plausible answer even when the image/model does not provide enough evidence.</w:t>
            </w:r>
          </w:p>
        </w:tc>
        <w:tc>
          <w:tcPr>
            <w:tcW w:type="dxa" w:w="2556"/>
            <w:vAlign w:val="top"/>
          </w:tcPr>
          <w:p>
            <w:r>
              <w:rPr>
                <w:rFonts w:ascii="Arial" w:hAnsi="Arial"/>
                <w:sz w:val="17"/>
              </w:rPr>
              <w:t>Critical</w:t>
            </w:r>
          </w:p>
        </w:tc>
        <w:tc>
          <w:tcPr>
            <w:tcW w:type="dxa" w:w="2556"/>
            <w:vAlign w:val="top"/>
          </w:tcPr>
          <w:p>
            <w:r>
              <w:rPr>
                <w:rFonts w:ascii="Arial" w:hAnsi="Arial"/>
                <w:sz w:val="17"/>
              </w:rPr>
              <w:t>Require evidence-grounded output, confidence/uncertainty, source region or mask where possible, and 'insufficient evidence' responses.</w:t>
            </w:r>
          </w:p>
        </w:tc>
      </w:tr>
      <w:tr>
        <w:tc>
          <w:tcPr>
            <w:tcW w:type="dxa" w:w="2556"/>
            <w:vAlign w:val="top"/>
          </w:tcPr>
          <w:p>
            <w:r>
              <w:rPr>
                <w:rFonts w:ascii="Arial" w:hAnsi="Arial"/>
                <w:sz w:val="17"/>
              </w:rPr>
              <w:t>I. Grounding and Localization</w:t>
            </w:r>
          </w:p>
        </w:tc>
        <w:tc>
          <w:tcPr>
            <w:tcW w:type="dxa" w:w="2556"/>
            <w:vAlign w:val="top"/>
          </w:tcPr>
          <w:p>
            <w:r>
              <w:rPr>
                <w:rFonts w:ascii="Arial" w:hAnsi="Arial"/>
                <w:sz w:val="17"/>
              </w:rPr>
              <w:t>A textual answer may be correct at a high level but point to the wrong region or bounding box.</w:t>
            </w:r>
          </w:p>
        </w:tc>
        <w:tc>
          <w:tcPr>
            <w:tcW w:type="dxa" w:w="2556"/>
            <w:vAlign w:val="top"/>
          </w:tcPr>
          <w:p>
            <w:r>
              <w:rPr>
                <w:rFonts w:ascii="Arial" w:hAnsi="Arial"/>
                <w:sz w:val="17"/>
              </w:rPr>
              <w:t>High</w:t>
            </w:r>
          </w:p>
        </w:tc>
        <w:tc>
          <w:tcPr>
            <w:tcW w:type="dxa" w:w="2556"/>
            <w:vAlign w:val="top"/>
          </w:tcPr>
          <w:p>
            <w:r>
              <w:rPr>
                <w:rFonts w:ascii="Arial" w:hAnsi="Arial"/>
                <w:sz w:val="17"/>
              </w:rPr>
              <w:t>Return visual evidence such as boxes, masks, highlighted regions or coordinates and validate them against the model output.</w:t>
            </w:r>
          </w:p>
        </w:tc>
      </w:tr>
      <w:tr>
        <w:tc>
          <w:tcPr>
            <w:tcW w:type="dxa" w:w="2556"/>
            <w:vAlign w:val="top"/>
          </w:tcPr>
          <w:p>
            <w:r>
              <w:rPr>
                <w:rFonts w:ascii="Arial" w:hAnsi="Arial"/>
                <w:sz w:val="17"/>
              </w:rPr>
              <w:t>J. Large Image Handling</w:t>
            </w:r>
          </w:p>
        </w:tc>
        <w:tc>
          <w:tcPr>
            <w:tcW w:type="dxa" w:w="2556"/>
            <w:vAlign w:val="top"/>
          </w:tcPr>
          <w:p>
            <w:r>
              <w:rPr>
                <w:rFonts w:ascii="Arial" w:hAnsi="Arial"/>
                <w:sz w:val="17"/>
              </w:rPr>
              <w:t>Satellite images can be very large. Loading full-resolution imagery into memory can cause slowdowns or crashes.</w:t>
            </w:r>
          </w:p>
        </w:tc>
        <w:tc>
          <w:tcPr>
            <w:tcW w:type="dxa" w:w="2556"/>
            <w:vAlign w:val="top"/>
          </w:tcPr>
          <w:p>
            <w:r>
              <w:rPr>
                <w:rFonts w:ascii="Arial" w:hAnsi="Arial"/>
                <w:sz w:val="17"/>
              </w:rPr>
              <w:t>Critical</w:t>
            </w:r>
          </w:p>
        </w:tc>
        <w:tc>
          <w:tcPr>
            <w:tcW w:type="dxa" w:w="2556"/>
            <w:vAlign w:val="top"/>
          </w:tcPr>
          <w:p>
            <w:r>
              <w:rPr>
                <w:rFonts w:ascii="Arial" w:hAnsi="Arial"/>
                <w:sz w:val="17"/>
              </w:rPr>
              <w:t>Use tiling/chunking, pyramids, lazy loading, caching and bounded worker memory.</w:t>
            </w:r>
          </w:p>
        </w:tc>
      </w:tr>
      <w:tr>
        <w:tc>
          <w:tcPr>
            <w:tcW w:type="dxa" w:w="2556"/>
            <w:vAlign w:val="top"/>
          </w:tcPr>
          <w:p>
            <w:r>
              <w:rPr>
                <w:rFonts w:ascii="Arial" w:hAnsi="Arial"/>
                <w:sz w:val="17"/>
              </w:rPr>
              <w:t>K. Inference Latency</w:t>
            </w:r>
          </w:p>
        </w:tc>
        <w:tc>
          <w:tcPr>
            <w:tcW w:type="dxa" w:w="2556"/>
            <w:vAlign w:val="top"/>
          </w:tcPr>
          <w:p>
            <w:r>
              <w:rPr>
                <w:rFonts w:ascii="Arial" w:hAnsi="Arial"/>
                <w:sz w:val="17"/>
              </w:rPr>
              <w:t>A new model can make the interactive application too slow, especially when several tools are chained.</w:t>
            </w:r>
          </w:p>
        </w:tc>
        <w:tc>
          <w:tcPr>
            <w:tcW w:type="dxa" w:w="2556"/>
            <w:vAlign w:val="top"/>
          </w:tcPr>
          <w:p>
            <w:r>
              <w:rPr>
                <w:rFonts w:ascii="Arial" w:hAnsi="Arial"/>
                <w:sz w:val="17"/>
              </w:rPr>
              <w:t>High</w:t>
            </w:r>
          </w:p>
        </w:tc>
        <w:tc>
          <w:tcPr>
            <w:tcW w:type="dxa" w:w="2556"/>
            <w:vAlign w:val="top"/>
          </w:tcPr>
          <w:p>
            <w:r>
              <w:rPr>
                <w:rFonts w:ascii="Arial" w:hAnsi="Arial"/>
                <w:sz w:val="17"/>
              </w:rPr>
              <w:t>Measure end-to-end latency, use asynchronous jobs where needed, cache repeated work, and provide progress/status feedback.</w:t>
            </w:r>
          </w:p>
        </w:tc>
      </w:tr>
      <w:tr>
        <w:tc>
          <w:tcPr>
            <w:tcW w:type="dxa" w:w="2556"/>
            <w:vAlign w:val="top"/>
          </w:tcPr>
          <w:p>
            <w:r>
              <w:rPr>
                <w:rFonts w:ascii="Arial" w:hAnsi="Arial"/>
                <w:sz w:val="17"/>
              </w:rPr>
              <w:t>L. GPU/CPU Resource Contention</w:t>
            </w:r>
          </w:p>
        </w:tc>
        <w:tc>
          <w:tcPr>
            <w:tcW w:type="dxa" w:w="2556"/>
            <w:vAlign w:val="top"/>
          </w:tcPr>
          <w:p>
            <w:r>
              <w:rPr>
                <w:rFonts w:ascii="Arial" w:hAnsi="Arial"/>
                <w:sz w:val="17"/>
              </w:rPr>
              <w:t>Multiple users or multiple agent-selected models can compete for limited GPU/CPU/RAM.</w:t>
            </w:r>
          </w:p>
        </w:tc>
        <w:tc>
          <w:tcPr>
            <w:tcW w:type="dxa" w:w="2556"/>
            <w:vAlign w:val="top"/>
          </w:tcPr>
          <w:p>
            <w:r>
              <w:rPr>
                <w:rFonts w:ascii="Arial" w:hAnsi="Arial"/>
                <w:sz w:val="17"/>
              </w:rPr>
              <w:t>High</w:t>
            </w:r>
          </w:p>
        </w:tc>
        <w:tc>
          <w:tcPr>
            <w:tcW w:type="dxa" w:w="2556"/>
            <w:vAlign w:val="top"/>
          </w:tcPr>
          <w:p>
            <w:r>
              <w:rPr>
                <w:rFonts w:ascii="Arial" w:hAnsi="Arial"/>
                <w:sz w:val="17"/>
              </w:rPr>
              <w:t>Add resource limits, job queues, batching where safe, model lifecycle management and graceful degradation.</w:t>
            </w:r>
          </w:p>
        </w:tc>
      </w:tr>
      <w:tr>
        <w:tc>
          <w:tcPr>
            <w:tcW w:type="dxa" w:w="2556"/>
            <w:vAlign w:val="top"/>
          </w:tcPr>
          <w:p>
            <w:r>
              <w:rPr>
                <w:rFonts w:ascii="Arial" w:hAnsi="Arial"/>
                <w:sz w:val="17"/>
              </w:rPr>
              <w:t>M. Dataset Availability</w:t>
            </w:r>
          </w:p>
        </w:tc>
        <w:tc>
          <w:tcPr>
            <w:tcW w:type="dxa" w:w="2556"/>
            <w:vAlign w:val="top"/>
          </w:tcPr>
          <w:p>
            <w:r>
              <w:rPr>
                <w:rFonts w:ascii="Arial" w:hAnsi="Arial"/>
                <w:sz w:val="17"/>
              </w:rPr>
              <w:t>The new feature may require labelled data that is not available in sufficient quantity or quality.</w:t>
            </w:r>
          </w:p>
        </w:tc>
        <w:tc>
          <w:tcPr>
            <w:tcW w:type="dxa" w:w="2556"/>
            <w:vAlign w:val="top"/>
          </w:tcPr>
          <w:p>
            <w:r>
              <w:rPr>
                <w:rFonts w:ascii="Arial" w:hAnsi="Arial"/>
                <w:sz w:val="17"/>
              </w:rPr>
              <w:t>Critical</w:t>
            </w:r>
          </w:p>
        </w:tc>
        <w:tc>
          <w:tcPr>
            <w:tcW w:type="dxa" w:w="2556"/>
            <w:vAlign w:val="top"/>
          </w:tcPr>
          <w:p>
            <w:r>
              <w:rPr>
                <w:rFonts w:ascii="Arial" w:hAnsi="Arial"/>
                <w:sz w:val="17"/>
              </w:rPr>
              <w:t>Perform a dataset-gap study before implementation; identify public benchmark data and define a small internal validation set.</w:t>
            </w:r>
          </w:p>
        </w:tc>
      </w:tr>
      <w:tr>
        <w:tc>
          <w:tcPr>
            <w:tcW w:type="dxa" w:w="2556"/>
            <w:vAlign w:val="top"/>
          </w:tcPr>
          <w:p>
            <w:r>
              <w:rPr>
                <w:rFonts w:ascii="Arial" w:hAnsi="Arial"/>
                <w:sz w:val="17"/>
              </w:rPr>
              <w:t>N. Domain Shift</w:t>
            </w:r>
          </w:p>
        </w:tc>
        <w:tc>
          <w:tcPr>
            <w:tcW w:type="dxa" w:w="2556"/>
            <w:vAlign w:val="top"/>
          </w:tcPr>
          <w:p>
            <w:r>
              <w:rPr>
                <w:rFonts w:ascii="Arial" w:hAnsi="Arial"/>
                <w:sz w:val="17"/>
              </w:rPr>
              <w:t>A model can work on benchmark images but fail on ISRO/SAC imagery because sensor, geography, season, resolution or acquisition conditions differ.</w:t>
            </w:r>
          </w:p>
        </w:tc>
        <w:tc>
          <w:tcPr>
            <w:tcW w:type="dxa" w:w="2556"/>
            <w:vAlign w:val="top"/>
          </w:tcPr>
          <w:p>
            <w:r>
              <w:rPr>
                <w:rFonts w:ascii="Arial" w:hAnsi="Arial"/>
                <w:sz w:val="17"/>
              </w:rPr>
              <w:t>Critical</w:t>
            </w:r>
          </w:p>
        </w:tc>
        <w:tc>
          <w:tcPr>
            <w:tcW w:type="dxa" w:w="2556"/>
            <w:vAlign w:val="top"/>
          </w:tcPr>
          <w:p>
            <w:r>
              <w:rPr>
                <w:rFonts w:ascii="Arial" w:hAnsi="Arial"/>
                <w:sz w:val="17"/>
              </w:rPr>
              <w:t>Validate on representative target data and report performance separately for benchmark and target-domain samples.</w:t>
            </w:r>
          </w:p>
        </w:tc>
      </w:tr>
      <w:tr>
        <w:tc>
          <w:tcPr>
            <w:tcW w:type="dxa" w:w="2556"/>
            <w:vAlign w:val="top"/>
          </w:tcPr>
          <w:p>
            <w:r>
              <w:rPr>
                <w:rFonts w:ascii="Arial" w:hAnsi="Arial"/>
                <w:sz w:val="17"/>
              </w:rPr>
              <w:t>O. Class Imbalance</w:t>
            </w:r>
          </w:p>
        </w:tc>
        <w:tc>
          <w:tcPr>
            <w:tcW w:type="dxa" w:w="2556"/>
            <w:vAlign w:val="top"/>
          </w:tcPr>
          <w:p>
            <w:r>
              <w:rPr>
                <w:rFonts w:ascii="Arial" w:hAnsi="Arial"/>
                <w:sz w:val="17"/>
              </w:rPr>
              <w:t>Rare objects/events may be underrepresented, producing misleadingly high accuracy.</w:t>
            </w:r>
          </w:p>
        </w:tc>
        <w:tc>
          <w:tcPr>
            <w:tcW w:type="dxa" w:w="2556"/>
            <w:vAlign w:val="top"/>
          </w:tcPr>
          <w:p>
            <w:r>
              <w:rPr>
                <w:rFonts w:ascii="Arial" w:hAnsi="Arial"/>
                <w:sz w:val="17"/>
              </w:rPr>
              <w:t>High</w:t>
            </w:r>
          </w:p>
        </w:tc>
        <w:tc>
          <w:tcPr>
            <w:tcW w:type="dxa" w:w="2556"/>
            <w:vAlign w:val="top"/>
          </w:tcPr>
          <w:p>
            <w:r>
              <w:rPr>
                <w:rFonts w:ascii="Arial" w:hAnsi="Arial"/>
                <w:sz w:val="17"/>
              </w:rPr>
              <w:t>Use precision, recall, F1, IoU/mAP or task-specific metrics rather than accuracy alone; evaluate rare classes separately.</w:t>
            </w:r>
          </w:p>
        </w:tc>
      </w:tr>
      <w:tr>
        <w:tc>
          <w:tcPr>
            <w:tcW w:type="dxa" w:w="2556"/>
            <w:vAlign w:val="top"/>
          </w:tcPr>
          <w:p>
            <w:r>
              <w:rPr>
                <w:rFonts w:ascii="Arial" w:hAnsi="Arial"/>
                <w:sz w:val="17"/>
              </w:rPr>
              <w:t>P. Noisy or Missing Metadata</w:t>
            </w:r>
          </w:p>
        </w:tc>
        <w:tc>
          <w:tcPr>
            <w:tcW w:type="dxa" w:w="2556"/>
            <w:vAlign w:val="top"/>
          </w:tcPr>
          <w:p>
            <w:r>
              <w:rPr>
                <w:rFonts w:ascii="Arial" w:hAnsi="Arial"/>
                <w:sz w:val="17"/>
              </w:rPr>
              <w:t>Missing acquisition date, sensor, CRS, resolution or geolocation metadata can make some operations unreliable.</w:t>
            </w:r>
          </w:p>
        </w:tc>
        <w:tc>
          <w:tcPr>
            <w:tcW w:type="dxa" w:w="2556"/>
            <w:vAlign w:val="top"/>
          </w:tcPr>
          <w:p>
            <w:r>
              <w:rPr>
                <w:rFonts w:ascii="Arial" w:hAnsi="Arial"/>
                <w:sz w:val="17"/>
              </w:rPr>
              <w:t>High</w:t>
            </w:r>
          </w:p>
        </w:tc>
        <w:tc>
          <w:tcPr>
            <w:tcW w:type="dxa" w:w="2556"/>
            <w:vAlign w:val="top"/>
          </w:tcPr>
          <w:p>
            <w:r>
              <w:rPr>
                <w:rFonts w:ascii="Arial" w:hAnsi="Arial"/>
                <w:sz w:val="17"/>
              </w:rPr>
              <w:t>Validate required metadata and clearly distinguish missing metadata from valid zero/empty values.</w:t>
            </w:r>
          </w:p>
        </w:tc>
      </w:tr>
      <w:tr>
        <w:tc>
          <w:tcPr>
            <w:tcW w:type="dxa" w:w="2556"/>
            <w:vAlign w:val="top"/>
          </w:tcPr>
          <w:p>
            <w:r>
              <w:rPr>
                <w:rFonts w:ascii="Arial" w:hAnsi="Arial"/>
                <w:sz w:val="17"/>
              </w:rPr>
              <w:t>Q. User Query Ambiguity</w:t>
            </w:r>
          </w:p>
        </w:tc>
        <w:tc>
          <w:tcPr>
            <w:tcW w:type="dxa" w:w="2556"/>
            <w:vAlign w:val="top"/>
          </w:tcPr>
          <w:p>
            <w:r>
              <w:rPr>
                <w:rFonts w:ascii="Arial" w:hAnsi="Arial"/>
                <w:sz w:val="17"/>
              </w:rPr>
              <w:t>Natural-language questions can be vague, such as 'find buildings' without defining area, threshold, time or object type.</w:t>
            </w:r>
          </w:p>
        </w:tc>
        <w:tc>
          <w:tcPr>
            <w:tcW w:type="dxa" w:w="2556"/>
            <w:vAlign w:val="top"/>
          </w:tcPr>
          <w:p>
            <w:r>
              <w:rPr>
                <w:rFonts w:ascii="Arial" w:hAnsi="Arial"/>
                <w:sz w:val="17"/>
              </w:rPr>
              <w:t>High</w:t>
            </w:r>
          </w:p>
        </w:tc>
        <w:tc>
          <w:tcPr>
            <w:tcW w:type="dxa" w:w="2556"/>
            <w:vAlign w:val="top"/>
          </w:tcPr>
          <w:p>
            <w:r>
              <w:rPr>
                <w:rFonts w:ascii="Arial" w:hAnsi="Arial"/>
                <w:sz w:val="17"/>
              </w:rPr>
              <w:t>Use clarification questions or safe defaults; display assumptions before producing a final answer.</w:t>
            </w:r>
          </w:p>
        </w:tc>
      </w:tr>
      <w:tr>
        <w:tc>
          <w:tcPr>
            <w:tcW w:type="dxa" w:w="2556"/>
            <w:vAlign w:val="top"/>
          </w:tcPr>
          <w:p>
            <w:r>
              <w:rPr>
                <w:rFonts w:ascii="Arial" w:hAnsi="Arial"/>
                <w:sz w:val="17"/>
              </w:rPr>
              <w:t>R. UI/UX Complexity</w:t>
            </w:r>
          </w:p>
        </w:tc>
        <w:tc>
          <w:tcPr>
            <w:tcW w:type="dxa" w:w="2556"/>
            <w:vAlign w:val="top"/>
          </w:tcPr>
          <w:p>
            <w:r>
              <w:rPr>
                <w:rFonts w:ascii="Arial" w:hAnsi="Arial"/>
                <w:sz w:val="17"/>
              </w:rPr>
              <w:t>A new capability can make the existing interface confusing if it introduces many parameters, model choices or output types.</w:t>
            </w:r>
          </w:p>
        </w:tc>
        <w:tc>
          <w:tcPr>
            <w:tcW w:type="dxa" w:w="2556"/>
            <w:vAlign w:val="top"/>
          </w:tcPr>
          <w:p>
            <w:r>
              <w:rPr>
                <w:rFonts w:ascii="Arial" w:hAnsi="Arial"/>
                <w:sz w:val="17"/>
              </w:rPr>
              <w:t>Medium</w:t>
            </w:r>
          </w:p>
        </w:tc>
        <w:tc>
          <w:tcPr>
            <w:tcW w:type="dxa" w:w="2556"/>
            <w:vAlign w:val="top"/>
          </w:tcPr>
          <w:p>
            <w:r>
              <w:rPr>
                <w:rFonts w:ascii="Arial" w:hAnsi="Arial"/>
                <w:sz w:val="17"/>
              </w:rPr>
              <w:t>Keep the primary workflow simple; expose advanced controls progressively and standardize result cards.</w:t>
            </w:r>
          </w:p>
        </w:tc>
      </w:tr>
      <w:tr>
        <w:tc>
          <w:tcPr>
            <w:tcW w:type="dxa" w:w="2556"/>
            <w:vAlign w:val="top"/>
          </w:tcPr>
          <w:p>
            <w:r>
              <w:rPr>
                <w:rFonts w:ascii="Arial" w:hAnsi="Arial"/>
                <w:sz w:val="17"/>
              </w:rPr>
              <w:t>S. Backward Compatibility</w:t>
            </w:r>
          </w:p>
        </w:tc>
        <w:tc>
          <w:tcPr>
            <w:tcW w:type="dxa" w:w="2556"/>
            <w:vAlign w:val="top"/>
          </w:tcPr>
          <w:p>
            <w:r>
              <w:rPr>
                <w:rFonts w:ascii="Arial" w:hAnsi="Arial"/>
                <w:sz w:val="17"/>
              </w:rPr>
              <w:t>Changes to schemas, APIs or agent prompts can break features that already work.</w:t>
            </w:r>
          </w:p>
        </w:tc>
        <w:tc>
          <w:tcPr>
            <w:tcW w:type="dxa" w:w="2556"/>
            <w:vAlign w:val="top"/>
          </w:tcPr>
          <w:p>
            <w:r>
              <w:rPr>
                <w:rFonts w:ascii="Arial" w:hAnsi="Arial"/>
                <w:sz w:val="17"/>
              </w:rPr>
              <w:t>Critical</w:t>
            </w:r>
          </w:p>
        </w:tc>
        <w:tc>
          <w:tcPr>
            <w:tcW w:type="dxa" w:w="2556"/>
            <w:vAlign w:val="top"/>
          </w:tcPr>
          <w:p>
            <w:r>
              <w:rPr>
                <w:rFonts w:ascii="Arial" w:hAnsi="Arial"/>
                <w:sz w:val="17"/>
              </w:rPr>
              <w:t>Version APIs and prompts where needed; maintain regression tests for existing mandatory tasks.</w:t>
            </w:r>
          </w:p>
        </w:tc>
      </w:tr>
      <w:tr>
        <w:tc>
          <w:tcPr>
            <w:tcW w:type="dxa" w:w="2556"/>
            <w:vAlign w:val="top"/>
          </w:tcPr>
          <w:p>
            <w:r>
              <w:rPr>
                <w:rFonts w:ascii="Arial" w:hAnsi="Arial"/>
                <w:sz w:val="17"/>
              </w:rPr>
              <w:t>T. Evaluation Difficulty</w:t>
            </w:r>
          </w:p>
        </w:tc>
        <w:tc>
          <w:tcPr>
            <w:tcW w:type="dxa" w:w="2556"/>
            <w:vAlign w:val="top"/>
          </w:tcPr>
          <w:p>
            <w:r>
              <w:rPr>
                <w:rFonts w:ascii="Arial" w:hAnsi="Arial"/>
                <w:sz w:val="17"/>
              </w:rPr>
              <w:t>A feature can look impressive in a demo but be difficult to evaluate objectively.</w:t>
            </w:r>
          </w:p>
        </w:tc>
        <w:tc>
          <w:tcPr>
            <w:tcW w:type="dxa" w:w="2556"/>
            <w:vAlign w:val="top"/>
          </w:tcPr>
          <w:p>
            <w:r>
              <w:rPr>
                <w:rFonts w:ascii="Arial" w:hAnsi="Arial"/>
                <w:sz w:val="17"/>
              </w:rPr>
              <w:t>Critical</w:t>
            </w:r>
          </w:p>
        </w:tc>
        <w:tc>
          <w:tcPr>
            <w:tcW w:type="dxa" w:w="2556"/>
            <w:vAlign w:val="top"/>
          </w:tcPr>
          <w:p>
            <w:r>
              <w:rPr>
                <w:rFonts w:ascii="Arial" w:hAnsi="Arial"/>
                <w:sz w:val="17"/>
              </w:rPr>
              <w:t>Define measurable success criteria before coding: task accuracy, localization quality, latency, failure rate and robustness.</w:t>
            </w:r>
          </w:p>
        </w:tc>
      </w:tr>
      <w:tr>
        <w:tc>
          <w:tcPr>
            <w:tcW w:type="dxa" w:w="2556"/>
            <w:vAlign w:val="top"/>
          </w:tcPr>
          <w:p>
            <w:r>
              <w:rPr>
                <w:rFonts w:ascii="Arial" w:hAnsi="Arial"/>
                <w:sz w:val="17"/>
              </w:rPr>
              <w:t>U. Reproducibility</w:t>
            </w:r>
          </w:p>
        </w:tc>
        <w:tc>
          <w:tcPr>
            <w:tcW w:type="dxa" w:w="2556"/>
            <w:vAlign w:val="top"/>
          </w:tcPr>
          <w:p>
            <w:r>
              <w:rPr>
                <w:rFonts w:ascii="Arial" w:hAnsi="Arial"/>
                <w:sz w:val="17"/>
              </w:rPr>
              <w:t>Model results may change because of dependency updates, random seeds, preprocessing differences or external services.</w:t>
            </w:r>
          </w:p>
        </w:tc>
        <w:tc>
          <w:tcPr>
            <w:tcW w:type="dxa" w:w="2556"/>
            <w:vAlign w:val="top"/>
          </w:tcPr>
          <w:p>
            <w:r>
              <w:rPr>
                <w:rFonts w:ascii="Arial" w:hAnsi="Arial"/>
                <w:sz w:val="17"/>
              </w:rPr>
              <w:t>High</w:t>
            </w:r>
          </w:p>
        </w:tc>
        <w:tc>
          <w:tcPr>
            <w:tcW w:type="dxa" w:w="2556"/>
            <w:vAlign w:val="top"/>
          </w:tcPr>
          <w:p>
            <w:r>
              <w:rPr>
                <w:rFonts w:ascii="Arial" w:hAnsi="Arial"/>
                <w:sz w:val="17"/>
              </w:rPr>
              <w:t>Pin dependencies, record model/version/configuration, set seeds where appropriate, and preserve test inputs/outputs.</w:t>
            </w:r>
          </w:p>
        </w:tc>
      </w:tr>
      <w:tr>
        <w:tc>
          <w:tcPr>
            <w:tcW w:type="dxa" w:w="2556"/>
            <w:vAlign w:val="top"/>
          </w:tcPr>
          <w:p>
            <w:r>
              <w:rPr>
                <w:rFonts w:ascii="Arial" w:hAnsi="Arial"/>
                <w:sz w:val="17"/>
              </w:rPr>
              <w:t>V. Security &amp; File Safety</w:t>
            </w:r>
          </w:p>
        </w:tc>
        <w:tc>
          <w:tcPr>
            <w:tcW w:type="dxa" w:w="2556"/>
            <w:vAlign w:val="top"/>
          </w:tcPr>
          <w:p>
            <w:r>
              <w:rPr>
                <w:rFonts w:ascii="Arial" w:hAnsi="Arial"/>
                <w:sz w:val="17"/>
              </w:rPr>
              <w:t>Uploaded files can be malformed or unexpectedly large; external model/API calls may also expose data.</w:t>
            </w:r>
          </w:p>
        </w:tc>
        <w:tc>
          <w:tcPr>
            <w:tcW w:type="dxa" w:w="2556"/>
            <w:vAlign w:val="top"/>
          </w:tcPr>
          <w:p>
            <w:r>
              <w:rPr>
                <w:rFonts w:ascii="Arial" w:hAnsi="Arial"/>
                <w:sz w:val="17"/>
              </w:rPr>
              <w:t>High</w:t>
            </w:r>
          </w:p>
        </w:tc>
        <w:tc>
          <w:tcPr>
            <w:tcW w:type="dxa" w:w="2556"/>
            <w:vAlign w:val="top"/>
          </w:tcPr>
          <w:p>
            <w:r>
              <w:rPr>
                <w:rFonts w:ascii="Arial" w:hAnsi="Arial"/>
                <w:sz w:val="17"/>
              </w:rPr>
              <w:t>Validate file type and size, sandbox processing, sanitize paths, limit external transmission, and implement access controls.</w:t>
            </w:r>
          </w:p>
        </w:tc>
      </w:tr>
      <w:tr>
        <w:tc>
          <w:tcPr>
            <w:tcW w:type="dxa" w:w="2556"/>
            <w:vAlign w:val="top"/>
          </w:tcPr>
          <w:p>
            <w:r>
              <w:rPr>
                <w:rFonts w:ascii="Arial" w:hAnsi="Arial"/>
                <w:sz w:val="17"/>
              </w:rPr>
              <w:t>W. Privacy / Sensitive Geospatial Data</w:t>
            </w:r>
          </w:p>
        </w:tc>
        <w:tc>
          <w:tcPr>
            <w:tcW w:type="dxa" w:w="2556"/>
            <w:vAlign w:val="top"/>
          </w:tcPr>
          <w:p>
            <w:r>
              <w:rPr>
                <w:rFonts w:ascii="Arial" w:hAnsi="Arial"/>
                <w:sz w:val="17"/>
              </w:rPr>
              <w:t>Some imagery may contain sensitive locations or operationally important information.</w:t>
            </w:r>
          </w:p>
        </w:tc>
        <w:tc>
          <w:tcPr>
            <w:tcW w:type="dxa" w:w="2556"/>
            <w:vAlign w:val="top"/>
          </w:tcPr>
          <w:p>
            <w:r>
              <w:rPr>
                <w:rFonts w:ascii="Arial" w:hAnsi="Arial"/>
                <w:sz w:val="17"/>
              </w:rPr>
              <w:t>High</w:t>
            </w:r>
          </w:p>
        </w:tc>
        <w:tc>
          <w:tcPr>
            <w:tcW w:type="dxa" w:w="2556"/>
            <w:vAlign w:val="top"/>
          </w:tcPr>
          <w:p>
            <w:r>
              <w:rPr>
                <w:rFonts w:ascii="Arial" w:hAnsi="Arial"/>
                <w:sz w:val="17"/>
              </w:rPr>
              <w:t>Apply least-privilege access, secure storage, controlled logging, encryption and explicit data-retention rules.</w:t>
            </w:r>
          </w:p>
        </w:tc>
      </w:tr>
      <w:tr>
        <w:tc>
          <w:tcPr>
            <w:tcW w:type="dxa" w:w="2556"/>
            <w:vAlign w:val="top"/>
          </w:tcPr>
          <w:p>
            <w:r>
              <w:rPr>
                <w:rFonts w:ascii="Arial" w:hAnsi="Arial"/>
                <w:sz w:val="17"/>
              </w:rPr>
              <w:t>X. Explainability</w:t>
            </w:r>
          </w:p>
        </w:tc>
        <w:tc>
          <w:tcPr>
            <w:tcW w:type="dxa" w:w="2556"/>
            <w:vAlign w:val="top"/>
          </w:tcPr>
          <w:p>
            <w:r>
              <w:rPr>
                <w:rFonts w:ascii="Arial" w:hAnsi="Arial"/>
                <w:sz w:val="17"/>
              </w:rPr>
              <w:t>A user may not trust a result if the system only returns a sentence without showing why it reached the conclusion.</w:t>
            </w:r>
          </w:p>
        </w:tc>
        <w:tc>
          <w:tcPr>
            <w:tcW w:type="dxa" w:w="2556"/>
            <w:vAlign w:val="top"/>
          </w:tcPr>
          <w:p>
            <w:r>
              <w:rPr>
                <w:rFonts w:ascii="Arial" w:hAnsi="Arial"/>
                <w:sz w:val="17"/>
              </w:rPr>
              <w:t>High</w:t>
            </w:r>
          </w:p>
        </w:tc>
        <w:tc>
          <w:tcPr>
            <w:tcW w:type="dxa" w:w="2556"/>
            <w:vAlign w:val="top"/>
          </w:tcPr>
          <w:p>
            <w:r>
              <w:rPr>
                <w:rFonts w:ascii="Arial" w:hAnsi="Arial"/>
                <w:sz w:val="17"/>
              </w:rPr>
              <w:t>Return evidence, confidence, affected region, model/tool used and concise reasoning metadata.</w:t>
            </w:r>
          </w:p>
        </w:tc>
      </w:tr>
      <w:tr>
        <w:tc>
          <w:tcPr>
            <w:tcW w:type="dxa" w:w="2556"/>
            <w:vAlign w:val="top"/>
          </w:tcPr>
          <w:p>
            <w:r>
              <w:rPr>
                <w:rFonts w:ascii="Arial" w:hAnsi="Arial"/>
                <w:sz w:val="17"/>
              </w:rPr>
              <w:t>Y. Failure Recovery</w:t>
            </w:r>
          </w:p>
        </w:tc>
        <w:tc>
          <w:tcPr>
            <w:tcW w:type="dxa" w:w="2556"/>
            <w:vAlign w:val="top"/>
          </w:tcPr>
          <w:p>
            <w:r>
              <w:rPr>
                <w:rFonts w:ascii="Arial" w:hAnsi="Arial"/>
                <w:sz w:val="17"/>
              </w:rPr>
              <w:t>One failed specialist model can cause the whole agent pipeline to fail.</w:t>
            </w:r>
          </w:p>
        </w:tc>
        <w:tc>
          <w:tcPr>
            <w:tcW w:type="dxa" w:w="2556"/>
            <w:vAlign w:val="top"/>
          </w:tcPr>
          <w:p>
            <w:r>
              <w:rPr>
                <w:rFonts w:ascii="Arial" w:hAnsi="Arial"/>
                <w:sz w:val="17"/>
              </w:rPr>
              <w:t>High</w:t>
            </w:r>
          </w:p>
        </w:tc>
        <w:tc>
          <w:tcPr>
            <w:tcW w:type="dxa" w:w="2556"/>
            <w:vAlign w:val="top"/>
          </w:tcPr>
          <w:p>
            <w:r>
              <w:rPr>
                <w:rFonts w:ascii="Arial" w:hAnsi="Arial"/>
                <w:sz w:val="17"/>
              </w:rPr>
              <w:t>Use timeouts, retries for transient failures, fallback tools and user-friendly partial-result handling.</w:t>
            </w:r>
          </w:p>
        </w:tc>
      </w:tr>
      <w:tr>
        <w:tc>
          <w:tcPr>
            <w:tcW w:type="dxa" w:w="2556"/>
            <w:vAlign w:val="top"/>
          </w:tcPr>
          <w:p>
            <w:r>
              <w:rPr>
                <w:rFonts w:ascii="Arial" w:hAnsi="Arial"/>
                <w:sz w:val="17"/>
              </w:rPr>
              <w:t>Z. Technical Debt</w:t>
            </w:r>
          </w:p>
        </w:tc>
        <w:tc>
          <w:tcPr>
            <w:tcW w:type="dxa" w:w="2556"/>
            <w:vAlign w:val="top"/>
          </w:tcPr>
          <w:p>
            <w:r>
              <w:rPr>
                <w:rFonts w:ascii="Arial" w:hAnsi="Arial"/>
                <w:sz w:val="17"/>
              </w:rPr>
              <w:t>Adding features quickly to an existing codebase can create duplicated preprocessing, inconsistent APIs and hard-to-maintain code.</w:t>
            </w:r>
          </w:p>
        </w:tc>
        <w:tc>
          <w:tcPr>
            <w:tcW w:type="dxa" w:w="2556"/>
            <w:vAlign w:val="top"/>
          </w:tcPr>
          <w:p>
            <w:r>
              <w:rPr>
                <w:rFonts w:ascii="Arial" w:hAnsi="Arial"/>
                <w:sz w:val="17"/>
              </w:rPr>
              <w:t>High</w:t>
            </w:r>
          </w:p>
        </w:tc>
        <w:tc>
          <w:tcPr>
            <w:tcW w:type="dxa" w:w="2556"/>
            <w:vAlign w:val="top"/>
          </w:tcPr>
          <w:p>
            <w:r>
              <w:rPr>
                <w:rFonts w:ascii="Arial" w:hAnsi="Arial"/>
                <w:sz w:val="17"/>
              </w:rPr>
              <w:t>Refactor shared utilities first and document architecture decisions; avoid feature-specific copies of common logic.</w:t>
            </w:r>
          </w:p>
        </w:tc>
      </w:tr>
    </w:tbl>
    <w:p>
      <w:pPr>
        <w:pStyle w:val="Heading1"/>
      </w:pPr>
      <w:r>
        <w:t>4. Deep Analysis of the Most Critical Problems</w:t>
      </w:r>
    </w:p>
    <w:p>
      <w:pPr>
        <w:pStyle w:val="Heading2"/>
      </w:pPr>
      <w:r>
        <w:t>1. Breaking the Existing Agentic Workflow</w:t>
      </w:r>
    </w:p>
    <w:p>
      <w:r>
        <w:t>SatQuery AI is not just a collection of independent models. The agent must select the right specialist model/tool for the query. A new feature therefore changes routing logic. If the tool description is vague, the agent may call it for the wrong query, ignore it when it should be used, or combine it incorrectly with another tool.</w:t>
      </w:r>
    </w:p>
    <w:p>
      <w:r>
        <w:t>Impact: wrong answers, unpredictable behaviour, regression in existing tasks.</w:t>
      </w:r>
    </w:p>
    <w:p>
      <w:r>
        <w:t>Solution: define tool schema → input requirements → expected output → confidence/failure states → routing conditions → fallback. Add routing test cases for both positive and negative examples.</w:t>
      </w:r>
    </w:p>
    <w:p>
      <w:pPr>
        <w:pStyle w:val="Heading2"/>
      </w:pPr>
      <w:r>
        <w:t>2. Remote-Sensing Data Is Not Ordinary Images</w:t>
      </w:r>
    </w:p>
    <w:p>
      <w:r>
        <w:t>Satellite imagery contains geospatial metadata, multiple bands, sensor-specific properties, projections and potentially huge dimensions. A feature that assumes an ordinary JPEG/PNG workflow can silently produce scientifically incorrect results.</w:t>
      </w:r>
    </w:p>
    <w:p>
      <w:r>
        <w:t>Impact: technically valid-looking but geographically wrong outputs.</w:t>
      </w:r>
    </w:p>
    <w:p>
      <w:r>
        <w:t>Solution: make geospatial metadata a first-class part of the pipeline. Validate CRS, transform, bounds, resolution, band information and acquisition metadata before inference.</w:t>
      </w:r>
    </w:p>
    <w:p>
      <w:pPr>
        <w:pStyle w:val="Heading2"/>
      </w:pPr>
      <w:r>
        <w:t>3. Cross-Modal and Multitemporal Data</w:t>
      </w:r>
    </w:p>
    <w:p>
      <w:r>
        <w:t>Optical–SAR pairs and bi-temporal pairs introduce alignment problems. Even a small pixel shift can create false changes or incorrect region correspondence.</w:t>
      </w:r>
    </w:p>
    <w:p>
      <w:r>
        <w:t>Impact: false change detection, wrong localization and unreliable comparisons.</w:t>
      </w:r>
    </w:p>
    <w:p>
      <w:r>
        <w:t>Solution: perform pair validation, co-registration checks, resolution compatibility checks and quality scoring before analysis. If quality is insufficient, explain why the operation cannot be trusted.</w:t>
      </w:r>
    </w:p>
    <w:p>
      <w:pPr>
        <w:pStyle w:val="Heading2"/>
      </w:pPr>
      <w:r>
        <w:t>4. Evidence-Grounded Responses</w:t>
      </w:r>
    </w:p>
    <w:p>
      <w:r>
        <w:t>The assistant must not simply generate a natural-language answer from model output. The response should be tied to actual visual evidence. Otherwise, a confident language response can hide an incorrect detection.</w:t>
      </w:r>
    </w:p>
    <w:p>
      <w:r>
        <w:t>Impact: low trust and poor evaluation performance.</w:t>
      </w:r>
    </w:p>
    <w:p>
      <w:r>
        <w:t>Solution: require evidence objects such as bounding boxes, masks, coordinates, confidence, timestamps and model/tool identifiers whenever the task supports them.</w:t>
      </w:r>
    </w:p>
    <w:p>
      <w:pPr>
        <w:pStyle w:val="Heading2"/>
      </w:pPr>
      <w:r>
        <w:t>5. Dataset and Evaluation Gap</w:t>
      </w:r>
    </w:p>
    <w:p>
      <w:r>
        <w:t>A new feature may work on a few demo images but fail on the prescribed benchmark or target evaluation data. This is especially likely under domain shift between public datasets and ISRO/SAC imagery.</w:t>
      </w:r>
    </w:p>
    <w:p>
      <w:r>
        <w:t>Impact: weak final benchmark score despite a good demo.</w:t>
      </w:r>
    </w:p>
    <w:p>
      <w:r>
        <w:t>Solution: create a feature-specific evaluation matrix before implementation. Test normal, difficult, negative, cross-modal, multitemporal and metadata-missing cases.</w:t>
      </w:r>
    </w:p>
    <w:p>
      <w:pPr>
        <w:pStyle w:val="Heading2"/>
      </w:pPr>
      <w:r>
        <w:t>6. Performance at Realistic Image Scale</w:t>
      </w:r>
    </w:p>
    <w:p>
      <w:r>
        <w:t>Remote-sensing files may be much larger than typical computer-vision images. Full-image inference can exhaust memory and produce unacceptable latency.</w:t>
      </w:r>
    </w:p>
    <w:p>
      <w:r>
        <w:t>Impact: crashes, timeouts and poor user experience.</w:t>
      </w:r>
    </w:p>
    <w:p>
      <w:r>
        <w:t>Solution: tile images, process only relevant regions when possible, cache preprocessing, limit concurrency and monitor memory/GPU usage.</w:t>
      </w:r>
    </w:p>
    <w:p>
      <w:pPr>
        <w:pStyle w:val="Heading2"/>
      </w:pPr>
      <w:r>
        <w:t>7. Backward Compatibility</w:t>
      </w:r>
    </w:p>
    <w:p>
      <w:r>
        <w:t>A new feature can unintentionally alter prompts, schemas, preprocessing or shared services used by existing mandatory tasks.</w:t>
      </w:r>
    </w:p>
    <w:p>
      <w:r>
        <w:t>Impact: a new feature works but previously working capabilities stop working.</w:t>
      </w:r>
    </w:p>
    <w:p>
      <w:r>
        <w:t>Solution: regression test every mandatory existing workflow after each integration step and use versioned interfaces where practical.</w:t>
      </w:r>
    </w:p>
    <w:p>
      <w:pPr>
        <w:pStyle w:val="Heading1"/>
      </w:pPr>
      <w:r>
        <w:t>5. New Feature Addition Checklist</w:t>
      </w:r>
    </w:p>
    <w:p>
      <w:pPr>
        <w:pStyle w:val="ListBullet"/>
      </w:pPr>
      <w:r>
        <w:t>Define the exact user problem and expected output before coding.</w:t>
      </w:r>
    </w:p>
    <w:p>
      <w:pPr>
        <w:pStyle w:val="ListBullet"/>
      </w:pPr>
      <w:r>
        <w:t>Identify which existing modules/APIs/agent tools the feature will touch.</w:t>
      </w:r>
    </w:p>
    <w:p>
      <w:pPr>
        <w:pStyle w:val="ListBullet"/>
      </w:pPr>
      <w:r>
        <w:t>List supported image types, modalities, resolutions and metadata requirements.</w:t>
      </w:r>
    </w:p>
    <w:p>
      <w:pPr>
        <w:pStyle w:val="ListBullet"/>
      </w:pPr>
      <w:r>
        <w:t>Decide whether the feature needs single-image, optical–SAR, bi-temporal or all input modes.</w:t>
      </w:r>
    </w:p>
    <w:p>
      <w:pPr>
        <w:pStyle w:val="ListBullet"/>
      </w:pPr>
      <w:r>
        <w:t>Define preprocessing and geospatial validation rules.</w:t>
      </w:r>
    </w:p>
    <w:p>
      <w:pPr>
        <w:pStyle w:val="ListBullet"/>
      </w:pPr>
      <w:r>
        <w:t>Select the specialist model/tool and document its dependencies.</w:t>
      </w:r>
    </w:p>
    <w:p>
      <w:pPr>
        <w:pStyle w:val="ListBullet"/>
      </w:pPr>
      <w:r>
        <w:t>Define the agent-routing condition and negative cases where the tool must NOT be selected.</w:t>
      </w:r>
    </w:p>
    <w:p>
      <w:pPr>
        <w:pStyle w:val="ListBullet"/>
      </w:pPr>
      <w:r>
        <w:t>Define output schema: answer, confidence, evidence, coordinates/boxes/masks, warnings and model/tool ID.</w:t>
      </w:r>
    </w:p>
    <w:p>
      <w:pPr>
        <w:pStyle w:val="ListBullet"/>
      </w:pPr>
      <w:r>
        <w:t>Define failure states and fallback behaviour.</w:t>
      </w:r>
    </w:p>
    <w:p>
      <w:pPr>
        <w:pStyle w:val="ListBullet"/>
      </w:pPr>
      <w:r>
        <w:t>Create a small local test dataset before full integration.</w:t>
      </w:r>
    </w:p>
    <w:p>
      <w:pPr>
        <w:pStyle w:val="ListBullet"/>
      </w:pPr>
      <w:r>
        <w:t>Create benchmark and target-domain evaluation cases.</w:t>
      </w:r>
    </w:p>
    <w:p>
      <w:pPr>
        <w:pStyle w:val="ListBullet"/>
      </w:pPr>
      <w:r>
        <w:t>Measure accuracy/quality and latency before and after adding the feature.</w:t>
      </w:r>
    </w:p>
    <w:p>
      <w:pPr>
        <w:pStyle w:val="ListBullet"/>
      </w:pPr>
      <w:r>
        <w:t>Test large files and concurrent requests.</w:t>
      </w:r>
    </w:p>
    <w:p>
      <w:pPr>
        <w:pStyle w:val="ListBullet"/>
      </w:pPr>
      <w:r>
        <w:t>Test missing metadata, corrupted files, unsupported formats and misaligned image pairs.</w:t>
      </w:r>
    </w:p>
    <w:p>
      <w:pPr>
        <w:pStyle w:val="ListBullet"/>
      </w:pPr>
      <w:r>
        <w:t>Run regression tests for all existing SatQuery AI capabilities.</w:t>
      </w:r>
    </w:p>
    <w:p>
      <w:pPr>
        <w:pStyle w:val="ListBullet"/>
      </w:pPr>
      <w:r>
        <w:t>Document assumptions, limitations and known failure cases.</w:t>
      </w:r>
    </w:p>
    <w:p>
      <w:pPr>
        <w:pStyle w:val="ListBullet"/>
      </w:pPr>
      <w:r>
        <w:t>Review security, privacy, storage and logging implications.</w:t>
      </w:r>
    </w:p>
    <w:p>
      <w:pPr>
        <w:pStyle w:val="ListBullet"/>
      </w:pPr>
      <w:r>
        <w:t>Only then merge the feature into the main branch.</w:t>
      </w:r>
    </w:p>
    <w:p>
      <w:pPr>
        <w:pStyle w:val="Heading1"/>
      </w:pPr>
      <w:r>
        <w:t>6. Proposed Testing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rFonts w:ascii="Arial" w:hAnsi="Arial"/>
                <w:sz w:val="17"/>
              </w:rPr>
              <w:t>Test Category</w:t>
            </w:r>
          </w:p>
        </w:tc>
        <w:tc>
          <w:tcPr>
            <w:tcW w:type="dxa" w:w="2045"/>
          </w:tcPr>
          <w:p>
            <w:r>
              <w:rPr>
                <w:rFonts w:ascii="Arial" w:hAnsi="Arial"/>
                <w:sz w:val="17"/>
              </w:rPr>
              <w:t>Example</w:t>
            </w:r>
          </w:p>
        </w:tc>
        <w:tc>
          <w:tcPr>
            <w:tcW w:type="dxa" w:w="2045"/>
          </w:tcPr>
          <w:p>
            <w:r>
              <w:rPr>
                <w:rFonts w:ascii="Arial" w:hAnsi="Arial"/>
                <w:sz w:val="17"/>
              </w:rPr>
              <w:t>Expected Behaviour</w:t>
            </w:r>
          </w:p>
        </w:tc>
        <w:tc>
          <w:tcPr>
            <w:tcW w:type="dxa" w:w="2045"/>
          </w:tcPr>
          <w:p>
            <w:r>
              <w:rPr>
                <w:rFonts w:ascii="Arial" w:hAnsi="Arial"/>
                <w:sz w:val="17"/>
              </w:rPr>
              <w:t>Priority</w:t>
            </w:r>
          </w:p>
        </w:tc>
        <w:tc>
          <w:tcPr>
            <w:tcW w:type="dxa" w:w="2045"/>
          </w:tcPr>
          <w:p>
            <w:r>
              <w:rPr>
                <w:rFonts w:ascii="Arial" w:hAnsi="Arial"/>
                <w:sz w:val="17"/>
              </w:rPr>
              <w:t>Pass Condition</w:t>
            </w:r>
          </w:p>
        </w:tc>
      </w:tr>
      <w:tr>
        <w:tc>
          <w:tcPr>
            <w:tcW w:type="dxa" w:w="2045"/>
          </w:tcPr>
          <w:p>
            <w:r>
              <w:rPr>
                <w:rFonts w:ascii="Arial" w:hAnsi="Arial"/>
                <w:sz w:val="17"/>
              </w:rPr>
              <w:t>Functional</w:t>
            </w:r>
          </w:p>
        </w:tc>
        <w:tc>
          <w:tcPr>
            <w:tcW w:type="dxa" w:w="2045"/>
          </w:tcPr>
          <w:p>
            <w:r>
              <w:rPr>
                <w:rFonts w:ascii="Arial" w:hAnsi="Arial"/>
                <w:sz w:val="17"/>
              </w:rPr>
              <w:t>Valid single optical image + valid query</w:t>
            </w:r>
          </w:p>
        </w:tc>
        <w:tc>
          <w:tcPr>
            <w:tcW w:type="dxa" w:w="2045"/>
          </w:tcPr>
          <w:p>
            <w:r>
              <w:rPr>
                <w:rFonts w:ascii="Arial" w:hAnsi="Arial"/>
                <w:sz w:val="17"/>
              </w:rPr>
              <w:t>Feature returns correct output and evidence</w:t>
            </w:r>
          </w:p>
        </w:tc>
        <w:tc>
          <w:tcPr>
            <w:tcW w:type="dxa" w:w="2045"/>
          </w:tcPr>
          <w:p>
            <w:r>
              <w:rPr>
                <w:rFonts w:ascii="Arial" w:hAnsi="Arial"/>
                <w:sz w:val="17"/>
              </w:rPr>
              <w:t>Critical</w:t>
            </w:r>
          </w:p>
        </w:tc>
        <w:tc>
          <w:tcPr>
            <w:tcW w:type="dxa" w:w="2045"/>
          </w:tcPr>
          <w:p>
            <w:r>
              <w:rPr>
                <w:rFonts w:ascii="Arial" w:hAnsi="Arial"/>
                <w:sz w:val="17"/>
              </w:rPr>
              <w:t>Correct result on defined test cases</w:t>
            </w:r>
          </w:p>
        </w:tc>
      </w:tr>
      <w:tr>
        <w:tc>
          <w:tcPr>
            <w:tcW w:type="dxa" w:w="2045"/>
          </w:tcPr>
          <w:p>
            <w:r>
              <w:rPr>
                <w:rFonts w:ascii="Arial" w:hAnsi="Arial"/>
                <w:sz w:val="17"/>
              </w:rPr>
              <w:t>Negative</w:t>
            </w:r>
          </w:p>
        </w:tc>
        <w:tc>
          <w:tcPr>
            <w:tcW w:type="dxa" w:w="2045"/>
          </w:tcPr>
          <w:p>
            <w:r>
              <w:rPr>
                <w:rFonts w:ascii="Arial" w:hAnsi="Arial"/>
                <w:sz w:val="17"/>
              </w:rPr>
              <w:t>Query outside feature scope</w:t>
            </w:r>
          </w:p>
        </w:tc>
        <w:tc>
          <w:tcPr>
            <w:tcW w:type="dxa" w:w="2045"/>
          </w:tcPr>
          <w:p>
            <w:r>
              <w:rPr>
                <w:rFonts w:ascii="Arial" w:hAnsi="Arial"/>
                <w:sz w:val="17"/>
              </w:rPr>
              <w:t>Agent does not select new tool</w:t>
            </w:r>
          </w:p>
        </w:tc>
        <w:tc>
          <w:tcPr>
            <w:tcW w:type="dxa" w:w="2045"/>
          </w:tcPr>
          <w:p>
            <w:r>
              <w:rPr>
                <w:rFonts w:ascii="Arial" w:hAnsi="Arial"/>
                <w:sz w:val="17"/>
              </w:rPr>
              <w:t>High</w:t>
            </w:r>
          </w:p>
        </w:tc>
        <w:tc>
          <w:tcPr>
            <w:tcW w:type="dxa" w:w="2045"/>
          </w:tcPr>
          <w:p>
            <w:r>
              <w:rPr>
                <w:rFonts w:ascii="Arial" w:hAnsi="Arial"/>
                <w:sz w:val="17"/>
              </w:rPr>
              <w:t>Correct routing/fallback</w:t>
            </w:r>
          </w:p>
        </w:tc>
      </w:tr>
      <w:tr>
        <w:tc>
          <w:tcPr>
            <w:tcW w:type="dxa" w:w="2045"/>
          </w:tcPr>
          <w:p>
            <w:r>
              <w:rPr>
                <w:rFonts w:ascii="Arial" w:hAnsi="Arial"/>
                <w:sz w:val="17"/>
              </w:rPr>
              <w:t>Metadata</w:t>
            </w:r>
          </w:p>
        </w:tc>
        <w:tc>
          <w:tcPr>
            <w:tcW w:type="dxa" w:w="2045"/>
          </w:tcPr>
          <w:p>
            <w:r>
              <w:rPr>
                <w:rFonts w:ascii="Arial" w:hAnsi="Arial"/>
                <w:sz w:val="17"/>
              </w:rPr>
              <w:t>Missing CRS or invalid transform</w:t>
            </w:r>
          </w:p>
        </w:tc>
        <w:tc>
          <w:tcPr>
            <w:tcW w:type="dxa" w:w="2045"/>
          </w:tcPr>
          <w:p>
            <w:r>
              <w:rPr>
                <w:rFonts w:ascii="Arial" w:hAnsi="Arial"/>
                <w:sz w:val="17"/>
              </w:rPr>
              <w:t>System rejects or clearly warns</w:t>
            </w:r>
          </w:p>
        </w:tc>
        <w:tc>
          <w:tcPr>
            <w:tcW w:type="dxa" w:w="2045"/>
          </w:tcPr>
          <w:p>
            <w:r>
              <w:rPr>
                <w:rFonts w:ascii="Arial" w:hAnsi="Arial"/>
                <w:sz w:val="17"/>
              </w:rPr>
              <w:t>Critical</w:t>
            </w:r>
          </w:p>
        </w:tc>
        <w:tc>
          <w:tcPr>
            <w:tcW w:type="dxa" w:w="2045"/>
          </w:tcPr>
          <w:p>
            <w:r>
              <w:rPr>
                <w:rFonts w:ascii="Arial" w:hAnsi="Arial"/>
                <w:sz w:val="17"/>
              </w:rPr>
              <w:t>No silent geospatial error</w:t>
            </w:r>
          </w:p>
        </w:tc>
      </w:tr>
      <w:tr>
        <w:tc>
          <w:tcPr>
            <w:tcW w:type="dxa" w:w="2045"/>
          </w:tcPr>
          <w:p>
            <w:r>
              <w:rPr>
                <w:rFonts w:ascii="Arial" w:hAnsi="Arial"/>
                <w:sz w:val="17"/>
              </w:rPr>
              <w:t>Cross-modal</w:t>
            </w:r>
          </w:p>
        </w:tc>
        <w:tc>
          <w:tcPr>
            <w:tcW w:type="dxa" w:w="2045"/>
          </w:tcPr>
          <w:p>
            <w:r>
              <w:rPr>
                <w:rFonts w:ascii="Arial" w:hAnsi="Arial"/>
                <w:sz w:val="17"/>
              </w:rPr>
              <w:t>Optical + SAR pair</w:t>
            </w:r>
          </w:p>
        </w:tc>
        <w:tc>
          <w:tcPr>
            <w:tcW w:type="dxa" w:w="2045"/>
          </w:tcPr>
          <w:p>
            <w:r>
              <w:rPr>
                <w:rFonts w:ascii="Arial" w:hAnsi="Arial"/>
                <w:sz w:val="17"/>
              </w:rPr>
              <w:t>Feature handles or rejects based on compatibility</w:t>
            </w:r>
          </w:p>
        </w:tc>
        <w:tc>
          <w:tcPr>
            <w:tcW w:type="dxa" w:w="2045"/>
          </w:tcPr>
          <w:p>
            <w:r>
              <w:rPr>
                <w:rFonts w:ascii="Arial" w:hAnsi="Arial"/>
                <w:sz w:val="17"/>
              </w:rPr>
              <w:t>Critical</w:t>
            </w:r>
          </w:p>
        </w:tc>
        <w:tc>
          <w:tcPr>
            <w:tcW w:type="dxa" w:w="2045"/>
          </w:tcPr>
          <w:p>
            <w:r>
              <w:rPr>
                <w:rFonts w:ascii="Arial" w:hAnsi="Arial"/>
                <w:sz w:val="17"/>
              </w:rPr>
              <w:t>No false alignment</w:t>
            </w:r>
          </w:p>
        </w:tc>
      </w:tr>
      <w:tr>
        <w:tc>
          <w:tcPr>
            <w:tcW w:type="dxa" w:w="2045"/>
          </w:tcPr>
          <w:p>
            <w:r>
              <w:rPr>
                <w:rFonts w:ascii="Arial" w:hAnsi="Arial"/>
                <w:sz w:val="17"/>
              </w:rPr>
              <w:t>Temporal</w:t>
            </w:r>
          </w:p>
        </w:tc>
        <w:tc>
          <w:tcPr>
            <w:tcW w:type="dxa" w:w="2045"/>
          </w:tcPr>
          <w:p>
            <w:r>
              <w:rPr>
                <w:rFonts w:ascii="Arial" w:hAnsi="Arial"/>
                <w:sz w:val="17"/>
              </w:rPr>
              <w:t>Poorly aligned image pair</w:t>
            </w:r>
          </w:p>
        </w:tc>
        <w:tc>
          <w:tcPr>
            <w:tcW w:type="dxa" w:w="2045"/>
          </w:tcPr>
          <w:p>
            <w:r>
              <w:rPr>
                <w:rFonts w:ascii="Arial" w:hAnsi="Arial"/>
                <w:sz w:val="17"/>
              </w:rPr>
              <w:t>System flags quality problem</w:t>
            </w:r>
          </w:p>
        </w:tc>
        <w:tc>
          <w:tcPr>
            <w:tcW w:type="dxa" w:w="2045"/>
          </w:tcPr>
          <w:p>
            <w:r>
              <w:rPr>
                <w:rFonts w:ascii="Arial" w:hAnsi="Arial"/>
                <w:sz w:val="17"/>
              </w:rPr>
              <w:t>Critical</w:t>
            </w:r>
          </w:p>
        </w:tc>
        <w:tc>
          <w:tcPr>
            <w:tcW w:type="dxa" w:w="2045"/>
          </w:tcPr>
          <w:p>
            <w:r>
              <w:rPr>
                <w:rFonts w:ascii="Arial" w:hAnsi="Arial"/>
                <w:sz w:val="17"/>
              </w:rPr>
              <w:t>No unsupported change claim</w:t>
            </w:r>
          </w:p>
        </w:tc>
      </w:tr>
      <w:tr>
        <w:tc>
          <w:tcPr>
            <w:tcW w:type="dxa" w:w="2045"/>
          </w:tcPr>
          <w:p>
            <w:r>
              <w:rPr>
                <w:rFonts w:ascii="Arial" w:hAnsi="Arial"/>
                <w:sz w:val="17"/>
              </w:rPr>
              <w:t>Large file</w:t>
            </w:r>
          </w:p>
        </w:tc>
        <w:tc>
          <w:tcPr>
            <w:tcW w:type="dxa" w:w="2045"/>
          </w:tcPr>
          <w:p>
            <w:r>
              <w:rPr>
                <w:rFonts w:ascii="Arial" w:hAnsi="Arial"/>
                <w:sz w:val="17"/>
              </w:rPr>
              <w:t>Very large GeoTIFF</w:t>
            </w:r>
          </w:p>
        </w:tc>
        <w:tc>
          <w:tcPr>
            <w:tcW w:type="dxa" w:w="2045"/>
          </w:tcPr>
          <w:p>
            <w:r>
              <w:rPr>
                <w:rFonts w:ascii="Arial" w:hAnsi="Arial"/>
                <w:sz w:val="17"/>
              </w:rPr>
              <w:t>System processes in bounded memory</w:t>
            </w:r>
          </w:p>
        </w:tc>
        <w:tc>
          <w:tcPr>
            <w:tcW w:type="dxa" w:w="2045"/>
          </w:tcPr>
          <w:p>
            <w:r>
              <w:rPr>
                <w:rFonts w:ascii="Arial" w:hAnsi="Arial"/>
                <w:sz w:val="17"/>
              </w:rPr>
              <w:t>High</w:t>
            </w:r>
          </w:p>
        </w:tc>
        <w:tc>
          <w:tcPr>
            <w:tcW w:type="dxa" w:w="2045"/>
          </w:tcPr>
          <w:p>
            <w:r>
              <w:rPr>
                <w:rFonts w:ascii="Arial" w:hAnsi="Arial"/>
                <w:sz w:val="17"/>
              </w:rPr>
              <w:t>No crash/time-out beyond defined SLA</w:t>
            </w:r>
          </w:p>
        </w:tc>
      </w:tr>
      <w:tr>
        <w:tc>
          <w:tcPr>
            <w:tcW w:type="dxa" w:w="2045"/>
          </w:tcPr>
          <w:p>
            <w:r>
              <w:rPr>
                <w:rFonts w:ascii="Arial" w:hAnsi="Arial"/>
                <w:sz w:val="17"/>
              </w:rPr>
              <w:t>Performance</w:t>
            </w:r>
          </w:p>
        </w:tc>
        <w:tc>
          <w:tcPr>
            <w:tcW w:type="dxa" w:w="2045"/>
          </w:tcPr>
          <w:p>
            <w:r>
              <w:rPr>
                <w:rFonts w:ascii="Arial" w:hAnsi="Arial"/>
                <w:sz w:val="17"/>
              </w:rPr>
              <w:t>Concurrent requests</w:t>
            </w:r>
          </w:p>
        </w:tc>
        <w:tc>
          <w:tcPr>
            <w:tcW w:type="dxa" w:w="2045"/>
          </w:tcPr>
          <w:p>
            <w:r>
              <w:rPr>
                <w:rFonts w:ascii="Arial" w:hAnsi="Arial"/>
                <w:sz w:val="17"/>
              </w:rPr>
              <w:t>System remains responsive or queues jobs</w:t>
            </w:r>
          </w:p>
        </w:tc>
        <w:tc>
          <w:tcPr>
            <w:tcW w:type="dxa" w:w="2045"/>
          </w:tcPr>
          <w:p>
            <w:r>
              <w:rPr>
                <w:rFonts w:ascii="Arial" w:hAnsi="Arial"/>
                <w:sz w:val="17"/>
              </w:rPr>
              <w:t>High</w:t>
            </w:r>
          </w:p>
        </w:tc>
        <w:tc>
          <w:tcPr>
            <w:tcW w:type="dxa" w:w="2045"/>
          </w:tcPr>
          <w:p>
            <w:r>
              <w:rPr>
                <w:rFonts w:ascii="Arial" w:hAnsi="Arial"/>
                <w:sz w:val="17"/>
              </w:rPr>
              <w:t>Within defined latency/resource limits</w:t>
            </w:r>
          </w:p>
        </w:tc>
      </w:tr>
      <w:tr>
        <w:tc>
          <w:tcPr>
            <w:tcW w:type="dxa" w:w="2045"/>
          </w:tcPr>
          <w:p>
            <w:r>
              <w:rPr>
                <w:rFonts w:ascii="Arial" w:hAnsi="Arial"/>
                <w:sz w:val="17"/>
              </w:rPr>
              <w:t>Robustness</w:t>
            </w:r>
          </w:p>
        </w:tc>
        <w:tc>
          <w:tcPr>
            <w:tcW w:type="dxa" w:w="2045"/>
          </w:tcPr>
          <w:p>
            <w:r>
              <w:rPr>
                <w:rFonts w:ascii="Arial" w:hAnsi="Arial"/>
                <w:sz w:val="17"/>
              </w:rPr>
              <w:t>Noisy/cloudy/low-quality image</w:t>
            </w:r>
          </w:p>
        </w:tc>
        <w:tc>
          <w:tcPr>
            <w:tcW w:type="dxa" w:w="2045"/>
          </w:tcPr>
          <w:p>
            <w:r>
              <w:rPr>
                <w:rFonts w:ascii="Arial" w:hAnsi="Arial"/>
                <w:sz w:val="17"/>
              </w:rPr>
              <w:t>Confidence decreases or system abstains</w:t>
            </w:r>
          </w:p>
        </w:tc>
        <w:tc>
          <w:tcPr>
            <w:tcW w:type="dxa" w:w="2045"/>
          </w:tcPr>
          <w:p>
            <w:r>
              <w:rPr>
                <w:rFonts w:ascii="Arial" w:hAnsi="Arial"/>
                <w:sz w:val="17"/>
              </w:rPr>
              <w:t>High</w:t>
            </w:r>
          </w:p>
        </w:tc>
        <w:tc>
          <w:tcPr>
            <w:tcW w:type="dxa" w:w="2045"/>
          </w:tcPr>
          <w:p>
            <w:r>
              <w:rPr>
                <w:rFonts w:ascii="Arial" w:hAnsi="Arial"/>
                <w:sz w:val="17"/>
              </w:rPr>
              <w:t>No unjustified confident result</w:t>
            </w:r>
          </w:p>
        </w:tc>
      </w:tr>
      <w:tr>
        <w:tc>
          <w:tcPr>
            <w:tcW w:type="dxa" w:w="2045"/>
          </w:tcPr>
          <w:p>
            <w:r>
              <w:rPr>
                <w:rFonts w:ascii="Arial" w:hAnsi="Arial"/>
                <w:sz w:val="17"/>
              </w:rPr>
              <w:t>Regression</w:t>
            </w:r>
          </w:p>
        </w:tc>
        <w:tc>
          <w:tcPr>
            <w:tcW w:type="dxa" w:w="2045"/>
          </w:tcPr>
          <w:p>
            <w:r>
              <w:rPr>
                <w:rFonts w:ascii="Arial" w:hAnsi="Arial"/>
                <w:sz w:val="17"/>
              </w:rPr>
              <w:t>All existing mandatory workflows</w:t>
            </w:r>
          </w:p>
        </w:tc>
        <w:tc>
          <w:tcPr>
            <w:tcW w:type="dxa" w:w="2045"/>
          </w:tcPr>
          <w:p>
            <w:r>
              <w:rPr>
                <w:rFonts w:ascii="Arial" w:hAnsi="Arial"/>
                <w:sz w:val="17"/>
              </w:rPr>
              <w:t>Existing features remain unchanged</w:t>
            </w:r>
          </w:p>
        </w:tc>
        <w:tc>
          <w:tcPr>
            <w:tcW w:type="dxa" w:w="2045"/>
          </w:tcPr>
          <w:p>
            <w:r>
              <w:rPr>
                <w:rFonts w:ascii="Arial" w:hAnsi="Arial"/>
                <w:sz w:val="17"/>
              </w:rPr>
              <w:t>Critical</w:t>
            </w:r>
          </w:p>
        </w:tc>
        <w:tc>
          <w:tcPr>
            <w:tcW w:type="dxa" w:w="2045"/>
          </w:tcPr>
          <w:p>
            <w:r>
              <w:rPr>
                <w:rFonts w:ascii="Arial" w:hAnsi="Arial"/>
                <w:sz w:val="17"/>
              </w:rPr>
              <w:t>All regression tests pass</w:t>
            </w:r>
          </w:p>
        </w:tc>
      </w:tr>
      <w:tr>
        <w:tc>
          <w:tcPr>
            <w:tcW w:type="dxa" w:w="2045"/>
          </w:tcPr>
          <w:p>
            <w:r>
              <w:rPr>
                <w:rFonts w:ascii="Arial" w:hAnsi="Arial"/>
                <w:sz w:val="17"/>
              </w:rPr>
              <w:t>Security</w:t>
            </w:r>
          </w:p>
        </w:tc>
        <w:tc>
          <w:tcPr>
            <w:tcW w:type="dxa" w:w="2045"/>
          </w:tcPr>
          <w:p>
            <w:r>
              <w:rPr>
                <w:rFonts w:ascii="Arial" w:hAnsi="Arial"/>
                <w:sz w:val="17"/>
              </w:rPr>
              <w:t>Malformed/oversized upload</w:t>
            </w:r>
          </w:p>
        </w:tc>
        <w:tc>
          <w:tcPr>
            <w:tcW w:type="dxa" w:w="2045"/>
          </w:tcPr>
          <w:p>
            <w:r>
              <w:rPr>
                <w:rFonts w:ascii="Arial" w:hAnsi="Arial"/>
                <w:sz w:val="17"/>
              </w:rPr>
              <w:t>File is safely rejected</w:t>
            </w:r>
          </w:p>
        </w:tc>
        <w:tc>
          <w:tcPr>
            <w:tcW w:type="dxa" w:w="2045"/>
          </w:tcPr>
          <w:p>
            <w:r>
              <w:rPr>
                <w:rFonts w:ascii="Arial" w:hAnsi="Arial"/>
                <w:sz w:val="17"/>
              </w:rPr>
              <w:t>High</w:t>
            </w:r>
          </w:p>
        </w:tc>
        <w:tc>
          <w:tcPr>
            <w:tcW w:type="dxa" w:w="2045"/>
          </w:tcPr>
          <w:p>
            <w:r>
              <w:rPr>
                <w:rFonts w:ascii="Arial" w:hAnsi="Arial"/>
                <w:sz w:val="17"/>
              </w:rPr>
              <w:t>No unsafe processing</w:t>
            </w:r>
          </w:p>
        </w:tc>
      </w:tr>
      <w:tr>
        <w:tc>
          <w:tcPr>
            <w:tcW w:type="dxa" w:w="2045"/>
          </w:tcPr>
          <w:p>
            <w:r>
              <w:rPr>
                <w:rFonts w:ascii="Arial" w:hAnsi="Arial"/>
                <w:sz w:val="17"/>
              </w:rPr>
              <w:t>Explainability</w:t>
            </w:r>
          </w:p>
        </w:tc>
        <w:tc>
          <w:tcPr>
            <w:tcW w:type="dxa" w:w="2045"/>
          </w:tcPr>
          <w:p>
            <w:r>
              <w:rPr>
                <w:rFonts w:ascii="Arial" w:hAnsi="Arial"/>
                <w:sz w:val="17"/>
              </w:rPr>
              <w:t>Correct detection</w:t>
            </w:r>
          </w:p>
        </w:tc>
        <w:tc>
          <w:tcPr>
            <w:tcW w:type="dxa" w:w="2045"/>
          </w:tcPr>
          <w:p>
            <w:r>
              <w:rPr>
                <w:rFonts w:ascii="Arial" w:hAnsi="Arial"/>
                <w:sz w:val="17"/>
              </w:rPr>
              <w:t>UI shows evidence/confidence</w:t>
            </w:r>
          </w:p>
        </w:tc>
        <w:tc>
          <w:tcPr>
            <w:tcW w:type="dxa" w:w="2045"/>
          </w:tcPr>
          <w:p>
            <w:r>
              <w:rPr>
                <w:rFonts w:ascii="Arial" w:hAnsi="Arial"/>
                <w:sz w:val="17"/>
              </w:rPr>
              <w:t>High</w:t>
            </w:r>
          </w:p>
        </w:tc>
        <w:tc>
          <w:tcPr>
            <w:tcW w:type="dxa" w:w="2045"/>
          </w:tcPr>
          <w:p>
            <w:r>
              <w:rPr>
                <w:rFonts w:ascii="Arial" w:hAnsi="Arial"/>
                <w:sz w:val="17"/>
              </w:rPr>
              <w:t>User can verify result visually</w:t>
            </w:r>
          </w:p>
        </w:tc>
      </w:tr>
      <w:tr>
        <w:tc>
          <w:tcPr>
            <w:tcW w:type="dxa" w:w="2045"/>
          </w:tcPr>
          <w:p>
            <w:r>
              <w:rPr>
                <w:rFonts w:ascii="Arial" w:hAnsi="Arial"/>
                <w:sz w:val="17"/>
              </w:rPr>
              <w:t>Reproducibility</w:t>
            </w:r>
          </w:p>
        </w:tc>
        <w:tc>
          <w:tcPr>
            <w:tcW w:type="dxa" w:w="2045"/>
          </w:tcPr>
          <w:p>
            <w:r>
              <w:rPr>
                <w:rFonts w:ascii="Arial" w:hAnsi="Arial"/>
                <w:sz w:val="17"/>
              </w:rPr>
              <w:t>Same input/configuration</w:t>
            </w:r>
          </w:p>
        </w:tc>
        <w:tc>
          <w:tcPr>
            <w:tcW w:type="dxa" w:w="2045"/>
          </w:tcPr>
          <w:p>
            <w:r>
              <w:rPr>
                <w:rFonts w:ascii="Arial" w:hAnsi="Arial"/>
                <w:sz w:val="17"/>
              </w:rPr>
              <w:t>Same or controlled-equivalent output</w:t>
            </w:r>
          </w:p>
        </w:tc>
        <w:tc>
          <w:tcPr>
            <w:tcW w:type="dxa" w:w="2045"/>
          </w:tcPr>
          <w:p>
            <w:r>
              <w:rPr>
                <w:rFonts w:ascii="Arial" w:hAnsi="Arial"/>
                <w:sz w:val="17"/>
              </w:rPr>
              <w:t>Medium</w:t>
            </w:r>
          </w:p>
        </w:tc>
        <w:tc>
          <w:tcPr>
            <w:tcW w:type="dxa" w:w="2045"/>
          </w:tcPr>
          <w:p>
            <w:r>
              <w:rPr>
                <w:rFonts w:ascii="Arial" w:hAnsi="Arial"/>
                <w:sz w:val="17"/>
              </w:rPr>
              <w:t>Output variation within defined tolerance</w:t>
            </w:r>
          </w:p>
        </w:tc>
      </w:tr>
    </w:tbl>
    <w:p>
      <w:pPr>
        <w:pStyle w:val="Heading1"/>
      </w:pPr>
      <w:r>
        <w:t>7. Recommended Architecture for Safe Feature Addition</w:t>
      </w:r>
    </w:p>
    <w:p>
      <w:pPr>
        <w:pStyle w:val="ListNumber"/>
      </w:pPr>
      <w:r>
        <w:t>User Query Layer: receives natural-language query and image/pair metadata.</w:t>
      </w:r>
    </w:p>
    <w:p>
      <w:pPr>
        <w:pStyle w:val="ListNumber"/>
      </w:pPr>
      <w:r>
        <w:t>Input Validation Layer: checks file type, size, bands, CRS, dimensions, temporal compatibility and required metadata.</w:t>
      </w:r>
    </w:p>
    <w:p>
      <w:pPr>
        <w:pStyle w:val="ListNumber"/>
      </w:pPr>
      <w:r>
        <w:t>Agent/Router Layer: decides whether the new feature is appropriate and selects the specialist model/tool.</w:t>
      </w:r>
    </w:p>
    <w:p>
      <w:pPr>
        <w:pStyle w:val="ListNumber"/>
      </w:pPr>
      <w:r>
        <w:t>Preprocessing Layer: performs modality-specific normalization, tiling, reprojection or registration only when required.</w:t>
      </w:r>
    </w:p>
    <w:p>
      <w:pPr>
        <w:pStyle w:val="ListNumber"/>
      </w:pPr>
      <w:r>
        <w:t>Specialist Feature Module: performs the actual new task and returns a structured result.</w:t>
      </w:r>
    </w:p>
    <w:p>
      <w:pPr>
        <w:pStyle w:val="ListNumber"/>
      </w:pPr>
      <w:r>
        <w:t>Validation/Evidence Layer: checks confidence, output validity and evidence consistency.</w:t>
      </w:r>
    </w:p>
    <w:p>
      <w:pPr>
        <w:pStyle w:val="ListNumber"/>
      </w:pPr>
      <w:r>
        <w:t>Response Composer: converts structured output into a concise, evidence-grounded natural-language response.</w:t>
      </w:r>
    </w:p>
    <w:p>
      <w:pPr>
        <w:pStyle w:val="ListNumber"/>
      </w:pPr>
      <w:r>
        <w:t>UI Layer: displays result, evidence, confidence, warnings and optional advanced details.</w:t>
      </w:r>
    </w:p>
    <w:p>
      <w:pPr>
        <w:pStyle w:val="ListNumber"/>
      </w:pPr>
      <w:r>
        <w:t>Monitoring Layer: records latency, failures, routing decisions and model versions without exposing sensitive imagery unnecessarily.</w:t>
      </w:r>
    </w:p>
    <w:p>
      <w:pPr>
        <w:pStyle w:val="Heading1"/>
      </w:pPr>
      <w:r>
        <w:t>8. Risk Prioritization</w:t>
      </w:r>
    </w:p>
    <w:p>
      <w:r>
        <w:t>The highest-priority risks are those that can produce scientifically incorrect answers while still appearing successful to the user. These include geospatial misalignment, optical–SAR incompatibility, temporal misregistration, unsupported model outputs, hallucinated responses, and benchmark/domain shift. These should be solved before spending major effort on visual polish.</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rFonts w:ascii="Arial" w:hAnsi="Arial"/>
                <w:sz w:val="17"/>
              </w:rPr>
              <w:t>Priority</w:t>
            </w:r>
          </w:p>
        </w:tc>
        <w:tc>
          <w:tcPr>
            <w:tcW w:type="dxa" w:w="2556"/>
          </w:tcPr>
          <w:p>
            <w:r>
              <w:rPr>
                <w:rFonts w:ascii="Arial" w:hAnsi="Arial"/>
                <w:sz w:val="17"/>
              </w:rPr>
              <w:t>Risk</w:t>
            </w:r>
          </w:p>
        </w:tc>
        <w:tc>
          <w:tcPr>
            <w:tcW w:type="dxa" w:w="2556"/>
          </w:tcPr>
          <w:p>
            <w:r>
              <w:rPr>
                <w:rFonts w:ascii="Arial" w:hAnsi="Arial"/>
                <w:sz w:val="17"/>
              </w:rPr>
              <w:t>Why it matters</w:t>
            </w:r>
          </w:p>
        </w:tc>
        <w:tc>
          <w:tcPr>
            <w:tcW w:type="dxa" w:w="2556"/>
          </w:tcPr>
          <w:p>
            <w:r>
              <w:rPr>
                <w:rFonts w:ascii="Arial" w:hAnsi="Arial"/>
                <w:sz w:val="17"/>
              </w:rPr>
              <w:t>Action</w:t>
            </w:r>
          </w:p>
        </w:tc>
      </w:tr>
      <w:tr>
        <w:tc>
          <w:tcPr>
            <w:tcW w:type="dxa" w:w="2556"/>
          </w:tcPr>
          <w:p>
            <w:r>
              <w:rPr>
                <w:rFonts w:ascii="Arial" w:hAnsi="Arial"/>
                <w:sz w:val="17"/>
              </w:rPr>
              <w:t>P0 – Critical</w:t>
            </w:r>
          </w:p>
        </w:tc>
        <w:tc>
          <w:tcPr>
            <w:tcW w:type="dxa" w:w="2556"/>
          </w:tcPr>
          <w:p>
            <w:r>
              <w:rPr>
                <w:rFonts w:ascii="Arial" w:hAnsi="Arial"/>
                <w:sz w:val="17"/>
              </w:rPr>
              <w:t>Incorrect geospatial alignment</w:t>
            </w:r>
          </w:p>
        </w:tc>
        <w:tc>
          <w:tcPr>
            <w:tcW w:type="dxa" w:w="2556"/>
          </w:tcPr>
          <w:p>
            <w:r>
              <w:rPr>
                <w:rFonts w:ascii="Arial" w:hAnsi="Arial"/>
                <w:sz w:val="17"/>
              </w:rPr>
              <w:t>Can produce scientifically false results</w:t>
            </w:r>
          </w:p>
        </w:tc>
        <w:tc>
          <w:tcPr>
            <w:tcW w:type="dxa" w:w="2556"/>
          </w:tcPr>
          <w:p>
            <w:r>
              <w:rPr>
                <w:rFonts w:ascii="Arial" w:hAnsi="Arial"/>
                <w:sz w:val="17"/>
              </w:rPr>
              <w:t>Block release until validated</w:t>
            </w:r>
          </w:p>
        </w:tc>
      </w:tr>
      <w:tr>
        <w:tc>
          <w:tcPr>
            <w:tcW w:type="dxa" w:w="2556"/>
          </w:tcPr>
          <w:p>
            <w:r>
              <w:rPr>
                <w:rFonts w:ascii="Arial" w:hAnsi="Arial"/>
                <w:sz w:val="17"/>
              </w:rPr>
              <w:t>P0 – Critical</w:t>
            </w:r>
          </w:p>
        </w:tc>
        <w:tc>
          <w:tcPr>
            <w:tcW w:type="dxa" w:w="2556"/>
          </w:tcPr>
          <w:p>
            <w:r>
              <w:rPr>
                <w:rFonts w:ascii="Arial" w:hAnsi="Arial"/>
                <w:sz w:val="17"/>
              </w:rPr>
              <w:t>Wrong agent/model routing</w:t>
            </w:r>
          </w:p>
        </w:tc>
        <w:tc>
          <w:tcPr>
            <w:tcW w:type="dxa" w:w="2556"/>
          </w:tcPr>
          <w:p>
            <w:r>
              <w:rPr>
                <w:rFonts w:ascii="Arial" w:hAnsi="Arial"/>
                <w:sz w:val="17"/>
              </w:rPr>
              <w:t>Feature may be applied to unsuitable queries</w:t>
            </w:r>
          </w:p>
        </w:tc>
        <w:tc>
          <w:tcPr>
            <w:tcW w:type="dxa" w:w="2556"/>
          </w:tcPr>
          <w:p>
            <w:r>
              <w:rPr>
                <w:rFonts w:ascii="Arial" w:hAnsi="Arial"/>
                <w:sz w:val="17"/>
              </w:rPr>
              <w:t>Add routing tests</w:t>
            </w:r>
          </w:p>
        </w:tc>
      </w:tr>
      <w:tr>
        <w:tc>
          <w:tcPr>
            <w:tcW w:type="dxa" w:w="2556"/>
          </w:tcPr>
          <w:p>
            <w:r>
              <w:rPr>
                <w:rFonts w:ascii="Arial" w:hAnsi="Arial"/>
                <w:sz w:val="17"/>
              </w:rPr>
              <w:t>P0 – Critical</w:t>
            </w:r>
          </w:p>
        </w:tc>
        <w:tc>
          <w:tcPr>
            <w:tcW w:type="dxa" w:w="2556"/>
          </w:tcPr>
          <w:p>
            <w:r>
              <w:rPr>
                <w:rFonts w:ascii="Arial" w:hAnsi="Arial"/>
                <w:sz w:val="17"/>
              </w:rPr>
              <w:t>Unsupported/hallucinated answer</w:t>
            </w:r>
          </w:p>
        </w:tc>
        <w:tc>
          <w:tcPr>
            <w:tcW w:type="dxa" w:w="2556"/>
          </w:tcPr>
          <w:p>
            <w:r>
              <w:rPr>
                <w:rFonts w:ascii="Arial" w:hAnsi="Arial"/>
                <w:sz w:val="17"/>
              </w:rPr>
              <w:t>Creates false confidence</w:t>
            </w:r>
          </w:p>
        </w:tc>
        <w:tc>
          <w:tcPr>
            <w:tcW w:type="dxa" w:w="2556"/>
          </w:tcPr>
          <w:p>
            <w:r>
              <w:rPr>
                <w:rFonts w:ascii="Arial" w:hAnsi="Arial"/>
                <w:sz w:val="17"/>
              </w:rPr>
              <w:t>Require evidence + abstention</w:t>
            </w:r>
          </w:p>
        </w:tc>
      </w:tr>
      <w:tr>
        <w:tc>
          <w:tcPr>
            <w:tcW w:type="dxa" w:w="2556"/>
          </w:tcPr>
          <w:p>
            <w:r>
              <w:rPr>
                <w:rFonts w:ascii="Arial" w:hAnsi="Arial"/>
                <w:sz w:val="17"/>
              </w:rPr>
              <w:t>P0 – Critical</w:t>
            </w:r>
          </w:p>
        </w:tc>
        <w:tc>
          <w:tcPr>
            <w:tcW w:type="dxa" w:w="2556"/>
          </w:tcPr>
          <w:p>
            <w:r>
              <w:rPr>
                <w:rFonts w:ascii="Arial" w:hAnsi="Arial"/>
                <w:sz w:val="17"/>
              </w:rPr>
              <w:t>Benchmark/domain failure</w:t>
            </w:r>
          </w:p>
        </w:tc>
        <w:tc>
          <w:tcPr>
            <w:tcW w:type="dxa" w:w="2556"/>
          </w:tcPr>
          <w:p>
            <w:r>
              <w:rPr>
                <w:rFonts w:ascii="Arial" w:hAnsi="Arial"/>
                <w:sz w:val="17"/>
              </w:rPr>
              <w:t>Can reduce final evaluation score</w:t>
            </w:r>
          </w:p>
        </w:tc>
        <w:tc>
          <w:tcPr>
            <w:tcW w:type="dxa" w:w="2556"/>
          </w:tcPr>
          <w:p>
            <w:r>
              <w:rPr>
                <w:rFonts w:ascii="Arial" w:hAnsi="Arial"/>
                <w:sz w:val="17"/>
              </w:rPr>
              <w:t>Test target-domain data</w:t>
            </w:r>
          </w:p>
        </w:tc>
      </w:tr>
      <w:tr>
        <w:tc>
          <w:tcPr>
            <w:tcW w:type="dxa" w:w="2556"/>
          </w:tcPr>
          <w:p>
            <w:r>
              <w:rPr>
                <w:rFonts w:ascii="Arial" w:hAnsi="Arial"/>
                <w:sz w:val="17"/>
              </w:rPr>
              <w:t>P1 – High</w:t>
            </w:r>
          </w:p>
        </w:tc>
        <w:tc>
          <w:tcPr>
            <w:tcW w:type="dxa" w:w="2556"/>
          </w:tcPr>
          <w:p>
            <w:r>
              <w:rPr>
                <w:rFonts w:ascii="Arial" w:hAnsi="Arial"/>
                <w:sz w:val="17"/>
              </w:rPr>
              <w:t>Large-image performance</w:t>
            </w:r>
          </w:p>
        </w:tc>
        <w:tc>
          <w:tcPr>
            <w:tcW w:type="dxa" w:w="2556"/>
          </w:tcPr>
          <w:p>
            <w:r>
              <w:rPr>
                <w:rFonts w:ascii="Arial" w:hAnsi="Arial"/>
                <w:sz w:val="17"/>
              </w:rPr>
              <w:t>Can crash or make system unusable</w:t>
            </w:r>
          </w:p>
        </w:tc>
        <w:tc>
          <w:tcPr>
            <w:tcW w:type="dxa" w:w="2556"/>
          </w:tcPr>
          <w:p>
            <w:r>
              <w:rPr>
                <w:rFonts w:ascii="Arial" w:hAnsi="Arial"/>
                <w:sz w:val="17"/>
              </w:rPr>
              <w:t>Tile + resource controls</w:t>
            </w:r>
          </w:p>
        </w:tc>
      </w:tr>
      <w:tr>
        <w:tc>
          <w:tcPr>
            <w:tcW w:type="dxa" w:w="2556"/>
          </w:tcPr>
          <w:p>
            <w:r>
              <w:rPr>
                <w:rFonts w:ascii="Arial" w:hAnsi="Arial"/>
                <w:sz w:val="17"/>
              </w:rPr>
              <w:t>P1 – High</w:t>
            </w:r>
          </w:p>
        </w:tc>
        <w:tc>
          <w:tcPr>
            <w:tcW w:type="dxa" w:w="2556"/>
          </w:tcPr>
          <w:p>
            <w:r>
              <w:rPr>
                <w:rFonts w:ascii="Arial" w:hAnsi="Arial"/>
                <w:sz w:val="17"/>
              </w:rPr>
              <w:t>Dependency/model incompatibility</w:t>
            </w:r>
          </w:p>
        </w:tc>
        <w:tc>
          <w:tcPr>
            <w:tcW w:type="dxa" w:w="2556"/>
          </w:tcPr>
          <w:p>
            <w:r>
              <w:rPr>
                <w:rFonts w:ascii="Arial" w:hAnsi="Arial"/>
                <w:sz w:val="17"/>
              </w:rPr>
              <w:t>Can break deployment</w:t>
            </w:r>
          </w:p>
        </w:tc>
        <w:tc>
          <w:tcPr>
            <w:tcW w:type="dxa" w:w="2556"/>
          </w:tcPr>
          <w:p>
            <w:r>
              <w:rPr>
                <w:rFonts w:ascii="Arial" w:hAnsi="Arial"/>
                <w:sz w:val="17"/>
              </w:rPr>
              <w:t>Isolate and pin dependencies</w:t>
            </w:r>
          </w:p>
        </w:tc>
      </w:tr>
      <w:tr>
        <w:tc>
          <w:tcPr>
            <w:tcW w:type="dxa" w:w="2556"/>
          </w:tcPr>
          <w:p>
            <w:r>
              <w:rPr>
                <w:rFonts w:ascii="Arial" w:hAnsi="Arial"/>
                <w:sz w:val="17"/>
              </w:rPr>
              <w:t>P1 – High</w:t>
            </w:r>
          </w:p>
        </w:tc>
        <w:tc>
          <w:tcPr>
            <w:tcW w:type="dxa" w:w="2556"/>
          </w:tcPr>
          <w:p>
            <w:r>
              <w:rPr>
                <w:rFonts w:ascii="Arial" w:hAnsi="Arial"/>
                <w:sz w:val="17"/>
              </w:rPr>
              <w:t>Backward compatibility</w:t>
            </w:r>
          </w:p>
        </w:tc>
        <w:tc>
          <w:tcPr>
            <w:tcW w:type="dxa" w:w="2556"/>
          </w:tcPr>
          <w:p>
            <w:r>
              <w:rPr>
                <w:rFonts w:ascii="Arial" w:hAnsi="Arial"/>
                <w:sz w:val="17"/>
              </w:rPr>
              <w:t>Can break existing project features</w:t>
            </w:r>
          </w:p>
        </w:tc>
        <w:tc>
          <w:tcPr>
            <w:tcW w:type="dxa" w:w="2556"/>
          </w:tcPr>
          <w:p>
            <w:r>
              <w:rPr>
                <w:rFonts w:ascii="Arial" w:hAnsi="Arial"/>
                <w:sz w:val="17"/>
              </w:rPr>
              <w:t>Regression suite</w:t>
            </w:r>
          </w:p>
        </w:tc>
      </w:tr>
      <w:tr>
        <w:tc>
          <w:tcPr>
            <w:tcW w:type="dxa" w:w="2556"/>
          </w:tcPr>
          <w:p>
            <w:r>
              <w:rPr>
                <w:rFonts w:ascii="Arial" w:hAnsi="Arial"/>
                <w:sz w:val="17"/>
              </w:rPr>
              <w:t>P2 – Medium</w:t>
            </w:r>
          </w:p>
        </w:tc>
        <w:tc>
          <w:tcPr>
            <w:tcW w:type="dxa" w:w="2556"/>
          </w:tcPr>
          <w:p>
            <w:r>
              <w:rPr>
                <w:rFonts w:ascii="Arial" w:hAnsi="Arial"/>
                <w:sz w:val="17"/>
              </w:rPr>
              <w:t>UI complexity</w:t>
            </w:r>
          </w:p>
        </w:tc>
        <w:tc>
          <w:tcPr>
            <w:tcW w:type="dxa" w:w="2556"/>
          </w:tcPr>
          <w:p>
            <w:r>
              <w:rPr>
                <w:rFonts w:ascii="Arial" w:hAnsi="Arial"/>
                <w:sz w:val="17"/>
              </w:rPr>
              <w:t>Reduces usability but is usually recoverable</w:t>
            </w:r>
          </w:p>
        </w:tc>
        <w:tc>
          <w:tcPr>
            <w:tcW w:type="dxa" w:w="2556"/>
          </w:tcPr>
          <w:p>
            <w:r>
              <w:rPr>
                <w:rFonts w:ascii="Arial" w:hAnsi="Arial"/>
                <w:sz w:val="17"/>
              </w:rPr>
              <w:t>Progressive disclosure</w:t>
            </w:r>
          </w:p>
        </w:tc>
      </w:tr>
    </w:tbl>
    <w:p>
      <w:pPr>
        <w:pStyle w:val="Heading1"/>
      </w:pPr>
      <w:r>
        <w:t>9. Research Conclusion</w:t>
      </w:r>
    </w:p>
    <w:p>
      <w:r>
        <w:t>Adding a new feature to SatQuery AI should be treated as an end-to-end system change rather than an isolated model implementation. The safest strategy is to first map the feature to the existing agentic workflow, define its data contract, validate geospatial and modality requirements, select a specialist model, return structured evidence, and establish objective evaluation criteria. Only after these foundations are stable should the team focus on UI enhancements.</w:t>
      </w:r>
    </w:p>
    <w:p>
      <w:r>
        <w:t>The strongest research contribution for the team is therefore to show not only what the proposed feature can do, but also how the team will prevent wrong answers, handle unsupported inputs, maintain existing functionality, scale to large satellite images, and prove that the new capability works on representative evaluation data.</w:t>
      </w:r>
    </w:p>
    <w:p>
      <w:pPr>
        <w:pStyle w:val="Heading1"/>
      </w:pPr>
      <w:r>
        <w:t>10. Reference to SIH Problem Statement</w:t>
      </w:r>
    </w:p>
    <w:p>
      <w:r>
        <w:t>The analysis is aligned with the published SIH 2026 SatQuery AI problem statement (SIH26167), which describes an agentic vision-language assistant for multimodal remote-sensing image analysis and specifies single-image, cross-modal optical–SAR and bi-temporal capabilities, along with interactive GUI/web application requirements and evaluation on public benchmarks and an ISRO/SAC dataset.</w:t>
      </w:r>
    </w:p>
    <w:p>
      <w:r>
        <w:t>Reference: SIH 2026 problem statement listing and SatQuery AI description.</w:t>
      </w:r>
    </w:p>
    <w:p>
      <w:r>
        <w:t>Web references: Smart India Hackathon 2026 problem-statement listing; SIH26167 detailed problem statement.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SatQuery AI – Feature Implementation Problem &amp; Risk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