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595959"/>
          <w:sz w:val="30"/>
          <w:szCs w:val="30"/>
        </w:rPr>
        <w:t xml:space="preserve">K R O G E R</w:t>
      </w:r>
    </w:p>
    <w:p>
      <w:pPr>
        <w:spacing w:after="100"/>
        <w:jc w:val="center"/>
      </w:pPr>
      <w:r>
        <w:rPr>
          <w:b/>
          <w:bCs/>
          <w:color w:val="1F3864"/>
          <w:sz w:val="56"/>
          <w:szCs w:val="56"/>
        </w:rPr>
        <w:t xml:space="preserve">Sourcing Automation</w:t>
      </w:r>
    </w:p>
    <w:p>
      <w:pPr>
        <w:spacing w:after="400"/>
        <w:jc w:val="center"/>
      </w:pPr>
      <w:r>
        <w:rPr>
          <w:color w:val="2E5395"/>
          <w:sz w:val="26"/>
          <w:szCs w:val="26"/>
        </w:rPr>
        <w:t xml:space="preserve">Build Task Plan — High-Level Milestones by Epic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Version 1.0  ·  Status: Draft for Kickoff  ·  September 2026</w:t>
      </w:r>
    </w:p>
    <w:p>
      <w:pPr>
        <w:spacing w:after="800"/>
        <w:jc w:val="center"/>
      </w:pPr>
      <w:r>
        <w:rPr>
          <w:i/>
          <w:iCs/>
          <w:color w:val="595959"/>
          <w:sz w:val="18"/>
          <w:szCs w:val="18"/>
        </w:rPr>
        <w:t xml:space="preserve">Source Inputs: M3 Sourcing Automation Requirements · Sourcing Automation Technical Design Document v1.0</w:t>
      </w:r>
    </w:p>
    <w:p>
      <w:pPr>
        <w:spacing w:before="3200"/>
        <w:jc w:val="center"/>
      </w:pPr>
      <w:r>
        <w:rPr>
          <w:color w:val="595959"/>
          <w:sz w:val="18"/>
          <w:szCs w:val="18"/>
        </w:rPr>
        <w:t xml:space="preserve">Classification: Internal — Confidential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How to Use This Document</w:t>
      </w:r>
    </w:p>
    <w:p>
      <w:pPr>
        <w:spacing w:after="14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</w:rPr>
        <w:t xml:space="preserve">This plan breaks the Sourcing Automation build into ~30 milestone-level tasks, organized by the M3 epics they satisfy. Two sections sit outside the epic structure because they're shared by every epic rather than owned by one: Section 0 (foundational data platform) must land before any detector can run, and Section 6 (backend, agent, safety) is the investigation-path surface every epic's opportunities are read and explained through. Each task lists its dependencies and any open decision or spec gap that needs resolving before or during the work — these are flagged, not glossed over, so they don't surface for the first time mid-sprint.</w:t>
      </w:r>
    </w:p>
    <w:tbl>
      <w:tblPr>
        <w:tblW w:type="dxa" w:w="9360"/>
        <w:tblBorders>
          <w:top w:val="single" w:color="B7472A" w:sz="6"/>
          <w:left w:val="single" w:color="B7472A" w:sz="6"/>
          <w:bottom w:val="single" w:color="B7472A" w:sz="6"/>
          <w:right w:val="single" w:color="B7472A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CEE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b/>
                <w:bCs/>
                <w:color w:val="B7472A"/>
                <w:sz w:val="22"/>
                <w:szCs w:val="22"/>
              </w:rPr>
              <w:t xml:space="preserve">Resolve These Before Kickoff — They Gate Multiple Epics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A1A1A"/>
                <w:sz w:val="20"/>
                <w:szCs w:val="20"/>
              </w:rPr>
              <w:t xml:space="preserve">Priority/tiering model (Open Question #1, tech spec §15): business hasn't picked a dollar threshold or scoring model yet. Recommend shipping with a simple static tier rule (e.g., three savings bands) so Epics 1–3 aren't blocked, and layering the full 5-component weighted scorer (§5) in once real dismissal data exists to calibrate it.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A1A1A"/>
                <w:sz w:val="20"/>
                <w:szCs w:val="20"/>
              </w:rPr>
              <w:t xml:space="preserve">Agent architecture (Open Question #2): decide whether the Semantic Query Planner is a separate service or an in-process subgraph before building the LangGraph graph — this changes Section 6's build order and its own latency budget.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A1A1A"/>
                <w:sz w:val="20"/>
                <w:szCs w:val="20"/>
              </w:rPr>
              <w:t xml:space="preserve">Two spec gaps need fresh design, not a straight port from the tech spec: the O3 volume-discount-loss sub-check (Epic 3) is currently just a comment with no query behind it, and O2's rebate/tier-proximity query references a registry join (r2) that isn't wired up in the sketch.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color w:val="1A1A1A"/>
                <w:sz w:val="20"/>
                <w:szCs w:val="20"/>
              </w:rPr>
              <w:t xml:space="preserve">Recommended build order across epics: Foundational platform → Epic 1 (novel embedding work, reused nowhere else, so retire that risk first) → Epic 2 → Epic 3 → Epic 4 (lightweight, but land early since it's a dependency of the priority engine's feedback signal) → Epic 5 (gate on Document Digitization's M2 timeline; can run in parallel once the reference view exists) → Backend/Agent/Safety hardening → Observability &amp; launch gates.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0 — Foundational Data Platform (Blocks All Epics)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The Bronze → Silver → Gold pipeline, the opportunity ontology, and the rule registry that every detector reads from. Nothing in Epics 1–5 can produce a real opportunity until this section is functional.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Bronze ingestion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Stand up scheduled ingestion for the five Coupa Bronze tables (items, requisitions, purchase_orders, contracts, invoices) plus the Oracle AP base spend layer. Stamp process_date/_metadata per the existing GNFR pattern.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Oracle AP / EAA Bronze-Silver-Gold map doesn't exist yet (inherited open item from M1) — confirm timeline with Data Engineering before committing a date.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Silver line-grain parse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Explode nested Coupa JSON into typed line-grain tables: coupa_requisition_line, coupa_catalog_item, coupa_po_line, coupa_invoice_line. Route unparseable rows to DataQualityIssue rather than dropping them.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1.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Gold opportunity ontology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SourcingOpportunity, ContractCoverage, SupplierProfile, ActionRequest, DataQualityIssue and the associated metric/fact views (gold_sourcing_opportunity, gold_contract_coverage_metric, supplier_concentration).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2.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Rule registry (effective-dated config)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gold.opportunity_rule_registry as an append-only, effective-dated Delta table. Start with direct table edits under change-ticket discipline rather than a full self-serve admin API — the business hasn't finalized threshold values yet, so build the UI once the values are known.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Simplification recommendation — see kickoff callout above.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Data-quality gates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Implement the five run-time gates: source freshness, key completeness, embedding coverage, rule-registry integrity, and reconciliation-band check. A failed gate aborts the run and keeps the prior worklist rather than publishing a partial one.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Tasks 2–4.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Opportunity lifecycle + worklist cache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opportunity_key dedup/merge logic (new → open → dismissed → actioned → auto_resolved), the priority-tier decision from the kickoff callout, and the Redis pre-warm job that refreshes category worklists post-publish.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5. Priority model decision is a prerequisite, not a detail — resolve before this task starts.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1 — Epic 1: Non-Catalog Spend with Catalog Equivalent Detection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The most technically novel epic — matching happens on meaning, not exact text, which is the one piece of this build that can't be a straightforward join.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Embedding pipeline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Compute embeddings for every non-catalog requisition-line description and every catalog-item description; write to the Cosmos Vector DB index.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 0. Embedding refresh cadence and pipeline ownership are unresolved (Open Question #3) — confirm before scheduling.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Non-catalog match spine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gold.non_catalog_match_candidate: nearest-neighbor lookup with cosine similarity, match_confidence, and a match_band (high_confidence / candidate / below_floor).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7.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9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Detector O1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O1 matcher: unit-price-delta × trailing-12-month quantity sizing, recurrence via description_cluster, minimum-savings floor from the rule registry, and unmatched-line routing to DataQualityIssue (unmatched_non_catalog).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8. The 0.85 similarity floor is borrowed from an unrelated AI Gateway cache setting (Open Question #5) — plan a calibration pass against real query data before trusting it in production.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2 — Epic 2: Contract Leakage and Reroute Recommendations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Lower technical risk than Epic 1 — this is mostly a join and a sizing formula — but it has a real business dependency that can stall it.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Contract coverage resolution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ContractCoverage join logic (supplier/category/date-range) that determines whether a line of spend is covered by an active or preferred contract.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 0.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11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Detector O2 — uncovered spend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leakage sizing model: uncovered spend × estimated_discount_rate, per-category, read from the rule registry rather than hardcoded.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10. Blocked on real business input — see Task 12.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12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Rebate/volume-tier proximity check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companion check flagging spend approaching a rebate or volume-tier threshold. The sketch's registry join (r2) isn't wired to gold.active_rule — needs a clean implementation, not a direct port.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10.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13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Per-category discount rates (business input)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Get actual negotiated discount rates per category from the business — the spec currently uses Carlos's facilities-example rate as a stand-in. Without this, O2's dollar figures are directionally right but not defensible in a business case.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Blocks Task 11 going to production; can build against placeholder rates in the meantime.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3 — Epic 3: Supplier Consolidation Opportunities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Straightforward aggregation work, with one sub-feature that the tech spec hasn't actually designed yet.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14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Supplier concentration view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concentration aggregation (supplier_count, location_count, total_spend per item/category) that Detector O3 and the consolidation lane both read from.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 0.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15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Detector O3 — core consolidation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Flag items/categories over the configured supplier-count or fragmented-location floor; size using the consolidation-savings percentage from the rule registry.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14.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16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Cross-location fragmentation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Confirm the location_count logic correctly identifies items bought separately across locations/divisions for the enterprise-pricing story, distinct from simple multi-supplier fragmentation.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14.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17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Volume-discount-loss sub-check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Design and build this from scratch: flag frequent small non-preferred-vendor orders that are losing a volume discount already available through the preferred vendor's tier pricing. This needs its own savings formula (foregone tier discount), not the flat consolidation-savings percentage.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Spec gap — the tech spec has only a comment here, no query. Treat as net-new design work, not a port.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4 — Epic 4: Recommendation Feedback and Outlier Learning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Lightweight to build, but land it early — the priority engine's feedback-adjusted-trust signal and every other epic's resurfacing logic depend on dismissals existing.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18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Dismiss endpoint + reason taxonomy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direct-write dismiss endpoint (no approval gate) with the five reason codes (ONE_OFF_EMERGENCY, ALREADY_ACTIONED, DATA_ERROR, NOT_A_REAL_MATCH, BUSINESS_JUSTIFICATION_OTHER) and the suppression-window field.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 0, Task 6.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19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Suppression window logic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Implement the dismissed → open lifecycle transition: a lapsed suppression window (180 days proposed) reopens the opportunity_key as a new evaluation rather than permanently suppressing it.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Suppression window length is an open business decision (Open Question #6) — confirm before hardcoding 180 days.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20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Dismissal feedback signal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Feed dismissal history into whichever prioritization model Task 6 lands on — either the full feedback_adjusted_trust scoring component, or a simpler 'frequently dismissed' flag if the priority engine starts simple.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Tasks 6 and 18.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21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Audit trail surface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Surface ActionRequest dismissal history per opportunity_key and category directly in the evidence panel, not as a separate report.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18.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5 — Epic 5: Total Landed Cost Comparison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The one epic with an external blocker. Build what's possible now; don't let it hold up the rest of the plan.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22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Landed-cost reference view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gold.preferred_supplier_landed_cost (preferred unit price + average shipping per unit) as the comparison baseline for O4.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 0.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23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Detector O4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landed-cost variance detector, evaluating only invoice lines where landed_cost_ineligible = false (i.e., M2 OCR has populated shipping/freight).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22 and M2 Document Digitization's line-item shipping/freight extraction (Open Question #8/#9).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24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Coverage reporting for O4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Report O4's coverage percentage alongside its results rather than presenting a partial result set as complete — same pattern as Invoice Leakage's OCR-dependent detector.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23.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25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M2 dependency checkpoint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Get a firm timeline from Document Digitization on when line-item shipping/freight extraction reaches usable coverage, and decide whether O4 ships in degraded mode now or waits for a coverage floor.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This is a cross-team scheduling task, not an engineering task — start it immediately regardless of where the rest of the build is.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6 — Backend, Agent &amp; Safety (Serves All Epics)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The investigation-path surface every epic's opportunities are explained and dismissed through. Can start in parallel with Sections 1–5 once Section 0's opportunity record contract is stable.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26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Agent architecture decision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Decide whether the Semantic Query Planner is a standalone Kubernetes service (A2A call) or an in-process LangGraph subgraph before building the graph — this is currently an open question, not a settled design, and changes the shape of Task 28.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Do this before Task 28 starts, not alongside it.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27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FastAPI BFF endpoints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REST surface: worklist, opportunity detail, evidence, dismiss (direct write), stage (HitL-gated), and the RBAC-gated admin/rules endpoints once Task 4's registry approach is settled.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 0.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28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LangGraph agent + tool boundary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Build the agent graph per the architecture decided in Task 26, with its read-only tool set (opportunity.find/get/evidence, find_supplier, query_spend_table, priority.explain) plus the two write tools (dismiss — direct; action.stage — HitL-gated) over Databricks MCP.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Tasks 26–27.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29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Content Safety integration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Wire Prompt Shields on requester/supplier-authored free text and OCR-extracted spans, and groundedness checking on every agent response against this run's tool results.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28. This is the control that stops an invented savings figure from reaching a Coupa pre-fill — don't defer it to a later hardening pass.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30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HitL approval gate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Implement the threshold-based interrupt for staged cross-system actions (action.stage), distinct from the dismissal path which has no gate.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Task 28.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3864"/>
          <w:sz w:val="28"/>
          <w:szCs w:val="28"/>
        </w:rPr>
        <w:t xml:space="preserve">Section 7 — Observability, Evaluation &amp; Launch Readiness</w:t>
      </w:r>
    </w:p>
    <w:p>
      <w:pPr>
        <w:spacing w:after="160"/>
      </w:pPr>
      <w:r>
        <w:rPr>
          <w:i/>
          <w:iCs/>
          <w:color w:val="595959"/>
          <w:sz w:val="21"/>
          <w:szCs w:val="21"/>
        </w:rPr>
        <w:t xml:space="preserve">Build the core signals first; the full metric catalog in the tech spec can be filled in after launch once real traffic exists to tune alert thresholds against.</w:t>
      </w:r>
    </w:p>
    <w:tbl>
      <w:tblPr>
        <w:tblW w:type="dxa" w:w="9360"/>
        <w:tblBorders>
          <w:top w:val="single" w:color="C7CFDC" w:sz="4"/>
          <w:left w:val="single" w:color="C7CFDC" w:sz="4"/>
          <w:bottom w:val="single" w:color="C7CFDC" w:sz="4"/>
          <w:right w:val="single" w:color="C7CFDC" w:sz="4"/>
          <w:insideH w:val="single" w:color="DCE3EE" w:sz="2"/>
          <w:insideV w:val="single" w:color="DCE3EE" w:sz="2"/>
        </w:tblBorders>
      </w:tblPr>
      <w:tblGrid>
        <w:gridCol w:w="500"/>
        <w:gridCol w:w="1900"/>
        <w:gridCol w:w="4500"/>
        <w:gridCol w:w="246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 &amp; Key Decisions</w:t>
            </w:r>
          </w:p>
        </w:tc>
        <w:tc>
          <w:tcPr>
            <w:tcW w:type="dxa" w:w="24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 / Flags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31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Core metrics + alerting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Stand up matching-run health, dismissal_rate by opportunity_type/rule_version, groundedness score, and safety block rate first — these are the metrics that tell you whether the product is trustworthy, not just running.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Sections 0 and 6.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32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CI eval gates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Set up exact-match regression testing for detector output against a golden opportunity set, and for priority classification given an unchanged rule version, so drift is caught at merge time.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Sections 1–4 having stable detector output.</w:t>
            </w:r>
          </w:p>
        </w:tc>
      </w:tr>
      <w:tr>
        <w:tc>
          <w:tcPr>
            <w:tcW w:type="dxa" w:w="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33</w:t>
            </w:r>
          </w:p>
        </w:tc>
        <w:tc>
          <w:tcPr>
            <w:tcW w:type="dxa" w:w="1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End-to-end staging walkthrough</w:t>
            </w:r>
          </w:p>
        </w:tc>
        <w:tc>
          <w:tcPr>
            <w:tcW w:type="dxa" w:w="45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Run the full path — nightly matching run through worklist load, investigation chat, and a dismissal — against staging data before any production cutover.</w:t>
            </w:r>
          </w:p>
        </w:tc>
        <w:tc>
          <w:tcPr>
            <w:tcW w:type="dxa" w:w="24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Depends on all prior sections.</w:t>
            </w:r>
          </w:p>
        </w:tc>
      </w:tr>
      <w:tr>
        <w:tc>
          <w:tcPr>
            <w:tcW w:type="dxa" w:w="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34</w:t>
            </w:r>
          </w:p>
        </w:tc>
        <w:tc>
          <w:tcPr>
            <w:tcW w:type="dxa" w:w="19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Open-question closeout</w:t>
            </w:r>
          </w:p>
        </w:tc>
        <w:tc>
          <w:tcPr>
            <w:tcW w:type="dxa" w:w="450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Work through the remaining items from tech spec §15 that don't block a specific task above (Semantic Query Planner model choice, RFP-scope decision) so none are still open at GA.</w:t>
            </w:r>
          </w:p>
        </w:tc>
        <w:tc>
          <w:tcPr>
            <w:tcW w:type="dxa" w:w="2460"/>
            <w:shd w:fill="F6F8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Ongoing — track alongside the rest of the plan rather than as a final gate.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Sourcing Automation — Build Task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2026-09-07T11:20:44.459Z</dcterms:created>
  <dcterms:modified xsi:type="dcterms:W3CDTF">2026-09-07T11:20:44.473Z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