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FA130B" w:rsidRDefault="00FA130B"/>
    <w:p w14:paraId="0A37501D" w14:textId="77777777" w:rsidR="00FA130B" w:rsidRDefault="00FA130B"/>
    <w:p w14:paraId="4DFA18B8" w14:textId="77777777" w:rsidR="00FA130B" w:rsidRDefault="00CA6E60">
      <w:pPr>
        <w:spacing w:after="80"/>
        <w:jc w:val="center"/>
      </w:pPr>
      <w:r>
        <w:rPr>
          <w:b/>
          <w:color w:val="1E3A5F"/>
          <w:sz w:val="26"/>
        </w:rPr>
        <w:t>KROGER</w:t>
      </w:r>
    </w:p>
    <w:p w14:paraId="2EB620AE" w14:textId="77777777" w:rsidR="00FA130B" w:rsidRDefault="00CA6E60">
      <w:pPr>
        <w:spacing w:after="80"/>
        <w:jc w:val="center"/>
      </w:pPr>
      <w:r>
        <w:rPr>
          <w:b/>
          <w:color w:val="1E3A5F"/>
          <w:sz w:val="52"/>
        </w:rPr>
        <w:t>Coupa Document Extraction</w:t>
      </w:r>
    </w:p>
    <w:p w14:paraId="5A359B1F" w14:textId="77777777" w:rsidR="00FA130B" w:rsidRDefault="00CA6E60">
      <w:pPr>
        <w:spacing w:after="80"/>
        <w:jc w:val="center"/>
      </w:pPr>
      <w:r>
        <w:rPr>
          <w:b/>
          <w:color w:val="0F766E"/>
          <w:sz w:val="36"/>
        </w:rPr>
        <w:t>Invoice &amp; Contract OCR Model Selection and Pipeline Design</w:t>
      </w:r>
    </w:p>
    <w:p w14:paraId="64103BB1" w14:textId="77777777" w:rsidR="00FA130B" w:rsidRDefault="00CA6E60">
      <w:pPr>
        <w:spacing w:after="480"/>
        <w:jc w:val="center"/>
      </w:pPr>
      <w:r>
        <w:rPr>
          <w:color w:val="475569"/>
          <w:sz w:val="28"/>
        </w:rPr>
        <w:t>Technical Specification</w:t>
      </w:r>
    </w:p>
    <w:p w14:paraId="2BD2347A" w14:textId="77777777" w:rsidR="00FA130B" w:rsidRDefault="00CA6E60">
      <w:pPr>
        <w:spacing w:after="40"/>
        <w:jc w:val="center"/>
      </w:pPr>
      <w:r>
        <w:rPr>
          <w:b/>
          <w:color w:val="1E3A5F"/>
        </w:rPr>
        <w:t>Version: 0.1</w:t>
      </w:r>
    </w:p>
    <w:p w14:paraId="6B866A22" w14:textId="77777777" w:rsidR="00FA130B" w:rsidRDefault="00CA6E60">
      <w:pPr>
        <w:spacing w:after="40"/>
        <w:jc w:val="center"/>
      </w:pPr>
      <w:r>
        <w:rPr>
          <w:b/>
          <w:color w:val="1E3A5F"/>
        </w:rPr>
        <w:t>Status: Draft — Internal Review</w:t>
      </w:r>
    </w:p>
    <w:p w14:paraId="1821B8F3" w14:textId="77777777" w:rsidR="00FA130B" w:rsidRDefault="00CA6E60">
      <w:pPr>
        <w:spacing w:after="40"/>
        <w:jc w:val="center"/>
      </w:pPr>
      <w:r>
        <w:rPr>
          <w:b/>
          <w:color w:val="1E3A5F"/>
        </w:rPr>
        <w:t>Date: August 2026</w:t>
      </w:r>
    </w:p>
    <w:p w14:paraId="234985DA" w14:textId="77777777" w:rsidR="00FA130B" w:rsidRDefault="00CA6E60">
      <w:pPr>
        <w:spacing w:after="40"/>
        <w:jc w:val="center"/>
      </w:pPr>
      <w:r>
        <w:rPr>
          <w:b/>
          <w:color w:val="1E3A5F"/>
        </w:rPr>
        <w:t>Scope: Coupa Attachments — Invoice OCR — Contract OCR — Extraction Quality</w:t>
      </w:r>
    </w:p>
    <w:p w14:paraId="50262DA0" w14:textId="77777777" w:rsidR="00FA130B" w:rsidRDefault="00CA6E60">
      <w:pPr>
        <w:spacing w:after="40"/>
        <w:jc w:val="center"/>
      </w:pPr>
      <w:r>
        <w:rPr>
          <w:b/>
          <w:color w:val="1E3A5F"/>
        </w:rPr>
        <w:t>Source Inputs: M2 Document Digitization Requirements</w:t>
      </w:r>
    </w:p>
    <w:p w14:paraId="2EEE16A9" w14:textId="77777777" w:rsidR="00FA130B" w:rsidRDefault="00CA6E60">
      <w:pPr>
        <w:spacing w:after="40"/>
        <w:jc w:val="center"/>
      </w:pPr>
      <w:r>
        <w:rPr>
          <w:b/>
          <w:color w:val="1E3A5F"/>
        </w:rPr>
        <w:t>Classification: Internal — Confidential</w:t>
      </w:r>
    </w:p>
    <w:p w14:paraId="5DAB6C7B" w14:textId="77777777" w:rsidR="00FA130B" w:rsidRDefault="00CA6E60">
      <w:r>
        <w:br w:type="page"/>
      </w:r>
    </w:p>
    <w:p w14:paraId="22E0FC93" w14:textId="77777777" w:rsidR="00FA130B" w:rsidRDefault="00CA6E60">
      <w:pPr>
        <w:spacing w:before="440"/>
      </w:pPr>
      <w:r>
        <w:rPr>
          <w:b/>
          <w:color w:val="1E3A5F"/>
          <w:sz w:val="40"/>
        </w:rPr>
        <w:t>Table of Contents</w:t>
      </w:r>
    </w:p>
    <w:p w14:paraId="2E25F4C7" w14:textId="77777777" w:rsidR="00FA130B" w:rsidRDefault="00CA6E60">
      <w:r>
        <w:rPr>
          <w:i/>
          <w:color w:val="475569"/>
        </w:rPr>
        <w:t>Click any entry to jump to that section. Page numbers update automatically -- select the table and press F9 (or Ctrl+A then F9 to refresh the whole document) if they don't show on first open.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624"/>
        <w:gridCol w:w="864"/>
      </w:tblGrid>
      <w:tr w:rsidR="00FA130B" w14:paraId="3CA83B00" w14:textId="77777777">
        <w:trPr>
          <w:jc w:val="center"/>
        </w:trPr>
        <w:tc>
          <w:tcPr>
            <w:tcW w:w="6624" w:type="dxa"/>
            <w:tcBorders>
              <w:top w:val="nil"/>
              <w:left w:val="nil"/>
              <w:bottom w:val="nil"/>
              <w:right w:val="nil"/>
            </w:tcBorders>
          </w:tcPr>
          <w:p w14:paraId="1CFD49FE" w14:textId="77777777" w:rsidR="00FA130B" w:rsidRDefault="00CA6E60">
            <w:pPr>
              <w:spacing w:after="80"/>
            </w:pPr>
            <w:hyperlink w:anchor="_toc_1" w:history="1">
              <w:r>
                <w:rPr>
                  <w:b/>
                  <w:color w:val="1E3A5F"/>
                  <w:u w:val="single"/>
                </w:rPr>
                <w:t>01 · Model Selection</w:t>
              </w:r>
            </w:hyperlink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25A06927" w14:textId="77777777" w:rsidR="00FA130B" w:rsidRDefault="00CA6E60">
            <w:pPr>
              <w:spacing w:after="80"/>
              <w:jc w:val="right"/>
            </w:pPr>
            <w:r>
              <w:rPr>
                <w:color w:val="475569"/>
                <w:sz w:val="20"/>
              </w:rPr>
              <w:fldChar w:fldCharType="begin"/>
            </w:r>
            <w:r>
              <w:rPr>
                <w:color w:val="475569"/>
                <w:sz w:val="20"/>
              </w:rPr>
              <w:instrText>PAGEREF _toc_1 \h</w:instrText>
            </w:r>
            <w:r>
              <w:rPr>
                <w:color w:val="475569"/>
                <w:sz w:val="20"/>
              </w:rPr>
            </w:r>
            <w:r>
              <w:rPr>
                <w:color w:val="475569"/>
                <w:sz w:val="20"/>
              </w:rPr>
              <w:fldChar w:fldCharType="separate"/>
            </w:r>
            <w:r>
              <w:rPr>
                <w:color w:val="475569"/>
                <w:sz w:val="20"/>
              </w:rPr>
              <w:t>…</w:t>
            </w:r>
            <w:r>
              <w:rPr>
                <w:color w:val="475569"/>
                <w:sz w:val="20"/>
              </w:rPr>
              <w:fldChar w:fldCharType="end"/>
            </w:r>
          </w:p>
        </w:tc>
      </w:tr>
      <w:tr w:rsidR="00FA130B" w14:paraId="261685AA" w14:textId="77777777">
        <w:trPr>
          <w:jc w:val="center"/>
        </w:trPr>
        <w:tc>
          <w:tcPr>
            <w:tcW w:w="6624" w:type="dxa"/>
            <w:tcBorders>
              <w:top w:val="nil"/>
              <w:left w:val="nil"/>
              <w:bottom w:val="nil"/>
              <w:right w:val="nil"/>
            </w:tcBorders>
          </w:tcPr>
          <w:p w14:paraId="19207D12" w14:textId="77777777" w:rsidR="00FA130B" w:rsidRDefault="00CA6E60">
            <w:pPr>
              <w:spacing w:after="80"/>
              <w:ind w:left="360"/>
            </w:pPr>
            <w:hyperlink w:anchor="_toc_2" w:history="1">
              <w:r>
                <w:rPr>
                  <w:color w:val="475569"/>
                  <w:sz w:val="20"/>
                  <w:u w:val="single"/>
                </w:rPr>
                <w:t>Evaluation Methodology</w:t>
              </w:r>
            </w:hyperlink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4C593A48" w14:textId="77777777" w:rsidR="00FA130B" w:rsidRDefault="00CA6E60">
            <w:pPr>
              <w:spacing w:after="80"/>
              <w:jc w:val="right"/>
            </w:pPr>
            <w:r>
              <w:rPr>
                <w:color w:val="475569"/>
                <w:sz w:val="19"/>
              </w:rPr>
              <w:fldChar w:fldCharType="begin"/>
            </w:r>
            <w:r>
              <w:rPr>
                <w:color w:val="475569"/>
                <w:sz w:val="19"/>
              </w:rPr>
              <w:instrText>PAGEREF _toc_2 \h</w:instrText>
            </w:r>
            <w:r>
              <w:rPr>
                <w:color w:val="475569"/>
                <w:sz w:val="19"/>
              </w:rPr>
            </w:r>
            <w:r>
              <w:rPr>
                <w:color w:val="475569"/>
                <w:sz w:val="19"/>
              </w:rPr>
              <w:fldChar w:fldCharType="separate"/>
            </w:r>
            <w:r>
              <w:rPr>
                <w:color w:val="475569"/>
                <w:sz w:val="19"/>
              </w:rPr>
              <w:t>…</w:t>
            </w:r>
            <w:r>
              <w:rPr>
                <w:color w:val="475569"/>
                <w:sz w:val="19"/>
              </w:rPr>
              <w:fldChar w:fldCharType="end"/>
            </w:r>
          </w:p>
        </w:tc>
      </w:tr>
      <w:tr w:rsidR="00FA130B" w14:paraId="4B4B8D05" w14:textId="77777777">
        <w:trPr>
          <w:jc w:val="center"/>
        </w:trPr>
        <w:tc>
          <w:tcPr>
            <w:tcW w:w="6624" w:type="dxa"/>
            <w:tcBorders>
              <w:top w:val="nil"/>
              <w:left w:val="nil"/>
              <w:bottom w:val="nil"/>
              <w:right w:val="nil"/>
            </w:tcBorders>
          </w:tcPr>
          <w:p w14:paraId="08BF9F4B" w14:textId="77777777" w:rsidR="00FA130B" w:rsidRDefault="00CA6E60">
            <w:pPr>
              <w:spacing w:after="80"/>
              <w:ind w:left="360"/>
            </w:pPr>
            <w:hyperlink w:anchor="_toc_3" w:history="1">
              <w:r>
                <w:rPr>
                  <w:color w:val="475569"/>
                  <w:sz w:val="20"/>
                  <w:u w:val="single"/>
                </w:rPr>
                <w:t>Recommendation</w:t>
              </w:r>
            </w:hyperlink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06DA519E" w14:textId="77777777" w:rsidR="00FA130B" w:rsidRDefault="00CA6E60">
            <w:pPr>
              <w:spacing w:after="80"/>
              <w:jc w:val="right"/>
            </w:pPr>
            <w:r>
              <w:rPr>
                <w:color w:val="475569"/>
                <w:sz w:val="19"/>
              </w:rPr>
              <w:fldChar w:fldCharType="begin"/>
            </w:r>
            <w:r>
              <w:rPr>
                <w:color w:val="475569"/>
                <w:sz w:val="19"/>
              </w:rPr>
              <w:instrText>PAGEREF _toc_3 \h</w:instrText>
            </w:r>
            <w:r>
              <w:rPr>
                <w:color w:val="475569"/>
                <w:sz w:val="19"/>
              </w:rPr>
            </w:r>
            <w:r>
              <w:rPr>
                <w:color w:val="475569"/>
                <w:sz w:val="19"/>
              </w:rPr>
              <w:fldChar w:fldCharType="separate"/>
            </w:r>
            <w:r>
              <w:rPr>
                <w:color w:val="475569"/>
                <w:sz w:val="19"/>
              </w:rPr>
              <w:t>…</w:t>
            </w:r>
            <w:r>
              <w:rPr>
                <w:color w:val="475569"/>
                <w:sz w:val="19"/>
              </w:rPr>
              <w:fldChar w:fldCharType="end"/>
            </w:r>
          </w:p>
        </w:tc>
      </w:tr>
      <w:tr w:rsidR="00FA130B" w14:paraId="344A7420" w14:textId="77777777">
        <w:trPr>
          <w:jc w:val="center"/>
        </w:trPr>
        <w:tc>
          <w:tcPr>
            <w:tcW w:w="6624" w:type="dxa"/>
            <w:tcBorders>
              <w:top w:val="nil"/>
              <w:left w:val="nil"/>
              <w:bottom w:val="nil"/>
              <w:right w:val="nil"/>
            </w:tcBorders>
          </w:tcPr>
          <w:p w14:paraId="357E9432" w14:textId="77777777" w:rsidR="00FA130B" w:rsidRDefault="00CA6E60">
            <w:pPr>
              <w:spacing w:after="80"/>
              <w:ind w:left="360"/>
            </w:pPr>
            <w:hyperlink w:anchor="_toc_4" w:history="1">
              <w:r>
                <w:rPr>
                  <w:color w:val="475569"/>
                  <w:sz w:val="20"/>
                  <w:u w:val="single"/>
                </w:rPr>
                <w:t>Full Bake-off Results</w:t>
              </w:r>
            </w:hyperlink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3E09C1A0" w14:textId="77777777" w:rsidR="00FA130B" w:rsidRDefault="00CA6E60">
            <w:pPr>
              <w:spacing w:after="80"/>
              <w:jc w:val="right"/>
            </w:pPr>
            <w:r>
              <w:rPr>
                <w:color w:val="475569"/>
                <w:sz w:val="19"/>
              </w:rPr>
              <w:fldChar w:fldCharType="begin"/>
            </w:r>
            <w:r>
              <w:rPr>
                <w:color w:val="475569"/>
                <w:sz w:val="19"/>
              </w:rPr>
              <w:instrText>PAGEREF _toc_4 \h</w:instrText>
            </w:r>
            <w:r>
              <w:rPr>
                <w:color w:val="475569"/>
                <w:sz w:val="19"/>
              </w:rPr>
            </w:r>
            <w:r>
              <w:rPr>
                <w:color w:val="475569"/>
                <w:sz w:val="19"/>
              </w:rPr>
              <w:fldChar w:fldCharType="separate"/>
            </w:r>
            <w:r>
              <w:rPr>
                <w:color w:val="475569"/>
                <w:sz w:val="19"/>
              </w:rPr>
              <w:t>…</w:t>
            </w:r>
            <w:r>
              <w:rPr>
                <w:color w:val="475569"/>
                <w:sz w:val="19"/>
              </w:rPr>
              <w:fldChar w:fldCharType="end"/>
            </w:r>
          </w:p>
        </w:tc>
      </w:tr>
      <w:tr w:rsidR="00FA130B" w14:paraId="6A49F0CD" w14:textId="77777777">
        <w:trPr>
          <w:jc w:val="center"/>
        </w:trPr>
        <w:tc>
          <w:tcPr>
            <w:tcW w:w="6624" w:type="dxa"/>
            <w:tcBorders>
              <w:top w:val="nil"/>
              <w:left w:val="nil"/>
              <w:bottom w:val="nil"/>
              <w:right w:val="nil"/>
            </w:tcBorders>
          </w:tcPr>
          <w:p w14:paraId="33BD6EDA" w14:textId="77777777" w:rsidR="00FA130B" w:rsidRDefault="00CA6E60">
            <w:pPr>
              <w:spacing w:after="80"/>
            </w:pPr>
            <w:hyperlink w:anchor="_toc_5" w:history="1">
              <w:r>
                <w:rPr>
                  <w:b/>
                  <w:color w:val="1E3A5F"/>
                  <w:u w:val="single"/>
                </w:rPr>
                <w:t>02 · Architecture</w:t>
              </w:r>
            </w:hyperlink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62B32DF8" w14:textId="77777777" w:rsidR="00FA130B" w:rsidRDefault="00CA6E60">
            <w:pPr>
              <w:spacing w:after="80"/>
              <w:jc w:val="right"/>
            </w:pPr>
            <w:r>
              <w:rPr>
                <w:color w:val="475569"/>
                <w:sz w:val="20"/>
              </w:rPr>
              <w:fldChar w:fldCharType="begin"/>
            </w:r>
            <w:r>
              <w:rPr>
                <w:color w:val="475569"/>
                <w:sz w:val="20"/>
              </w:rPr>
              <w:instrText>PAGEREF _toc_5 \h</w:instrText>
            </w:r>
            <w:r>
              <w:rPr>
                <w:color w:val="475569"/>
                <w:sz w:val="20"/>
              </w:rPr>
            </w:r>
            <w:r>
              <w:rPr>
                <w:color w:val="475569"/>
                <w:sz w:val="20"/>
              </w:rPr>
              <w:fldChar w:fldCharType="separate"/>
            </w:r>
            <w:r>
              <w:rPr>
                <w:color w:val="475569"/>
                <w:sz w:val="20"/>
              </w:rPr>
              <w:t>…</w:t>
            </w:r>
            <w:r>
              <w:rPr>
                <w:color w:val="475569"/>
                <w:sz w:val="20"/>
              </w:rPr>
              <w:fldChar w:fldCharType="end"/>
            </w:r>
          </w:p>
        </w:tc>
      </w:tr>
      <w:tr w:rsidR="00FA130B" w14:paraId="279D7026" w14:textId="77777777">
        <w:trPr>
          <w:jc w:val="center"/>
        </w:trPr>
        <w:tc>
          <w:tcPr>
            <w:tcW w:w="6624" w:type="dxa"/>
            <w:tcBorders>
              <w:top w:val="nil"/>
              <w:left w:val="nil"/>
              <w:bottom w:val="nil"/>
              <w:right w:val="nil"/>
            </w:tcBorders>
          </w:tcPr>
          <w:p w14:paraId="1D7FC2E7" w14:textId="77777777" w:rsidR="00FA130B" w:rsidRDefault="00CA6E60">
            <w:pPr>
              <w:spacing w:after="80"/>
            </w:pPr>
            <w:hyperlink w:anchor="_toc_6" w:history="1">
              <w:r>
                <w:rPr>
                  <w:b/>
                  <w:color w:val="1E3A5F"/>
                  <w:u w:val="single"/>
                </w:rPr>
                <w:t>03 · Epic 1 — Coupa Invoice OCR Extraction</w:t>
              </w:r>
            </w:hyperlink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5BEAAC7E" w14:textId="77777777" w:rsidR="00FA130B" w:rsidRDefault="00CA6E60">
            <w:pPr>
              <w:spacing w:after="80"/>
              <w:jc w:val="right"/>
            </w:pPr>
            <w:r>
              <w:rPr>
                <w:color w:val="475569"/>
                <w:sz w:val="20"/>
              </w:rPr>
              <w:fldChar w:fldCharType="begin"/>
            </w:r>
            <w:r>
              <w:rPr>
                <w:color w:val="475569"/>
                <w:sz w:val="20"/>
              </w:rPr>
              <w:instrText>PAGEREF _toc_6 \h</w:instrText>
            </w:r>
            <w:r>
              <w:rPr>
                <w:color w:val="475569"/>
                <w:sz w:val="20"/>
              </w:rPr>
            </w:r>
            <w:r>
              <w:rPr>
                <w:color w:val="475569"/>
                <w:sz w:val="20"/>
              </w:rPr>
              <w:fldChar w:fldCharType="separate"/>
            </w:r>
            <w:r>
              <w:rPr>
                <w:color w:val="475569"/>
                <w:sz w:val="20"/>
              </w:rPr>
              <w:t>…</w:t>
            </w:r>
            <w:r>
              <w:rPr>
                <w:color w:val="475569"/>
                <w:sz w:val="20"/>
              </w:rPr>
              <w:fldChar w:fldCharType="end"/>
            </w:r>
          </w:p>
        </w:tc>
      </w:tr>
      <w:tr w:rsidR="00FA130B" w14:paraId="6B482FD8" w14:textId="77777777">
        <w:trPr>
          <w:jc w:val="center"/>
        </w:trPr>
        <w:tc>
          <w:tcPr>
            <w:tcW w:w="6624" w:type="dxa"/>
            <w:tcBorders>
              <w:top w:val="nil"/>
              <w:left w:val="nil"/>
              <w:bottom w:val="nil"/>
              <w:right w:val="nil"/>
            </w:tcBorders>
          </w:tcPr>
          <w:p w14:paraId="7CC1A97D" w14:textId="77777777" w:rsidR="00FA130B" w:rsidRDefault="00CA6E60">
            <w:pPr>
              <w:spacing w:after="80"/>
              <w:ind w:left="360"/>
            </w:pPr>
            <w:hyperlink w:anchor="_toc_7" w:history="1">
              <w:r>
                <w:rPr>
                  <w:color w:val="475569"/>
                  <w:sz w:val="20"/>
                  <w:u w:val="single"/>
                </w:rPr>
                <w:t>Extraction Schema</w:t>
              </w:r>
            </w:hyperlink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146F8EA2" w14:textId="77777777" w:rsidR="00FA130B" w:rsidRDefault="00CA6E60">
            <w:pPr>
              <w:spacing w:after="80"/>
              <w:jc w:val="right"/>
            </w:pPr>
            <w:r>
              <w:rPr>
                <w:color w:val="475569"/>
                <w:sz w:val="19"/>
              </w:rPr>
              <w:fldChar w:fldCharType="begin"/>
            </w:r>
            <w:r>
              <w:rPr>
                <w:color w:val="475569"/>
                <w:sz w:val="19"/>
              </w:rPr>
              <w:instrText>PAGEREF _toc_7 \h</w:instrText>
            </w:r>
            <w:r>
              <w:rPr>
                <w:color w:val="475569"/>
                <w:sz w:val="19"/>
              </w:rPr>
            </w:r>
            <w:r>
              <w:rPr>
                <w:color w:val="475569"/>
                <w:sz w:val="19"/>
              </w:rPr>
              <w:fldChar w:fldCharType="separate"/>
            </w:r>
            <w:r>
              <w:rPr>
                <w:color w:val="475569"/>
                <w:sz w:val="19"/>
              </w:rPr>
              <w:t>…</w:t>
            </w:r>
            <w:r>
              <w:rPr>
                <w:color w:val="475569"/>
                <w:sz w:val="19"/>
              </w:rPr>
              <w:fldChar w:fldCharType="end"/>
            </w:r>
          </w:p>
        </w:tc>
      </w:tr>
      <w:tr w:rsidR="00FA130B" w14:paraId="3D018997" w14:textId="77777777">
        <w:trPr>
          <w:jc w:val="center"/>
        </w:trPr>
        <w:tc>
          <w:tcPr>
            <w:tcW w:w="6624" w:type="dxa"/>
            <w:tcBorders>
              <w:top w:val="nil"/>
              <w:left w:val="nil"/>
              <w:bottom w:val="nil"/>
              <w:right w:val="nil"/>
            </w:tcBorders>
          </w:tcPr>
          <w:p w14:paraId="0812EEA5" w14:textId="77777777" w:rsidR="00FA130B" w:rsidRDefault="00CA6E60">
            <w:pPr>
              <w:spacing w:after="80"/>
              <w:ind w:left="360"/>
            </w:pPr>
            <w:hyperlink w:anchor="_toc_8" w:history="1">
              <w:r>
                <w:rPr>
                  <w:color w:val="475569"/>
                  <w:sz w:val="20"/>
                  <w:u w:val="single"/>
                </w:rPr>
                <w:t>Reconciliation &amp; Conflict Flagging</w:t>
              </w:r>
            </w:hyperlink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4F0573A4" w14:textId="77777777" w:rsidR="00FA130B" w:rsidRDefault="00CA6E60">
            <w:pPr>
              <w:spacing w:after="80"/>
              <w:jc w:val="right"/>
            </w:pPr>
            <w:r>
              <w:rPr>
                <w:color w:val="475569"/>
                <w:sz w:val="19"/>
              </w:rPr>
              <w:fldChar w:fldCharType="begin"/>
            </w:r>
            <w:r>
              <w:rPr>
                <w:color w:val="475569"/>
                <w:sz w:val="19"/>
              </w:rPr>
              <w:instrText>PAGEREF _toc_8 \h</w:instrText>
            </w:r>
            <w:r>
              <w:rPr>
                <w:color w:val="475569"/>
                <w:sz w:val="19"/>
              </w:rPr>
            </w:r>
            <w:r>
              <w:rPr>
                <w:color w:val="475569"/>
                <w:sz w:val="19"/>
              </w:rPr>
              <w:fldChar w:fldCharType="separate"/>
            </w:r>
            <w:r>
              <w:rPr>
                <w:color w:val="475569"/>
                <w:sz w:val="19"/>
              </w:rPr>
              <w:t>…</w:t>
            </w:r>
            <w:r>
              <w:rPr>
                <w:color w:val="475569"/>
                <w:sz w:val="19"/>
              </w:rPr>
              <w:fldChar w:fldCharType="end"/>
            </w:r>
          </w:p>
        </w:tc>
      </w:tr>
      <w:tr w:rsidR="00FA130B" w14:paraId="1C3D4AEF" w14:textId="77777777">
        <w:trPr>
          <w:jc w:val="center"/>
        </w:trPr>
        <w:tc>
          <w:tcPr>
            <w:tcW w:w="6624" w:type="dxa"/>
            <w:tcBorders>
              <w:top w:val="nil"/>
              <w:left w:val="nil"/>
              <w:bottom w:val="nil"/>
              <w:right w:val="nil"/>
            </w:tcBorders>
          </w:tcPr>
          <w:p w14:paraId="23E5BA0B" w14:textId="77777777" w:rsidR="00FA130B" w:rsidRDefault="00CA6E60">
            <w:pPr>
              <w:spacing w:after="80"/>
            </w:pPr>
            <w:hyperlink w:anchor="_toc_9" w:history="1">
              <w:r>
                <w:rPr>
                  <w:b/>
                  <w:color w:val="1E3A5F"/>
                  <w:u w:val="single"/>
                </w:rPr>
                <w:t>04 · Epic 2 — Coupa Contract OCR Extraction</w:t>
              </w:r>
            </w:hyperlink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762D42C7" w14:textId="77777777" w:rsidR="00FA130B" w:rsidRDefault="00CA6E60">
            <w:pPr>
              <w:spacing w:after="80"/>
              <w:jc w:val="right"/>
            </w:pPr>
            <w:r>
              <w:rPr>
                <w:color w:val="475569"/>
                <w:sz w:val="20"/>
              </w:rPr>
              <w:fldChar w:fldCharType="begin"/>
            </w:r>
            <w:r>
              <w:rPr>
                <w:color w:val="475569"/>
                <w:sz w:val="20"/>
              </w:rPr>
              <w:instrText>PAGEREF _toc_9 \h</w:instrText>
            </w:r>
            <w:r>
              <w:rPr>
                <w:color w:val="475569"/>
                <w:sz w:val="20"/>
              </w:rPr>
            </w:r>
            <w:r>
              <w:rPr>
                <w:color w:val="475569"/>
                <w:sz w:val="20"/>
              </w:rPr>
              <w:fldChar w:fldCharType="separate"/>
            </w:r>
            <w:r>
              <w:rPr>
                <w:color w:val="475569"/>
                <w:sz w:val="20"/>
              </w:rPr>
              <w:t>…</w:t>
            </w:r>
            <w:r>
              <w:rPr>
                <w:color w:val="475569"/>
                <w:sz w:val="20"/>
              </w:rPr>
              <w:fldChar w:fldCharType="end"/>
            </w:r>
          </w:p>
        </w:tc>
      </w:tr>
      <w:tr w:rsidR="00FA130B" w14:paraId="03C2871E" w14:textId="77777777">
        <w:trPr>
          <w:jc w:val="center"/>
        </w:trPr>
        <w:tc>
          <w:tcPr>
            <w:tcW w:w="6624" w:type="dxa"/>
            <w:tcBorders>
              <w:top w:val="nil"/>
              <w:left w:val="nil"/>
              <w:bottom w:val="nil"/>
              <w:right w:val="nil"/>
            </w:tcBorders>
          </w:tcPr>
          <w:p w14:paraId="1421C8BA" w14:textId="77777777" w:rsidR="00FA130B" w:rsidRDefault="00CA6E60">
            <w:pPr>
              <w:spacing w:after="80"/>
              <w:ind w:left="360"/>
            </w:pPr>
            <w:hyperlink w:anchor="_toc_10" w:history="1">
              <w:r>
                <w:rPr>
                  <w:color w:val="475569"/>
                  <w:sz w:val="20"/>
                  <w:u w:val="single"/>
                </w:rPr>
                <w:t>Target Fields (POC)</w:t>
              </w:r>
            </w:hyperlink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44879B5D" w14:textId="77777777" w:rsidR="00FA130B" w:rsidRDefault="00CA6E60">
            <w:pPr>
              <w:spacing w:after="80"/>
              <w:jc w:val="right"/>
            </w:pPr>
            <w:r>
              <w:rPr>
                <w:color w:val="475569"/>
                <w:sz w:val="19"/>
              </w:rPr>
              <w:fldChar w:fldCharType="begin"/>
            </w:r>
            <w:r>
              <w:rPr>
                <w:color w:val="475569"/>
                <w:sz w:val="19"/>
              </w:rPr>
              <w:instrText>PAGEREF _toc_10 \h</w:instrText>
            </w:r>
            <w:r>
              <w:rPr>
                <w:color w:val="475569"/>
                <w:sz w:val="19"/>
              </w:rPr>
            </w:r>
            <w:r>
              <w:rPr>
                <w:color w:val="475569"/>
                <w:sz w:val="19"/>
              </w:rPr>
              <w:fldChar w:fldCharType="separate"/>
            </w:r>
            <w:r>
              <w:rPr>
                <w:color w:val="475569"/>
                <w:sz w:val="19"/>
              </w:rPr>
              <w:t>…</w:t>
            </w:r>
            <w:r>
              <w:rPr>
                <w:color w:val="475569"/>
                <w:sz w:val="19"/>
              </w:rPr>
              <w:fldChar w:fldCharType="end"/>
            </w:r>
          </w:p>
        </w:tc>
      </w:tr>
      <w:tr w:rsidR="00FA130B" w14:paraId="5D003B06" w14:textId="77777777">
        <w:trPr>
          <w:jc w:val="center"/>
        </w:trPr>
        <w:tc>
          <w:tcPr>
            <w:tcW w:w="6624" w:type="dxa"/>
            <w:tcBorders>
              <w:top w:val="nil"/>
              <w:left w:val="nil"/>
              <w:bottom w:val="nil"/>
              <w:right w:val="nil"/>
            </w:tcBorders>
          </w:tcPr>
          <w:p w14:paraId="0BB0FCA1" w14:textId="77777777" w:rsidR="00FA130B" w:rsidRDefault="00CA6E60">
            <w:pPr>
              <w:spacing w:after="80"/>
              <w:ind w:left="360"/>
            </w:pPr>
            <w:hyperlink w:anchor="_toc_11" w:history="1">
              <w:r>
                <w:rPr>
                  <w:color w:val="475569"/>
                  <w:sz w:val="20"/>
                  <w:u w:val="single"/>
                </w:rPr>
                <w:t>Document Linkage</w:t>
              </w:r>
            </w:hyperlink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259B5D69" w14:textId="77777777" w:rsidR="00FA130B" w:rsidRDefault="00CA6E60">
            <w:pPr>
              <w:spacing w:after="80"/>
              <w:jc w:val="right"/>
            </w:pPr>
            <w:r>
              <w:rPr>
                <w:color w:val="475569"/>
                <w:sz w:val="19"/>
              </w:rPr>
              <w:fldChar w:fldCharType="begin"/>
            </w:r>
            <w:r>
              <w:rPr>
                <w:color w:val="475569"/>
                <w:sz w:val="19"/>
              </w:rPr>
              <w:instrText>PAGEREF _toc_11 \h</w:instrText>
            </w:r>
            <w:r>
              <w:rPr>
                <w:color w:val="475569"/>
                <w:sz w:val="19"/>
              </w:rPr>
            </w:r>
            <w:r>
              <w:rPr>
                <w:color w:val="475569"/>
                <w:sz w:val="19"/>
              </w:rPr>
              <w:fldChar w:fldCharType="separate"/>
            </w:r>
            <w:r>
              <w:rPr>
                <w:color w:val="475569"/>
                <w:sz w:val="19"/>
              </w:rPr>
              <w:t>…</w:t>
            </w:r>
            <w:r>
              <w:rPr>
                <w:color w:val="475569"/>
                <w:sz w:val="19"/>
              </w:rPr>
              <w:fldChar w:fldCharType="end"/>
            </w:r>
          </w:p>
        </w:tc>
      </w:tr>
      <w:tr w:rsidR="00FA130B" w14:paraId="4E6CFECA" w14:textId="77777777">
        <w:trPr>
          <w:jc w:val="center"/>
        </w:trPr>
        <w:tc>
          <w:tcPr>
            <w:tcW w:w="6624" w:type="dxa"/>
            <w:tcBorders>
              <w:top w:val="nil"/>
              <w:left w:val="nil"/>
              <w:bottom w:val="nil"/>
              <w:right w:val="nil"/>
            </w:tcBorders>
          </w:tcPr>
          <w:p w14:paraId="5C3A5E25" w14:textId="77777777" w:rsidR="00FA130B" w:rsidRDefault="00CA6E60">
            <w:pPr>
              <w:spacing w:after="80"/>
            </w:pPr>
            <w:hyperlink w:anchor="_toc_12" w:history="1">
              <w:r>
                <w:rPr>
                  <w:b/>
                  <w:color w:val="1E3A5F"/>
                  <w:u w:val="single"/>
                </w:rPr>
                <w:t>05 · Epic 3 — Quality Bar &amp; Confidence</w:t>
              </w:r>
            </w:hyperlink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68E77F95" w14:textId="77777777" w:rsidR="00FA130B" w:rsidRDefault="00CA6E60">
            <w:pPr>
              <w:spacing w:after="80"/>
              <w:jc w:val="right"/>
            </w:pPr>
            <w:r>
              <w:rPr>
                <w:color w:val="475569"/>
                <w:sz w:val="20"/>
              </w:rPr>
              <w:fldChar w:fldCharType="begin"/>
            </w:r>
            <w:r>
              <w:rPr>
                <w:color w:val="475569"/>
                <w:sz w:val="20"/>
              </w:rPr>
              <w:instrText>PAGEREF _toc_12 \h</w:instrText>
            </w:r>
            <w:r>
              <w:rPr>
                <w:color w:val="475569"/>
                <w:sz w:val="20"/>
              </w:rPr>
            </w:r>
            <w:r>
              <w:rPr>
                <w:color w:val="475569"/>
                <w:sz w:val="20"/>
              </w:rPr>
              <w:fldChar w:fldCharType="separate"/>
            </w:r>
            <w:r>
              <w:rPr>
                <w:color w:val="475569"/>
                <w:sz w:val="20"/>
              </w:rPr>
              <w:t>…</w:t>
            </w:r>
            <w:r>
              <w:rPr>
                <w:color w:val="475569"/>
                <w:sz w:val="20"/>
              </w:rPr>
              <w:fldChar w:fldCharType="end"/>
            </w:r>
          </w:p>
        </w:tc>
      </w:tr>
      <w:tr w:rsidR="00FA130B" w14:paraId="3369967D" w14:textId="77777777">
        <w:trPr>
          <w:jc w:val="center"/>
        </w:trPr>
        <w:tc>
          <w:tcPr>
            <w:tcW w:w="6624" w:type="dxa"/>
            <w:tcBorders>
              <w:top w:val="nil"/>
              <w:left w:val="nil"/>
              <w:bottom w:val="nil"/>
              <w:right w:val="nil"/>
            </w:tcBorders>
          </w:tcPr>
          <w:p w14:paraId="270F6756" w14:textId="77777777" w:rsidR="00FA130B" w:rsidRDefault="00CA6E60">
            <w:pPr>
              <w:spacing w:after="80"/>
              <w:ind w:left="360"/>
            </w:pPr>
            <w:hyperlink w:anchor="_toc_13" w:history="1">
              <w:r>
                <w:rPr>
                  <w:color w:val="475569"/>
                  <w:sz w:val="20"/>
                  <w:u w:val="single"/>
                </w:rPr>
                <w:t>Confidence Signal (per document)</w:t>
              </w:r>
            </w:hyperlink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4B4B7EB4" w14:textId="77777777" w:rsidR="00FA130B" w:rsidRDefault="00CA6E60">
            <w:pPr>
              <w:spacing w:after="80"/>
              <w:jc w:val="right"/>
            </w:pPr>
            <w:r>
              <w:rPr>
                <w:color w:val="475569"/>
                <w:sz w:val="19"/>
              </w:rPr>
              <w:fldChar w:fldCharType="begin"/>
            </w:r>
            <w:r>
              <w:rPr>
                <w:color w:val="475569"/>
                <w:sz w:val="19"/>
              </w:rPr>
              <w:instrText>PAGEREF _toc_13 \h</w:instrText>
            </w:r>
            <w:r>
              <w:rPr>
                <w:color w:val="475569"/>
                <w:sz w:val="19"/>
              </w:rPr>
            </w:r>
            <w:r>
              <w:rPr>
                <w:color w:val="475569"/>
                <w:sz w:val="19"/>
              </w:rPr>
              <w:fldChar w:fldCharType="separate"/>
            </w:r>
            <w:r>
              <w:rPr>
                <w:color w:val="475569"/>
                <w:sz w:val="19"/>
              </w:rPr>
              <w:t>…</w:t>
            </w:r>
            <w:r>
              <w:rPr>
                <w:color w:val="475569"/>
                <w:sz w:val="19"/>
              </w:rPr>
              <w:fldChar w:fldCharType="end"/>
            </w:r>
          </w:p>
        </w:tc>
      </w:tr>
      <w:tr w:rsidR="00FA130B" w14:paraId="463A13AA" w14:textId="77777777">
        <w:trPr>
          <w:jc w:val="center"/>
        </w:trPr>
        <w:tc>
          <w:tcPr>
            <w:tcW w:w="6624" w:type="dxa"/>
            <w:tcBorders>
              <w:top w:val="nil"/>
              <w:left w:val="nil"/>
              <w:bottom w:val="nil"/>
              <w:right w:val="nil"/>
            </w:tcBorders>
          </w:tcPr>
          <w:p w14:paraId="28900B7A" w14:textId="77777777" w:rsidR="00FA130B" w:rsidRDefault="00CA6E60">
            <w:pPr>
              <w:spacing w:after="80"/>
            </w:pPr>
            <w:hyperlink w:anchor="_toc_14" w:history="1">
              <w:r>
                <w:rPr>
                  <w:b/>
                  <w:color w:val="1E3A5F"/>
                  <w:u w:val="single"/>
                </w:rPr>
                <w:t>06 · Non-Functional Requirements</w:t>
              </w:r>
            </w:hyperlink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34738B9B" w14:textId="77777777" w:rsidR="00FA130B" w:rsidRDefault="00CA6E60">
            <w:pPr>
              <w:spacing w:after="80"/>
              <w:jc w:val="right"/>
            </w:pPr>
            <w:r>
              <w:rPr>
                <w:color w:val="475569"/>
                <w:sz w:val="20"/>
              </w:rPr>
              <w:fldChar w:fldCharType="begin"/>
            </w:r>
            <w:r>
              <w:rPr>
                <w:color w:val="475569"/>
                <w:sz w:val="20"/>
              </w:rPr>
              <w:instrText>PAGEREF _toc_14 \h</w:instrText>
            </w:r>
            <w:r>
              <w:rPr>
                <w:color w:val="475569"/>
                <w:sz w:val="20"/>
              </w:rPr>
            </w:r>
            <w:r>
              <w:rPr>
                <w:color w:val="475569"/>
                <w:sz w:val="20"/>
              </w:rPr>
              <w:fldChar w:fldCharType="separate"/>
            </w:r>
            <w:r>
              <w:rPr>
                <w:color w:val="475569"/>
                <w:sz w:val="20"/>
              </w:rPr>
              <w:t>…</w:t>
            </w:r>
            <w:r>
              <w:rPr>
                <w:color w:val="475569"/>
                <w:sz w:val="20"/>
              </w:rPr>
              <w:fldChar w:fldCharType="end"/>
            </w:r>
          </w:p>
        </w:tc>
      </w:tr>
      <w:tr w:rsidR="00FA130B" w14:paraId="451E73FC" w14:textId="77777777">
        <w:trPr>
          <w:jc w:val="center"/>
        </w:trPr>
        <w:tc>
          <w:tcPr>
            <w:tcW w:w="6624" w:type="dxa"/>
            <w:tcBorders>
              <w:top w:val="nil"/>
              <w:left w:val="nil"/>
              <w:bottom w:val="nil"/>
              <w:right w:val="nil"/>
            </w:tcBorders>
          </w:tcPr>
          <w:p w14:paraId="24DDE3D4" w14:textId="77777777" w:rsidR="00FA130B" w:rsidRDefault="00CA6E60">
            <w:pPr>
              <w:spacing w:after="80"/>
            </w:pPr>
            <w:hyperlink w:anchor="_toc_15" w:history="1">
              <w:r>
                <w:rPr>
                  <w:b/>
                  <w:color w:val="1E3A5F"/>
                  <w:u w:val="single"/>
                </w:rPr>
                <w:t>07 · Known Platform Constraints</w:t>
              </w:r>
            </w:hyperlink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3EE552BE" w14:textId="77777777" w:rsidR="00FA130B" w:rsidRDefault="00CA6E60">
            <w:pPr>
              <w:spacing w:after="80"/>
              <w:jc w:val="right"/>
            </w:pPr>
            <w:r>
              <w:rPr>
                <w:color w:val="475569"/>
                <w:sz w:val="20"/>
              </w:rPr>
              <w:fldChar w:fldCharType="begin"/>
            </w:r>
            <w:r>
              <w:rPr>
                <w:color w:val="475569"/>
                <w:sz w:val="20"/>
              </w:rPr>
              <w:instrText>PAGEREF _toc_15 \h</w:instrText>
            </w:r>
            <w:r>
              <w:rPr>
                <w:color w:val="475569"/>
                <w:sz w:val="20"/>
              </w:rPr>
            </w:r>
            <w:r>
              <w:rPr>
                <w:color w:val="475569"/>
                <w:sz w:val="20"/>
              </w:rPr>
              <w:fldChar w:fldCharType="separate"/>
            </w:r>
            <w:r>
              <w:rPr>
                <w:color w:val="475569"/>
                <w:sz w:val="20"/>
              </w:rPr>
              <w:t>…</w:t>
            </w:r>
            <w:r>
              <w:rPr>
                <w:color w:val="475569"/>
                <w:sz w:val="20"/>
              </w:rPr>
              <w:fldChar w:fldCharType="end"/>
            </w:r>
          </w:p>
        </w:tc>
      </w:tr>
      <w:tr w:rsidR="00FA130B" w14:paraId="76BFD8FA" w14:textId="77777777">
        <w:trPr>
          <w:jc w:val="center"/>
        </w:trPr>
        <w:tc>
          <w:tcPr>
            <w:tcW w:w="6624" w:type="dxa"/>
            <w:tcBorders>
              <w:top w:val="nil"/>
              <w:left w:val="nil"/>
              <w:bottom w:val="nil"/>
              <w:right w:val="nil"/>
            </w:tcBorders>
          </w:tcPr>
          <w:p w14:paraId="71EF47BE" w14:textId="77777777" w:rsidR="00FA130B" w:rsidRDefault="00CA6E60">
            <w:pPr>
              <w:spacing w:after="80"/>
            </w:pPr>
            <w:hyperlink w:anchor="_toc_16" w:history="1">
              <w:r>
                <w:rPr>
                  <w:b/>
                  <w:color w:val="1E3A5F"/>
                  <w:u w:val="single"/>
                </w:rPr>
                <w:t>08 · Risks &amp; Open Items</w:t>
              </w:r>
            </w:hyperlink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33AA4CCA" w14:textId="77777777" w:rsidR="00FA130B" w:rsidRDefault="00CA6E60">
            <w:pPr>
              <w:spacing w:after="80"/>
              <w:jc w:val="right"/>
            </w:pPr>
            <w:r>
              <w:rPr>
                <w:color w:val="475569"/>
                <w:sz w:val="20"/>
              </w:rPr>
              <w:fldChar w:fldCharType="begin"/>
            </w:r>
            <w:r>
              <w:rPr>
                <w:color w:val="475569"/>
                <w:sz w:val="20"/>
              </w:rPr>
              <w:instrText>PAGEREF _toc_16 \h</w:instrText>
            </w:r>
            <w:r>
              <w:rPr>
                <w:color w:val="475569"/>
                <w:sz w:val="20"/>
              </w:rPr>
            </w:r>
            <w:r>
              <w:rPr>
                <w:color w:val="475569"/>
                <w:sz w:val="20"/>
              </w:rPr>
              <w:fldChar w:fldCharType="separate"/>
            </w:r>
            <w:r>
              <w:rPr>
                <w:color w:val="475569"/>
                <w:sz w:val="20"/>
              </w:rPr>
              <w:t>…</w:t>
            </w:r>
            <w:r>
              <w:rPr>
                <w:color w:val="475569"/>
                <w:sz w:val="20"/>
              </w:rPr>
              <w:fldChar w:fldCharType="end"/>
            </w:r>
          </w:p>
        </w:tc>
      </w:tr>
      <w:tr w:rsidR="00FA130B" w14:paraId="5A58B5CD" w14:textId="77777777">
        <w:trPr>
          <w:jc w:val="center"/>
        </w:trPr>
        <w:tc>
          <w:tcPr>
            <w:tcW w:w="6624" w:type="dxa"/>
            <w:tcBorders>
              <w:top w:val="nil"/>
              <w:left w:val="nil"/>
              <w:bottom w:val="nil"/>
              <w:right w:val="nil"/>
            </w:tcBorders>
          </w:tcPr>
          <w:p w14:paraId="49ABAB58" w14:textId="77777777" w:rsidR="00FA130B" w:rsidRDefault="00CA6E60">
            <w:pPr>
              <w:spacing w:after="80"/>
            </w:pPr>
            <w:hyperlink w:anchor="_toc_17" w:history="1">
              <w:r>
                <w:rPr>
                  <w:b/>
                  <w:color w:val="1E3A5F"/>
                  <w:u w:val="single"/>
                </w:rPr>
                <w:t>09 · Rollout Plan</w:t>
              </w:r>
            </w:hyperlink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207EB81F" w14:textId="77777777" w:rsidR="00FA130B" w:rsidRDefault="00CA6E60">
            <w:pPr>
              <w:spacing w:after="80"/>
              <w:jc w:val="right"/>
            </w:pPr>
            <w:r>
              <w:rPr>
                <w:color w:val="475569"/>
                <w:sz w:val="20"/>
              </w:rPr>
              <w:fldChar w:fldCharType="begin"/>
            </w:r>
            <w:r>
              <w:rPr>
                <w:color w:val="475569"/>
                <w:sz w:val="20"/>
              </w:rPr>
              <w:instrText>PAGEREF _toc_17 \h</w:instrText>
            </w:r>
            <w:r>
              <w:rPr>
                <w:color w:val="475569"/>
                <w:sz w:val="20"/>
              </w:rPr>
            </w:r>
            <w:r>
              <w:rPr>
                <w:color w:val="475569"/>
                <w:sz w:val="20"/>
              </w:rPr>
              <w:fldChar w:fldCharType="separate"/>
            </w:r>
            <w:r>
              <w:rPr>
                <w:color w:val="475569"/>
                <w:sz w:val="20"/>
              </w:rPr>
              <w:t>…</w:t>
            </w:r>
            <w:r>
              <w:rPr>
                <w:color w:val="475569"/>
                <w:sz w:val="20"/>
              </w:rPr>
              <w:fldChar w:fldCharType="end"/>
            </w:r>
          </w:p>
        </w:tc>
      </w:tr>
    </w:tbl>
    <w:p w14:paraId="02EB378F" w14:textId="77777777" w:rsidR="00FA130B" w:rsidRDefault="00CA6E60">
      <w:r>
        <w:br w:type="page"/>
      </w:r>
    </w:p>
    <w:p w14:paraId="3B89597E" w14:textId="77777777" w:rsidR="00FA130B" w:rsidRDefault="00CA6E60">
      <w:pPr>
        <w:pStyle w:val="Heading1"/>
      </w:pPr>
      <w:bookmarkStart w:id="0" w:name="_toc_1"/>
      <w:r>
        <w:rPr>
          <w:rFonts w:ascii="Calibri" w:hAnsi="Calibri"/>
        </w:rPr>
        <w:t>01 · Model Selection</w:t>
      </w:r>
      <w:bookmarkEnd w:id="0"/>
    </w:p>
    <w:p w14:paraId="6CB85BC0" w14:textId="77777777" w:rsidR="00FA130B" w:rsidRDefault="00CA6E60">
      <w:r>
        <w:rPr>
          <w:i/>
          <w:color w:val="475569"/>
        </w:rPr>
        <w:t>43 candidate models were run through an identical extraction pipeline — same OCR text, same prompt, same JSON schema, same post-processing — against two real invoice documents: a 10-line trailer-parts invoice and a 43-line grocery distribution invoice with a known history of OCR tools silently truncating it.</w:t>
      </w:r>
    </w:p>
    <w:p w14:paraId="77B94CE2" w14:textId="77777777" w:rsidR="00FA130B" w:rsidRDefault="00CA6E60">
      <w:pPr>
        <w:pStyle w:val="Heading2"/>
      </w:pPr>
      <w:bookmarkStart w:id="1" w:name="_toc_2"/>
      <w:r>
        <w:rPr>
          <w:rFonts w:ascii="Calibri" w:hAnsi="Calibri"/>
        </w:rPr>
        <w:t>Evaluation Methodology</w:t>
      </w:r>
      <w:bookmarkEnd w:id="1"/>
    </w:p>
    <w:p w14:paraId="7CD18313" w14:textId="77777777" w:rsidR="00FA130B" w:rsidRDefault="00CA6E60">
      <w:r>
        <w:t>Each model's output was checked against two independent reconciliation rules, applied separately to each of the two test documents:</w:t>
      </w:r>
    </w:p>
    <w:p w14:paraId="7AF1A63D" w14:textId="77777777" w:rsidR="00FA130B" w:rsidRDefault="00CA6E60">
      <w:pPr>
        <w:pStyle w:val="ListBullet"/>
        <w:spacing w:after="80"/>
      </w:pPr>
      <w:r>
        <w:t>Line-item check — do the extracted line items sum to the invoice's printed subtotal?</w:t>
      </w:r>
    </w:p>
    <w:p w14:paraId="5B8F446D" w14:textId="77777777" w:rsidR="00FA130B" w:rsidRDefault="00CA6E60">
      <w:pPr>
        <w:pStyle w:val="ListBullet"/>
        <w:spacing w:after="80"/>
      </w:pPr>
      <w:r>
        <w:t>Total check — does subtotal + tax + freight equal the invoice's printed amount due?</w:t>
      </w:r>
    </w:p>
    <w:p w14:paraId="2161CDA7" w14:textId="77777777" w:rsidR="00FA130B" w:rsidRDefault="00CA6E60">
      <w:r>
        <w:t>That is 2 rules × 2 documents = 4 pass/fail checks per model. The “Score” figure used throughout this section (e.g. “4/4”) is the number of those four checks a given model passed — 4/4 means it reconciled perfectly on both documents; 2/4 means half the checks failed. This score is a proxy for extraction accuracy only; it does not measure cost, latency, or reliability, which are addressed separately below.</w:t>
      </w:r>
    </w:p>
    <w:p w14:paraId="1B9C8765" w14:textId="77777777" w:rsidR="00FA130B" w:rsidRDefault="00CA6E60">
      <w:pPr>
        <w:pStyle w:val="Heading2"/>
      </w:pPr>
      <w:bookmarkStart w:id="2" w:name="_toc_3"/>
      <w:r>
        <w:rPr>
          <w:rFonts w:ascii="Calibri" w:hAnsi="Calibri"/>
        </w:rPr>
        <w:t>Recommendation</w:t>
      </w:r>
      <w:bookmarkEnd w:id="2"/>
    </w:p>
    <w:tbl>
      <w:tblPr>
        <w:tblW w:w="0" w:type="auto"/>
        <w:tblLook w:val="04A0" w:firstRow="1" w:lastRow="0" w:firstColumn="1" w:lastColumn="0" w:noHBand="0" w:noVBand="1"/>
      </w:tblPr>
      <w:tblGrid>
        <w:gridCol w:w="9736"/>
      </w:tblGrid>
      <w:tr w:rsidR="00FA130B" w14:paraId="00988577" w14:textId="77777777">
        <w:tc>
          <w:tcPr>
            <w:tcW w:w="9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0FB946E" w14:textId="77777777" w:rsidR="00FA130B" w:rsidRDefault="00CA6E60">
            <w:r>
              <w:rPr>
                <w:b/>
                <w:color w:val="0F766E"/>
                <w:sz w:val="18"/>
              </w:rPr>
              <w:t xml:space="preserve">RECOMMENDED FOR PRODUCTION — </w:t>
            </w:r>
            <w:r>
              <w:rPr>
                <w:rFonts w:ascii="Consolas" w:hAnsi="Consolas"/>
                <w:b/>
                <w:color w:val="1E3A5F"/>
                <w:sz w:val="28"/>
              </w:rPr>
              <w:t>gemini-3.5-flash</w:t>
            </w:r>
          </w:p>
          <w:p w14:paraId="4DA4D0A8" w14:textId="77777777" w:rsidR="00FA130B" w:rsidRDefault="00CA6E60">
            <w:r>
              <w:rPr>
                <w:color w:val="475569"/>
                <w:sz w:val="20"/>
              </w:rPr>
              <w:t>Score: 4/4 reconciliation checks passed — perfect on both documents (see Evaluation Methodology, above)</w:t>
            </w:r>
          </w:p>
          <w:p w14:paraId="56167866" w14:textId="77777777" w:rsidR="00FA130B" w:rsidRDefault="00CA6E60">
            <w:r>
              <w:rPr>
                <w:sz w:val="21"/>
              </w:rPr>
              <w:t>Chosen over the two other perfect scorers because it sits in the cost/latency tier suited to invoice-volume extraction rather than the reasoning-tier premium o3 and gpt-5.4-pro carry.</w:t>
            </w:r>
          </w:p>
        </w:tc>
      </w:tr>
    </w:tbl>
    <w:p w14:paraId="6A05A809" w14:textId="77777777" w:rsidR="00FA130B" w:rsidRDefault="00FA130B">
      <w:pPr>
        <w:spacing w:after="80"/>
      </w:pPr>
    </w:p>
    <w:p w14:paraId="176F3F63" w14:textId="77777777" w:rsidR="00FA130B" w:rsidRDefault="00CA6E60">
      <w:r>
        <w:t>Three models reconciled perfectly on every check across both documents: o3, gpt-5.4-pro, and gemini-3.5-flash. Accuracy alone doesn't separate them — the deciding factors are the ones that matter once this runs on production invoice volume:</w:t>
      </w:r>
    </w:p>
    <w:p w14:paraId="6884B69C" w14:textId="77777777" w:rsidR="00FA130B" w:rsidRDefault="00CA6E60">
      <w:pPr>
        <w:pStyle w:val="ListBullet"/>
        <w:spacing w:after="80"/>
      </w:pPr>
      <w:r>
        <w:t>Reasoning overhead — o3 is a reasoning model: it spends a variable, invisible token budget “thinking” before it emits JSON. One sibling model in the same family burned 30,719 of a 31,996-token budget on reasoning alone and never finished its output. o3 stayed under budget on these two documents, but that overhead scales unpredictably with document length — a risk for the longer contract documents in Epic 2.</w:t>
      </w:r>
    </w:p>
    <w:p w14:paraId="427B0B2E" w14:textId="77777777" w:rsidR="00FA130B" w:rsidRDefault="00CA6E60">
      <w:pPr>
        <w:pStyle w:val="ListBullet"/>
        <w:spacing w:after="80"/>
      </w:pPr>
      <w:r>
        <w:t>Cost tier — gpt-5.4-pro and o3 sit in premium tiers priced for low-volume, high-stakes calls. Invoice extraction at Coupa-attachment volume is a high-frequency, per-document call; a flash-tier model gives the same reconciliation result at a cost profile that scales with volume instead of fighting it.</w:t>
      </w:r>
    </w:p>
    <w:p w14:paraId="158EE743" w14:textId="77777777" w:rsidR="00FA130B" w:rsidRDefault="00CA6E60">
      <w:pPr>
        <w:pStyle w:val="ListBullet"/>
        <w:spacing w:after="80"/>
      </w:pPr>
      <w:r>
        <w:t>Latency — reasoning-tier models pay a visible latency tax from that same hidden token spend. Flash-tier models return in a tighter, more predictable window, which matters if extraction sits anywhere near an interactive path (e.g. a Sourcing Associate verifying a flagged invoice).</w:t>
      </w:r>
    </w:p>
    <w:p w14:paraId="06EE4FE7" w14:textId="77777777" w:rsidR="00FA130B" w:rsidRDefault="00CA6E60">
      <w:r>
        <w:t>Recommendation: ship Epic 1 on gemini-3.5-flash. Hold o3 and gpt-5.4-pro in reserve as an escalation tier — re-run any invoice that gemini-3.5-flash flags low-confidence (see 05 - Epic 3 - Quality Bar &amp; Confidence) through one of the two reasoning models before it reaches a human reviewer.</w:t>
      </w:r>
    </w:p>
    <w:p w14:paraId="47D55858" w14:textId="77777777" w:rsidR="00FA130B" w:rsidRDefault="00CA6E60">
      <w:pPr>
        <w:pStyle w:val="Heading2"/>
      </w:pPr>
      <w:bookmarkStart w:id="3" w:name="_toc_4"/>
      <w:r>
        <w:rPr>
          <w:rFonts w:ascii="Calibri" w:hAnsi="Calibri"/>
        </w:rPr>
        <w:t>Full Bake-off Results</w:t>
      </w:r>
      <w:bookmarkEnd w:id="3"/>
    </w:p>
    <w:p w14:paraId="4AC88C86" w14:textId="77777777" w:rsidR="00FA130B" w:rsidRDefault="00CA6E60">
      <w:r>
        <w:rPr>
          <w:i/>
          <w:color w:val="475569"/>
        </w:rPr>
        <w:t>Trailer Subtotal / Trailer Total / Kroger Subtotal / Kroger Total are the four checks defined in Evaluation Methodology, above, applied to the trailer-parts invoice and the grocery-distribution invoice respectively. “Match” = the check passed; “off” = it failed; “partial” = only some line items reconciled (seen only in the smallest/local models). Score is checks passed out of 4.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3"/>
        <w:gridCol w:w="1622"/>
        <w:gridCol w:w="1623"/>
        <w:gridCol w:w="1622"/>
        <w:gridCol w:w="1622"/>
      </w:tblGrid>
      <w:tr w:rsidR="00FA130B" w14:paraId="69B2640F" w14:textId="77777777">
        <w:trPr>
          <w:jc w:val="center"/>
        </w:trPr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</w:tcPr>
          <w:p w14:paraId="5D379CA5" w14:textId="77777777" w:rsidR="00FA130B" w:rsidRDefault="00CA6E60"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</w:tcPr>
          <w:p w14:paraId="60EDF163" w14:textId="77777777" w:rsidR="00FA130B" w:rsidRDefault="00CA6E60">
            <w:r>
              <w:rPr>
                <w:b/>
                <w:color w:val="FFFFFF"/>
                <w:sz w:val="19"/>
              </w:rPr>
              <w:t>Trailer Subtotal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</w:tcPr>
          <w:p w14:paraId="64FCF68C" w14:textId="77777777" w:rsidR="00FA130B" w:rsidRDefault="00CA6E60">
            <w:r>
              <w:rPr>
                <w:b/>
                <w:color w:val="FFFFFF"/>
                <w:sz w:val="19"/>
              </w:rPr>
              <w:t>Trailer Total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</w:tcPr>
          <w:p w14:paraId="393F98AA" w14:textId="77777777" w:rsidR="00FA130B" w:rsidRDefault="00CA6E60">
            <w:r>
              <w:rPr>
                <w:b/>
                <w:color w:val="FFFFFF"/>
                <w:sz w:val="19"/>
              </w:rPr>
              <w:t>Kroger Subtotal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</w:tcPr>
          <w:p w14:paraId="635DFFAE" w14:textId="77777777" w:rsidR="00FA130B" w:rsidRDefault="00CA6E60">
            <w:r>
              <w:rPr>
                <w:b/>
                <w:color w:val="FFFFFF"/>
                <w:sz w:val="19"/>
              </w:rPr>
              <w:t>Kroger Total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</w:tcPr>
          <w:p w14:paraId="657C3913" w14:textId="77777777" w:rsidR="00FA130B" w:rsidRDefault="00CA6E60">
            <w:r>
              <w:rPr>
                <w:b/>
                <w:color w:val="FFFFFF"/>
                <w:sz w:val="19"/>
              </w:rPr>
              <w:t>Score</w:t>
            </w:r>
          </w:p>
        </w:tc>
      </w:tr>
      <w:tr w:rsidR="00FA130B" w14:paraId="73436229" w14:textId="77777777">
        <w:trPr>
          <w:jc w:val="center"/>
        </w:trPr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E5D1454" w14:textId="77777777" w:rsidR="00FA130B" w:rsidRDefault="00CA6E60">
            <w:r>
              <w:rPr>
                <w:sz w:val="19"/>
              </w:rPr>
              <w:t>o3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65D47FC" w14:textId="77777777" w:rsidR="00FA130B" w:rsidRDefault="00CA6E60">
            <w:r>
              <w:rPr>
                <w:b/>
                <w:color w:val="0F766E"/>
                <w:sz w:val="19"/>
              </w:rPr>
              <w:t>match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E5355B1" w14:textId="77777777" w:rsidR="00FA130B" w:rsidRDefault="00CA6E60">
            <w:r>
              <w:rPr>
                <w:b/>
                <w:color w:val="0F766E"/>
                <w:sz w:val="19"/>
              </w:rPr>
              <w:t>match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0FC1E0F" w14:textId="77777777" w:rsidR="00FA130B" w:rsidRDefault="00CA6E60">
            <w:r>
              <w:rPr>
                <w:b/>
                <w:color w:val="0F766E"/>
                <w:sz w:val="19"/>
              </w:rPr>
              <w:t>match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53BE47D" w14:textId="77777777" w:rsidR="00FA130B" w:rsidRDefault="00CA6E60">
            <w:r>
              <w:rPr>
                <w:b/>
                <w:color w:val="0F766E"/>
                <w:sz w:val="19"/>
              </w:rPr>
              <w:t>match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4869DE5" w14:textId="77777777" w:rsidR="00FA130B" w:rsidRDefault="00CA6E60">
            <w:r>
              <w:rPr>
                <w:sz w:val="19"/>
              </w:rPr>
              <w:t>4/4</w:t>
            </w:r>
          </w:p>
        </w:tc>
      </w:tr>
      <w:tr w:rsidR="00FA130B" w14:paraId="7FAE2700" w14:textId="77777777">
        <w:trPr>
          <w:jc w:val="center"/>
        </w:trPr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02842A7" w14:textId="77777777" w:rsidR="00FA130B" w:rsidRDefault="00CA6E60">
            <w:r>
              <w:rPr>
                <w:sz w:val="19"/>
              </w:rPr>
              <w:t>gpt-5.4-pro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6FCE79B" w14:textId="77777777" w:rsidR="00FA130B" w:rsidRDefault="00CA6E60">
            <w:r>
              <w:rPr>
                <w:b/>
                <w:color w:val="0F766E"/>
                <w:sz w:val="19"/>
              </w:rPr>
              <w:t>match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FE8F2B6" w14:textId="77777777" w:rsidR="00FA130B" w:rsidRDefault="00CA6E60">
            <w:r>
              <w:rPr>
                <w:b/>
                <w:color w:val="0F766E"/>
                <w:sz w:val="19"/>
              </w:rPr>
              <w:t>match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B341E18" w14:textId="77777777" w:rsidR="00FA130B" w:rsidRDefault="00CA6E60">
            <w:r>
              <w:rPr>
                <w:b/>
                <w:color w:val="0F766E"/>
                <w:sz w:val="19"/>
              </w:rPr>
              <w:t>match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DE65004" w14:textId="70602B78" w:rsidR="00FA130B" w:rsidRDefault="00BD45D9">
            <w:r>
              <w:rPr>
                <w:b/>
                <w:color w:val="0F766E"/>
                <w:sz w:val="19"/>
              </w:rPr>
              <w:t>M</w:t>
            </w:r>
            <w:r w:rsidR="00CA6E60">
              <w:rPr>
                <w:b/>
                <w:color w:val="0F766E"/>
                <w:sz w:val="19"/>
              </w:rPr>
              <w:t>atch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965A1AC" w14:textId="77777777" w:rsidR="00FA130B" w:rsidRDefault="00CA6E60">
            <w:r>
              <w:rPr>
                <w:sz w:val="19"/>
              </w:rPr>
              <w:t>4/4</w:t>
            </w:r>
          </w:p>
        </w:tc>
      </w:tr>
      <w:tr w:rsidR="00FA130B" w14:paraId="10A32841" w14:textId="77777777">
        <w:trPr>
          <w:jc w:val="center"/>
        </w:trPr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C35F5E5" w14:textId="77777777" w:rsidR="00FA130B" w:rsidRDefault="00CA6E60">
            <w:r>
              <w:rPr>
                <w:sz w:val="19"/>
              </w:rPr>
              <w:t>gemini-3.5-flash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A971E0D" w14:textId="77777777" w:rsidR="00FA130B" w:rsidRDefault="00CA6E60">
            <w:r>
              <w:rPr>
                <w:b/>
                <w:color w:val="0F766E"/>
                <w:sz w:val="19"/>
              </w:rPr>
              <w:t>match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AB6AAA4" w14:textId="77777777" w:rsidR="00FA130B" w:rsidRDefault="00CA6E60">
            <w:r>
              <w:rPr>
                <w:b/>
                <w:color w:val="0F766E"/>
                <w:sz w:val="19"/>
              </w:rPr>
              <w:t>match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BBF13E1" w14:textId="77777777" w:rsidR="00FA130B" w:rsidRDefault="00CA6E60">
            <w:r>
              <w:rPr>
                <w:b/>
                <w:color w:val="0F766E"/>
                <w:sz w:val="19"/>
              </w:rPr>
              <w:t>match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E284606" w14:textId="5C1256C2" w:rsidR="00FA130B" w:rsidRDefault="00BD45D9">
            <w:r>
              <w:rPr>
                <w:b/>
                <w:color w:val="0F766E"/>
                <w:sz w:val="19"/>
              </w:rPr>
              <w:t>M</w:t>
            </w:r>
            <w:r w:rsidR="00CA6E60">
              <w:rPr>
                <w:b/>
                <w:color w:val="0F766E"/>
                <w:sz w:val="19"/>
              </w:rPr>
              <w:t>atch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BE18DE1" w14:textId="77777777" w:rsidR="00FA130B" w:rsidRDefault="00CA6E60">
            <w:r>
              <w:rPr>
                <w:sz w:val="19"/>
              </w:rPr>
              <w:t>4/4</w:t>
            </w:r>
          </w:p>
        </w:tc>
      </w:tr>
      <w:tr w:rsidR="00FA130B" w14:paraId="30973B90" w14:textId="77777777">
        <w:trPr>
          <w:jc w:val="center"/>
        </w:trPr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FBE9730" w14:textId="77777777" w:rsidR="00FA130B" w:rsidRDefault="00CA6E60">
            <w:r>
              <w:rPr>
                <w:sz w:val="19"/>
              </w:rPr>
              <w:t>gpt-5 family, o3-mini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5254C51" w14:textId="77777777" w:rsidR="00FA130B" w:rsidRDefault="00CA6E60">
            <w:r>
              <w:rPr>
                <w:b/>
                <w:color w:val="B91C1C"/>
                <w:sz w:val="19"/>
              </w:rPr>
              <w:t>off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0D65AD0" w14:textId="77777777" w:rsidR="00FA130B" w:rsidRDefault="00CA6E60">
            <w:r>
              <w:rPr>
                <w:b/>
                <w:color w:val="0F766E"/>
                <w:sz w:val="19"/>
              </w:rPr>
              <w:t>match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EF910C3" w14:textId="77777777" w:rsidR="00FA130B" w:rsidRDefault="00CA6E60">
            <w:r>
              <w:rPr>
                <w:b/>
                <w:color w:val="0F766E"/>
                <w:sz w:val="19"/>
              </w:rPr>
              <w:t>match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50E65BD" w14:textId="326FBDE1" w:rsidR="00FA130B" w:rsidRDefault="00BD45D9">
            <w:r>
              <w:rPr>
                <w:b/>
                <w:color w:val="0F766E"/>
                <w:sz w:val="19"/>
              </w:rPr>
              <w:t>M</w:t>
            </w:r>
            <w:r w:rsidR="00CA6E60">
              <w:rPr>
                <w:b/>
                <w:color w:val="0F766E"/>
                <w:sz w:val="19"/>
              </w:rPr>
              <w:t>atch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955DB55" w14:textId="77777777" w:rsidR="00FA130B" w:rsidRDefault="00CA6E60">
            <w:r>
              <w:rPr>
                <w:sz w:val="19"/>
              </w:rPr>
              <w:t>3/4</w:t>
            </w:r>
          </w:p>
        </w:tc>
      </w:tr>
      <w:tr w:rsidR="00FA130B" w14:paraId="30EBB559" w14:textId="77777777">
        <w:trPr>
          <w:jc w:val="center"/>
        </w:trPr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18534FA" w14:textId="77777777" w:rsidR="00FA130B" w:rsidRDefault="00CA6E60">
            <w:r>
              <w:rPr>
                <w:sz w:val="19"/>
              </w:rPr>
              <w:t>claude-opus/sonnet 4.5+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8D5FE2F" w14:textId="77777777" w:rsidR="00FA130B" w:rsidRDefault="00CA6E60">
            <w:r>
              <w:rPr>
                <w:b/>
                <w:color w:val="B91C1C"/>
                <w:sz w:val="19"/>
              </w:rPr>
              <w:t>off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9E09F89" w14:textId="77777777" w:rsidR="00FA130B" w:rsidRDefault="00CA6E60">
            <w:r>
              <w:rPr>
                <w:b/>
                <w:color w:val="0F766E"/>
                <w:sz w:val="19"/>
              </w:rPr>
              <w:t>match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16CA50D" w14:textId="77777777" w:rsidR="00FA130B" w:rsidRDefault="00CA6E60">
            <w:r>
              <w:rPr>
                <w:b/>
                <w:color w:val="0F766E"/>
                <w:sz w:val="19"/>
              </w:rPr>
              <w:t>match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6325E88" w14:textId="345494C0" w:rsidR="00FA130B" w:rsidRDefault="00D40014">
            <w:r>
              <w:rPr>
                <w:b/>
                <w:color w:val="0F766E"/>
                <w:sz w:val="19"/>
              </w:rPr>
              <w:t>M</w:t>
            </w:r>
            <w:r w:rsidR="00CA6E60">
              <w:rPr>
                <w:b/>
                <w:color w:val="0F766E"/>
                <w:sz w:val="19"/>
              </w:rPr>
              <w:t>atch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F802F21" w14:textId="77777777" w:rsidR="00FA130B" w:rsidRDefault="00CA6E60">
            <w:r>
              <w:rPr>
                <w:sz w:val="19"/>
              </w:rPr>
              <w:t>3/4</w:t>
            </w:r>
          </w:p>
        </w:tc>
      </w:tr>
      <w:tr w:rsidR="00FA130B" w14:paraId="073D1327" w14:textId="77777777">
        <w:trPr>
          <w:jc w:val="center"/>
        </w:trPr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31098A9" w14:textId="77777777" w:rsidR="00FA130B" w:rsidRDefault="00CA6E60">
            <w:r>
              <w:rPr>
                <w:sz w:val="19"/>
              </w:rPr>
              <w:t>gemini 2.5/3.x (most)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840B526" w14:textId="77777777" w:rsidR="00FA130B" w:rsidRDefault="00CA6E60">
            <w:r>
              <w:rPr>
                <w:b/>
                <w:color w:val="B91C1C"/>
                <w:sz w:val="19"/>
              </w:rPr>
              <w:t>off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55E963F" w14:textId="77777777" w:rsidR="00FA130B" w:rsidRDefault="00CA6E60">
            <w:r>
              <w:rPr>
                <w:b/>
                <w:color w:val="0F766E"/>
                <w:sz w:val="19"/>
              </w:rPr>
              <w:t>match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79E674A" w14:textId="77777777" w:rsidR="00FA130B" w:rsidRDefault="00CA6E60">
            <w:r>
              <w:rPr>
                <w:b/>
                <w:color w:val="0F766E"/>
                <w:sz w:val="19"/>
              </w:rPr>
              <w:t>match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FA5CAC9" w14:textId="1AE18585" w:rsidR="00FA130B" w:rsidRDefault="00D40014">
            <w:r>
              <w:rPr>
                <w:b/>
                <w:color w:val="0F766E"/>
                <w:sz w:val="19"/>
              </w:rPr>
              <w:t>M</w:t>
            </w:r>
            <w:r w:rsidR="00CA6E60">
              <w:rPr>
                <w:b/>
                <w:color w:val="0F766E"/>
                <w:sz w:val="19"/>
              </w:rPr>
              <w:t>atch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638EFB4" w14:textId="77777777" w:rsidR="00FA130B" w:rsidRDefault="00CA6E60">
            <w:r>
              <w:rPr>
                <w:sz w:val="19"/>
              </w:rPr>
              <w:t>3/4</w:t>
            </w:r>
          </w:p>
        </w:tc>
      </w:tr>
      <w:tr w:rsidR="00FA130B" w14:paraId="75726CF1" w14:textId="77777777">
        <w:trPr>
          <w:jc w:val="center"/>
        </w:trPr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3FB5720" w14:textId="77777777" w:rsidR="00FA130B" w:rsidRDefault="00CA6E60">
            <w:r>
              <w:rPr>
                <w:sz w:val="19"/>
              </w:rPr>
              <w:t>gpt-4o, o4-mini, mini/nano tier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6A2E443" w14:textId="77777777" w:rsidR="00FA130B" w:rsidRDefault="00CA6E60">
            <w:r>
              <w:rPr>
                <w:b/>
                <w:color w:val="B45309"/>
                <w:sz w:val="19"/>
              </w:rPr>
              <w:t>partial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58E237D" w14:textId="77777777" w:rsidR="00FA130B" w:rsidRDefault="00CA6E60">
            <w:r>
              <w:rPr>
                <w:b/>
                <w:color w:val="0F766E"/>
                <w:sz w:val="19"/>
              </w:rPr>
              <w:t>match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BB95AC8" w14:textId="77777777" w:rsidR="00FA130B" w:rsidRDefault="00CA6E60">
            <w:r>
              <w:rPr>
                <w:b/>
                <w:color w:val="B91C1C"/>
                <w:sz w:val="19"/>
              </w:rPr>
              <w:t>off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83B6FEF" w14:textId="77777777" w:rsidR="00FA130B" w:rsidRDefault="00CA6E60">
            <w:r>
              <w:rPr>
                <w:b/>
                <w:color w:val="0F766E"/>
                <w:sz w:val="19"/>
              </w:rPr>
              <w:t>match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F2FE613" w14:textId="77777777" w:rsidR="00FA130B" w:rsidRDefault="00CA6E60">
            <w:r>
              <w:rPr>
                <w:sz w:val="19"/>
              </w:rPr>
              <w:t>2/4</w:t>
            </w:r>
          </w:p>
        </w:tc>
      </w:tr>
      <w:tr w:rsidR="00FA130B" w14:paraId="6D2D8599" w14:textId="77777777">
        <w:trPr>
          <w:jc w:val="center"/>
        </w:trPr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6AB1B8B" w14:textId="77777777" w:rsidR="00FA130B" w:rsidRDefault="00CA6E60">
            <w:r>
              <w:rPr>
                <w:sz w:val="19"/>
              </w:rPr>
              <w:t>local + small tier (llama, qwen-3b)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9B0E6CF" w14:textId="77777777" w:rsidR="00FA130B" w:rsidRDefault="00CA6E60">
            <w:r>
              <w:rPr>
                <w:b/>
                <w:color w:val="B91C1C"/>
                <w:sz w:val="19"/>
              </w:rPr>
              <w:t>off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0A9D164" w14:textId="77777777" w:rsidR="00FA130B" w:rsidRDefault="00CA6E60">
            <w:r>
              <w:rPr>
                <w:b/>
                <w:color w:val="B45309"/>
                <w:sz w:val="19"/>
              </w:rPr>
              <w:t>partial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D0A31C5" w14:textId="77777777" w:rsidR="00FA130B" w:rsidRDefault="00CA6E60">
            <w:r>
              <w:rPr>
                <w:b/>
                <w:color w:val="B91C1C"/>
                <w:sz w:val="19"/>
              </w:rPr>
              <w:t>off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69CB688" w14:textId="77777777" w:rsidR="00FA130B" w:rsidRDefault="00CA6E60">
            <w:r>
              <w:rPr>
                <w:b/>
                <w:color w:val="B45309"/>
                <w:sz w:val="19"/>
              </w:rPr>
              <w:t>partial</w:t>
            </w:r>
          </w:p>
        </w:tc>
        <w:tc>
          <w:tcPr>
            <w:tcW w:w="1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CF66ABE" w14:textId="77777777" w:rsidR="00FA130B" w:rsidRDefault="00CA6E60">
            <w:r>
              <w:rPr>
                <w:sz w:val="19"/>
              </w:rPr>
              <w:t>≤1/4</w:t>
            </w:r>
          </w:p>
        </w:tc>
      </w:tr>
    </w:tbl>
    <w:p w14:paraId="5A39BBE3" w14:textId="77777777" w:rsidR="00FA130B" w:rsidRDefault="00FA130B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FA130B" w14:paraId="784B4DF4" w14:textId="77777777">
        <w:trPr>
          <w:jc w:val="center"/>
        </w:trPr>
        <w:tc>
          <w:tcPr>
            <w:tcW w:w="9746" w:type="dxa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5F3FF"/>
          </w:tcPr>
          <w:p w14:paraId="1C232E18" w14:textId="77777777" w:rsidR="00FA130B" w:rsidRDefault="00CA6E60">
            <w:r>
              <w:rPr>
                <w:b/>
                <w:color w:val="6D28D9"/>
                <w:sz w:val="18"/>
              </w:rPr>
              <w:t>ANOMALY</w:t>
            </w:r>
          </w:p>
          <w:p w14:paraId="158D2070" w14:textId="77777777" w:rsidR="00FA130B" w:rsidRDefault="00CA6E60">
            <w:r>
              <w:rPr>
                <w:sz w:val="21"/>
              </w:rPr>
              <w:t>Nearly every model — including all three perfect scorers on the harder document — agrees on the trailer invoice's line-item count (10) but disagrees with its own printed subtotal by a small, consistent margin. That pattern points at something in the source document (a rounding line, a discount, or a hidden charge) rather than 40 independent model failures. Recommend a manual pass on that document's raw OCR text before trusting its extracted totals in any pilot comparison.</w:t>
            </w:r>
          </w:p>
        </w:tc>
      </w:tr>
    </w:tbl>
    <w:p w14:paraId="41C8F396" w14:textId="77777777" w:rsidR="00FA130B" w:rsidRDefault="00FA130B">
      <w:pPr>
        <w:spacing w:after="40"/>
      </w:pPr>
    </w:p>
    <w:p w14:paraId="72A3D3EC" w14:textId="77777777" w:rsidR="00FA130B" w:rsidRDefault="00CA6E60">
      <w:r>
        <w:br w:type="page"/>
      </w:r>
    </w:p>
    <w:p w14:paraId="1CC620E7" w14:textId="77777777" w:rsidR="00FA130B" w:rsidRDefault="00CA6E60">
      <w:pPr>
        <w:pStyle w:val="Heading1"/>
      </w:pPr>
      <w:bookmarkStart w:id="4" w:name="_toc_5"/>
      <w:r>
        <w:rPr>
          <w:rFonts w:ascii="Calibri" w:hAnsi="Calibri"/>
        </w:rPr>
        <w:t>02 · Architecture</w:t>
      </w:r>
      <w:bookmarkEnd w:id="4"/>
    </w:p>
    <w:p w14:paraId="372E4270" w14:textId="77777777" w:rsidR="00FA130B" w:rsidRDefault="00CA6E60">
      <w:r>
        <w:t>One pipeline shape serves both epics: OCR to plain text, then a schema-constrained LLM call, then reconciliation against whatever structured source-of-truth exists for that document type. The extraction step is the only part that changes between invoices and contracts — the schema passed to the model, and what it's reconciled against.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FA130B" w14:paraId="36639C85" w14:textId="77777777">
        <w:trPr>
          <w:jc w:val="center"/>
        </w:trPr>
        <w:tc>
          <w:tcPr>
            <w:tcW w:w="48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</w:tcPr>
          <w:p w14:paraId="1FE7A217" w14:textId="77777777" w:rsidR="00FA130B" w:rsidRDefault="00CA6E60"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w="48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</w:tcPr>
          <w:p w14:paraId="094CEBA6" w14:textId="77777777" w:rsidR="00FA130B" w:rsidRDefault="00CA6E60">
            <w:r>
              <w:rPr>
                <w:b/>
                <w:color w:val="FFFFFF"/>
                <w:sz w:val="19"/>
              </w:rPr>
              <w:t>What happens</w:t>
            </w:r>
          </w:p>
        </w:tc>
      </w:tr>
      <w:tr w:rsidR="00FA130B" w14:paraId="4ACD33F9" w14:textId="77777777">
        <w:trPr>
          <w:jc w:val="center"/>
        </w:trPr>
        <w:tc>
          <w:tcPr>
            <w:tcW w:w="48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2B1DB79" w14:textId="77777777" w:rsidR="00FA130B" w:rsidRDefault="00CA6E60">
            <w:r>
              <w:rPr>
                <w:sz w:val="19"/>
              </w:rPr>
              <w:t>1. Ingest</w:t>
            </w:r>
          </w:p>
        </w:tc>
        <w:tc>
          <w:tcPr>
            <w:tcW w:w="48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7B0140C" w14:textId="77777777" w:rsidR="00FA130B" w:rsidRDefault="00CA6E60">
            <w:r>
              <w:rPr>
                <w:sz w:val="19"/>
              </w:rPr>
              <w:t>Invoice or contract PDF pulled from invoices_v1 / contracts_v1 (Bronze).</w:t>
            </w:r>
          </w:p>
        </w:tc>
      </w:tr>
      <w:tr w:rsidR="00FA130B" w14:paraId="5970E93E" w14:textId="77777777">
        <w:trPr>
          <w:jc w:val="center"/>
        </w:trPr>
        <w:tc>
          <w:tcPr>
            <w:tcW w:w="48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4DC6886" w14:textId="77777777" w:rsidR="00FA130B" w:rsidRDefault="00CA6E60">
            <w:r>
              <w:rPr>
                <w:sz w:val="19"/>
              </w:rPr>
              <w:t>2. OCR</w:t>
            </w:r>
          </w:p>
        </w:tc>
        <w:tc>
          <w:tcPr>
            <w:tcW w:w="48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48C6999" w14:textId="77777777" w:rsidR="00FA130B" w:rsidRDefault="00CA6E60">
            <w:r>
              <w:rPr>
                <w:sz w:val="19"/>
              </w:rPr>
              <w:t>Layout-aware OCR preserving row/column structure — replaces the current tool's summarization.</w:t>
            </w:r>
          </w:p>
        </w:tc>
      </w:tr>
      <w:tr w:rsidR="00FA130B" w14:paraId="2B64FC78" w14:textId="77777777">
        <w:trPr>
          <w:jc w:val="center"/>
        </w:trPr>
        <w:tc>
          <w:tcPr>
            <w:tcW w:w="48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25FA62E" w14:textId="77777777" w:rsidR="00FA130B" w:rsidRDefault="00CA6E60">
            <w:r>
              <w:rPr>
                <w:sz w:val="19"/>
              </w:rPr>
              <w:t>3. Extract</w:t>
            </w:r>
          </w:p>
        </w:tc>
        <w:tc>
          <w:tcPr>
            <w:tcW w:w="48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408E63F" w14:textId="77777777" w:rsidR="00FA130B" w:rsidRDefault="00CA6E60">
            <w:r>
              <w:rPr>
                <w:sz w:val="19"/>
              </w:rPr>
              <w:t>gemini-3.5-flash against a fixed JSON schema per document type; reasoning-tier escalation on low confidence.</w:t>
            </w:r>
          </w:p>
        </w:tc>
      </w:tr>
      <w:tr w:rsidR="00FA130B" w14:paraId="33002A9B" w14:textId="77777777">
        <w:trPr>
          <w:jc w:val="center"/>
        </w:trPr>
        <w:tc>
          <w:tcPr>
            <w:tcW w:w="48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6878C4D" w14:textId="77777777" w:rsidR="00FA130B" w:rsidRDefault="00CA6E60">
            <w:r>
              <w:rPr>
                <w:sz w:val="19"/>
              </w:rPr>
              <w:t>4. Reconcile</w:t>
            </w:r>
          </w:p>
        </w:tc>
        <w:tc>
          <w:tcPr>
            <w:tcW w:w="48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48CBE49" w14:textId="77777777" w:rsidR="00FA130B" w:rsidRDefault="00CA6E60">
            <w:r>
              <w:rPr>
                <w:sz w:val="19"/>
              </w:rPr>
              <w:t>Cross-check against structured Coupa fields; compute confidence; flag conflicts.</w:t>
            </w:r>
          </w:p>
        </w:tc>
      </w:tr>
      <w:tr w:rsidR="00FA130B" w14:paraId="2D1A9CFA" w14:textId="77777777">
        <w:trPr>
          <w:jc w:val="center"/>
        </w:trPr>
        <w:tc>
          <w:tcPr>
            <w:tcW w:w="48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1EA3335" w14:textId="77777777" w:rsidR="00FA130B" w:rsidRDefault="00CA6E60">
            <w:r>
              <w:rPr>
                <w:sz w:val="19"/>
              </w:rPr>
              <w:t>5. Publish</w:t>
            </w:r>
          </w:p>
        </w:tc>
        <w:tc>
          <w:tcPr>
            <w:tcW w:w="48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23ACBBC" w14:textId="77777777" w:rsidR="00FA130B" w:rsidRDefault="00CA6E60">
            <w:r>
              <w:rPr>
                <w:sz w:val="19"/>
              </w:rPr>
              <w:t>LineItemEvidence / contract-clauses written back, linked to the parent record.</w:t>
            </w:r>
          </w:p>
        </w:tc>
      </w:tr>
    </w:tbl>
    <w:p w14:paraId="0D0B940D" w14:textId="77777777" w:rsidR="00FA130B" w:rsidRDefault="00FA130B">
      <w:pPr>
        <w:spacing w:after="80"/>
      </w:pPr>
    </w:p>
    <w:p w14:paraId="0E27B00A" w14:textId="77777777" w:rsidR="00FA130B" w:rsidRDefault="00CA6E60">
      <w:r>
        <w:br w:type="page"/>
      </w:r>
    </w:p>
    <w:p w14:paraId="32A146B0" w14:textId="77777777" w:rsidR="00FA130B" w:rsidRDefault="00CA6E60">
      <w:pPr>
        <w:pStyle w:val="Heading1"/>
      </w:pPr>
      <w:bookmarkStart w:id="5" w:name="_toc_6"/>
      <w:r>
        <w:rPr>
          <w:rFonts w:ascii="Calibri" w:hAnsi="Calibri"/>
        </w:rPr>
        <w:t>03 · Epic 1 — Coupa Invoice OCR Extraction</w:t>
      </w:r>
      <w:bookmarkEnd w:id="5"/>
    </w:p>
    <w:p w14:paraId="368E464A" w14:textId="77777777" w:rsidR="00FA130B" w:rsidRDefault="00CA6E60">
      <w:r>
        <w:rPr>
          <w:i/>
          <w:color w:val="475569"/>
        </w:rPr>
        <w:t>Closes the categorization/compliance gap left by an OCR tool that turns a 100-line invoice into one summarized total line.</w:t>
      </w:r>
    </w:p>
    <w:p w14:paraId="7F3481F8" w14:textId="77777777" w:rsidR="00FA130B" w:rsidRDefault="00CA6E60">
      <w:pPr>
        <w:pStyle w:val="Heading2"/>
      </w:pPr>
      <w:bookmarkStart w:id="6" w:name="_toc_7"/>
      <w:r>
        <w:rPr>
          <w:rFonts w:ascii="Calibri" w:hAnsi="Calibri"/>
        </w:rPr>
        <w:t>Extraction Schema</w:t>
      </w:r>
      <w:bookmarkEnd w:id="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624"/>
      </w:tblGrid>
      <w:tr w:rsidR="00FA130B" w14:paraId="0EA16002" w14:textId="77777777">
        <w:trPr>
          <w:jc w:val="center"/>
        </w:trPr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CCD6E0D" w14:textId="77777777" w:rsidR="00FA130B" w:rsidRDefault="00CA6E60">
            <w:r>
              <w:rPr>
                <w:rFonts w:ascii="Consolas" w:hAnsi="Consolas"/>
                <w:b/>
                <w:color w:val="1E3A5F"/>
                <w:sz w:val="19"/>
              </w:rPr>
              <w:t>vendor</w:t>
            </w:r>
          </w:p>
        </w:tc>
        <w:tc>
          <w:tcPr>
            <w:tcW w:w="6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3C51045" w14:textId="77777777" w:rsidR="00FA130B" w:rsidRDefault="00CA6E60">
            <w:r>
              <w:rPr>
                <w:sz w:val="19"/>
              </w:rPr>
              <w:t>Name, remit address, phone, federal ID.</w:t>
            </w:r>
          </w:p>
        </w:tc>
      </w:tr>
      <w:tr w:rsidR="00FA130B" w14:paraId="7C914B56" w14:textId="77777777">
        <w:trPr>
          <w:jc w:val="center"/>
        </w:trPr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B30A3C9" w14:textId="77777777" w:rsidR="00FA130B" w:rsidRDefault="00CA6E60">
            <w:r>
              <w:rPr>
                <w:rFonts w:ascii="Consolas" w:hAnsi="Consolas"/>
                <w:b/>
                <w:color w:val="1E3A5F"/>
                <w:sz w:val="19"/>
              </w:rPr>
              <w:t>invoice</w:t>
            </w:r>
          </w:p>
        </w:tc>
        <w:tc>
          <w:tcPr>
            <w:tcW w:w="6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3582ABB" w14:textId="77777777" w:rsidR="00FA130B" w:rsidRDefault="00CA6E60">
            <w:r>
              <w:rPr>
                <w:sz w:val="19"/>
              </w:rPr>
              <w:t>Number, date, customer number, order number, terms, ship-via.</w:t>
            </w:r>
          </w:p>
        </w:tc>
      </w:tr>
      <w:tr w:rsidR="00FA130B" w14:paraId="186E1BC1" w14:textId="77777777">
        <w:trPr>
          <w:jc w:val="center"/>
        </w:trPr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ECFD529" w14:textId="77777777" w:rsidR="00FA130B" w:rsidRDefault="00CA6E60">
            <w:r>
              <w:rPr>
                <w:rFonts w:ascii="Consolas" w:hAnsi="Consolas"/>
                <w:b/>
                <w:color w:val="1E3A5F"/>
                <w:sz w:val="19"/>
              </w:rPr>
              <w:t>line_items[]</w:t>
            </w:r>
          </w:p>
        </w:tc>
        <w:tc>
          <w:tcPr>
            <w:tcW w:w="6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867E17E" w14:textId="77777777" w:rsidR="00FA130B" w:rsidRDefault="00CA6E60">
            <w:r>
              <w:rPr>
                <w:sz w:val="19"/>
              </w:rPr>
              <w:t>Item number, description, quantity, unit of measure, unit price, extended price, taxable flag — one entry per physical line item, never a subtotal/tax/freight row.</w:t>
            </w:r>
          </w:p>
        </w:tc>
      </w:tr>
      <w:tr w:rsidR="00FA130B" w14:paraId="5D18A130" w14:textId="77777777">
        <w:trPr>
          <w:jc w:val="center"/>
        </w:trPr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81FD51B" w14:textId="77777777" w:rsidR="00FA130B" w:rsidRDefault="00CA6E60">
            <w:r>
              <w:rPr>
                <w:rFonts w:ascii="Consolas" w:hAnsi="Consolas"/>
                <w:b/>
                <w:color w:val="1E3A5F"/>
                <w:sz w:val="19"/>
              </w:rPr>
              <w:t>totals</w:t>
            </w:r>
          </w:p>
        </w:tc>
        <w:tc>
          <w:tcPr>
            <w:tcW w:w="6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E740649" w14:textId="77777777" w:rsidR="00FA130B" w:rsidRDefault="00CA6E60">
            <w:r>
              <w:rPr>
                <w:sz w:val="19"/>
              </w:rPr>
              <w:t>Subtotal, sales tax, freight/handling, amount due.</w:t>
            </w:r>
          </w:p>
        </w:tc>
      </w:tr>
    </w:tbl>
    <w:p w14:paraId="60061E4C" w14:textId="77777777" w:rsidR="00FA130B" w:rsidRDefault="00FA130B">
      <w:pPr>
        <w:spacing w:after="120"/>
      </w:pPr>
    </w:p>
    <w:p w14:paraId="3F159F8E" w14:textId="77777777" w:rsidR="00FA130B" w:rsidRDefault="00CA6E60">
      <w:pPr>
        <w:pStyle w:val="Heading2"/>
      </w:pPr>
      <w:bookmarkStart w:id="7" w:name="_toc_8"/>
      <w:r>
        <w:rPr>
          <w:rFonts w:ascii="Calibri" w:hAnsi="Calibri"/>
        </w:rPr>
        <w:t>Reconciliation &amp; Conflict Flagging</w:t>
      </w:r>
      <w:bookmarkEnd w:id="7"/>
    </w:p>
    <w:p w14:paraId="54E779CA" w14:textId="77777777" w:rsidR="00FA130B" w:rsidRDefault="00CA6E60">
      <w:r>
        <w:t>Every extraction is checked against two independent signals before it's trusted downstream:</w:t>
      </w:r>
    </w:p>
    <w:p w14:paraId="4FF16702" w14:textId="77777777" w:rsidR="00FA130B" w:rsidRDefault="00CA6E60">
      <w:pPr>
        <w:pStyle w:val="ListBullet"/>
        <w:spacing w:after="80"/>
      </w:pPr>
      <w:r>
        <w:t>Internal consistency — do the extracted line_items[] sum to the extracted subtotal, and does subtotal + tax + freight equal the extracted amount due? A failure here means the extraction itself is incomplete or mis-parsed, independent of Coupa's own data.</w:t>
      </w:r>
    </w:p>
    <w:p w14:paraId="33B8FE9F" w14:textId="77777777" w:rsidR="00FA130B" w:rsidRDefault="00CA6E60">
      <w:pPr>
        <w:pStyle w:val="ListBullet"/>
        <w:spacing w:after="80"/>
      </w:pPr>
      <w:r>
        <w:t>Structured-data agreement — does the OCR result match record.invoicelines[] already in Coupa? Per the requirements' known gap, attachment content is not guaranteed to be an apples-to-apples match with Coupa's structured line items — a mismatch here is logged as a flagged discrepancy, not silently overwritten in either direction.</w:t>
      </w:r>
    </w:p>
    <w:p w14:paraId="768476B8" w14:textId="77777777" w:rsidR="00FA130B" w:rsidRDefault="00CA6E60">
      <w:r>
        <w:t>Line items are written to LineItemEvidence linked to the parent Invoice record by invoice number and attachment ID, so a Sourcing Associate can trace any extracted row back to the source document and the specific reconciliation check it passed or failed.</w:t>
      </w:r>
    </w:p>
    <w:p w14:paraId="44EAFD9C" w14:textId="77777777" w:rsidR="00FA130B" w:rsidRDefault="00CA6E60">
      <w:r>
        <w:br w:type="page"/>
      </w:r>
    </w:p>
    <w:p w14:paraId="24799952" w14:textId="77777777" w:rsidR="00FA130B" w:rsidRDefault="00CA6E60">
      <w:pPr>
        <w:pStyle w:val="Heading1"/>
      </w:pPr>
      <w:bookmarkStart w:id="8" w:name="_toc_9"/>
      <w:r>
        <w:rPr>
          <w:rFonts w:ascii="Calibri" w:hAnsi="Calibri"/>
        </w:rPr>
        <w:t>04 · Epic 2 — Coupa Contract OCR Extraction</w:t>
      </w:r>
      <w:bookmarkEnd w:id="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FA130B" w14:paraId="79A439C0" w14:textId="77777777">
        <w:trPr>
          <w:jc w:val="center"/>
        </w:trPr>
        <w:tc>
          <w:tcPr>
            <w:tcW w:w="9746" w:type="dxa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5F3FF"/>
          </w:tcPr>
          <w:p w14:paraId="7BF669E1" w14:textId="77777777" w:rsidR="00FA130B" w:rsidRDefault="00CA6E60">
            <w:r>
              <w:rPr>
                <w:b/>
                <w:color w:val="6D28D9"/>
                <w:sz w:val="18"/>
              </w:rPr>
              <w:t>SCOPE</w:t>
            </w:r>
          </w:p>
          <w:p w14:paraId="140C6772" w14:textId="77777777" w:rsidR="00FA130B" w:rsidRDefault="00CA6E60">
            <w:r>
              <w:rPr>
                <w:sz w:val="21"/>
              </w:rPr>
              <w:t>Per the source requirements, this is a discovery/POC effort, not a committed build — no prior attempt exists anywhere, including Palantir. This section defines the POC's shape, not a shipping timeline.</w:t>
            </w:r>
          </w:p>
        </w:tc>
      </w:tr>
    </w:tbl>
    <w:p w14:paraId="4B94D5A5" w14:textId="77777777" w:rsidR="00FA130B" w:rsidRDefault="00FA130B">
      <w:pPr>
        <w:spacing w:after="40"/>
      </w:pPr>
    </w:p>
    <w:p w14:paraId="155026BE" w14:textId="77777777" w:rsidR="00FA130B" w:rsidRDefault="00CA6E60">
      <w:pPr>
        <w:pStyle w:val="Heading2"/>
      </w:pPr>
      <w:bookmarkStart w:id="9" w:name="_toc_10"/>
      <w:r>
        <w:rPr>
          <w:rFonts w:ascii="Calibri" w:hAnsi="Calibri"/>
        </w:rPr>
        <w:t>Target Fields (POC)</w:t>
      </w:r>
      <w:bookmarkEnd w:id="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624"/>
      </w:tblGrid>
      <w:tr w:rsidR="00FA130B" w14:paraId="539D12DC" w14:textId="77777777">
        <w:trPr>
          <w:jc w:val="center"/>
        </w:trPr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C032D2F" w14:textId="77777777" w:rsidR="00FA130B" w:rsidRDefault="00CA6E60">
            <w:r>
              <w:rPr>
                <w:rFonts w:ascii="Consolas" w:hAnsi="Consolas"/>
                <w:b/>
                <w:color w:val="1E3A5F"/>
                <w:sz w:val="19"/>
              </w:rPr>
              <w:t>pricing_terms</w:t>
            </w:r>
          </w:p>
        </w:tc>
        <w:tc>
          <w:tcPr>
            <w:tcW w:w="6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B53B7F5" w14:textId="77777777" w:rsidR="00FA130B" w:rsidRDefault="00CA6E60">
            <w:r>
              <w:rPr>
                <w:sz w:val="19"/>
              </w:rPr>
              <w:t>Contracted rate(s), so invoice amounts can be checked against what was actually agreed rather than only structured contract table fields.</w:t>
            </w:r>
          </w:p>
        </w:tc>
      </w:tr>
      <w:tr w:rsidR="00FA130B" w14:paraId="7FBB6642" w14:textId="77777777">
        <w:trPr>
          <w:jc w:val="center"/>
        </w:trPr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75DCA40" w14:textId="77777777" w:rsidR="00FA130B" w:rsidRDefault="00CA6E60">
            <w:r>
              <w:rPr>
                <w:rFonts w:ascii="Consolas" w:hAnsi="Consolas"/>
                <w:b/>
                <w:color w:val="1E3A5F"/>
                <w:sz w:val="19"/>
              </w:rPr>
              <w:t>contract_max_value</w:t>
            </w:r>
          </w:p>
        </w:tc>
        <w:tc>
          <w:tcPr>
            <w:tcW w:w="6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32A4218" w14:textId="77777777" w:rsidR="00FA130B" w:rsidRDefault="00CA6E60">
            <w:r>
              <w:rPr>
                <w:sz w:val="19"/>
              </w:rPr>
              <w:t>Ceiling value, where not already captured in structured fields — feeds leakage detection when spend approaches or exceeds it.</w:t>
            </w:r>
          </w:p>
        </w:tc>
      </w:tr>
      <w:tr w:rsidR="00FA130B" w14:paraId="56B79078" w14:textId="77777777">
        <w:trPr>
          <w:jc w:val="center"/>
        </w:trPr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B169636" w14:textId="77777777" w:rsidR="00FA130B" w:rsidRDefault="00CA6E60">
            <w:r>
              <w:rPr>
                <w:rFonts w:ascii="Consolas" w:hAnsi="Consolas"/>
                <w:b/>
                <w:color w:val="1E3A5F"/>
                <w:sz w:val="19"/>
              </w:rPr>
              <w:t>sla_terms</w:t>
            </w:r>
          </w:p>
        </w:tc>
        <w:tc>
          <w:tcPr>
            <w:tcW w:w="6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8A3CCE3" w14:textId="77777777" w:rsidR="00FA130B" w:rsidRDefault="00CA6E60">
            <w:r>
              <w:rPr>
                <w:sz w:val="19"/>
              </w:rPr>
              <w:t>Delivery timelines and performance commitments, for comparison against actual supplier performance.</w:t>
            </w:r>
          </w:p>
        </w:tc>
      </w:tr>
      <w:tr w:rsidR="00FA130B" w14:paraId="67965D35" w14:textId="77777777">
        <w:trPr>
          <w:jc w:val="center"/>
        </w:trPr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94355C5" w14:textId="77777777" w:rsidR="00FA130B" w:rsidRDefault="00CA6E60">
            <w:r>
              <w:rPr>
                <w:rFonts w:ascii="Consolas" w:hAnsi="Consolas"/>
                <w:b/>
                <w:color w:val="1E3A5F"/>
                <w:sz w:val="19"/>
              </w:rPr>
              <w:t>payment_terms / duration_terms</w:t>
            </w:r>
          </w:p>
        </w:tc>
        <w:tc>
          <w:tcPr>
            <w:tcW w:w="6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19C01EA" w14:textId="77777777" w:rsidR="00FA130B" w:rsidRDefault="00CA6E60">
            <w:r>
              <w:rPr>
                <w:sz w:val="19"/>
              </w:rPr>
              <w:t>Net terms, contract duration.</w:t>
            </w:r>
          </w:p>
        </w:tc>
      </w:tr>
      <w:tr w:rsidR="00FA130B" w14:paraId="7125465B" w14:textId="77777777">
        <w:trPr>
          <w:jc w:val="center"/>
        </w:trPr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F221AC3" w14:textId="77777777" w:rsidR="00FA130B" w:rsidRDefault="00CA6E60">
            <w:r>
              <w:rPr>
                <w:rFonts w:ascii="Consolas" w:hAnsi="Consolas"/>
                <w:b/>
                <w:color w:val="1E3A5F"/>
                <w:sz w:val="19"/>
              </w:rPr>
              <w:t>effective_date / expiration_date</w:t>
            </w:r>
          </w:p>
        </w:tc>
        <w:tc>
          <w:tcPr>
            <w:tcW w:w="6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D410B2A" w14:textId="77777777" w:rsidR="00FA130B" w:rsidRDefault="00CA6E60">
            <w:r>
              <w:rPr>
                <w:sz w:val="19"/>
              </w:rPr>
              <w:t>Contract lifecycle boundaries.</w:t>
            </w:r>
          </w:p>
        </w:tc>
      </w:tr>
      <w:tr w:rsidR="00FA130B" w14:paraId="12F2386A" w14:textId="77777777">
        <w:trPr>
          <w:jc w:val="center"/>
        </w:trPr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825CA34" w14:textId="77777777" w:rsidR="00FA130B" w:rsidRDefault="00CA6E60">
            <w:r>
              <w:rPr>
                <w:rFonts w:ascii="Consolas" w:hAnsi="Consolas"/>
                <w:b/>
                <w:color w:val="1E3A5F"/>
                <w:sz w:val="19"/>
              </w:rPr>
              <w:t>parties</w:t>
            </w:r>
          </w:p>
        </w:tc>
        <w:tc>
          <w:tcPr>
            <w:tcW w:w="6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A47DF70" w14:textId="77777777" w:rsidR="00FA130B" w:rsidRDefault="00CA6E60">
            <w:r>
              <w:rPr>
                <w:sz w:val="19"/>
              </w:rPr>
              <w:t>Named contracting parties, for linkage to the correct supplier relationship.</w:t>
            </w:r>
          </w:p>
        </w:tc>
      </w:tr>
    </w:tbl>
    <w:p w14:paraId="3DEEC669" w14:textId="77777777" w:rsidR="00FA130B" w:rsidRDefault="00FA130B">
      <w:pPr>
        <w:spacing w:after="120"/>
      </w:pPr>
    </w:p>
    <w:p w14:paraId="29DBC943" w14:textId="77777777" w:rsidR="00FA130B" w:rsidRDefault="00CA6E60">
      <w:pPr>
        <w:pStyle w:val="Heading2"/>
      </w:pPr>
      <w:bookmarkStart w:id="10" w:name="_toc_11"/>
      <w:r>
        <w:rPr>
          <w:rFonts w:ascii="Calibri" w:hAnsi="Calibri"/>
        </w:rPr>
        <w:t>Document Linkage</w:t>
      </w:r>
      <w:bookmarkEnd w:id="10"/>
    </w:p>
    <w:p w14:paraId="35D5A866" w14:textId="77777777" w:rsidR="00FA130B" w:rsidRDefault="00CA6E60">
      <w:r>
        <w:t>Master agreements, amendments, and child documents (SOWs) must resolve to one governing picture per supplier relationship. The POC should extract each attachment independently, then link them via a parent-contract reference, so a Sourcing Associate can see the full chain — not the master agreement alone.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FA130B" w14:paraId="44C4A835" w14:textId="77777777">
        <w:trPr>
          <w:jc w:val="center"/>
        </w:trPr>
        <w:tc>
          <w:tcPr>
            <w:tcW w:w="9746" w:type="dxa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5F3FF"/>
          </w:tcPr>
          <w:p w14:paraId="1A181A59" w14:textId="77777777" w:rsidR="00FA130B" w:rsidRDefault="00CA6E60">
            <w:r>
              <w:rPr>
                <w:b/>
                <w:color w:val="6D28D9"/>
                <w:sz w:val="18"/>
              </w:rPr>
              <w:t>MODEL NOTE</w:t>
            </w:r>
          </w:p>
          <w:p w14:paraId="2A00EFC3" w14:textId="77777777" w:rsidR="00FA130B" w:rsidRDefault="00CA6E60">
            <w:r>
              <w:rPr>
                <w:sz w:val="21"/>
              </w:rPr>
              <w:t>Contract documents run considerably longer than the invoices in this bake-off and can span master agreement + amendments + SOWs in one review pass. Before committing to gemini-3.5-flash for this epic, re-run the bake-off methodology against real Kroger contract samples — a model's per-document token budget and its tendency to spend that budget on invisible reasoning (see 07 - Known Platform Constraints) both behave differently on long, clause-dense text than on a one-page invoice.</w:t>
            </w:r>
          </w:p>
        </w:tc>
      </w:tr>
    </w:tbl>
    <w:p w14:paraId="3656B9AB" w14:textId="77777777" w:rsidR="00FA130B" w:rsidRDefault="00FA130B">
      <w:pPr>
        <w:spacing w:after="40"/>
      </w:pPr>
    </w:p>
    <w:p w14:paraId="45FB0818" w14:textId="77777777" w:rsidR="00FA130B" w:rsidRDefault="00CA6E60">
      <w:r>
        <w:br w:type="page"/>
      </w:r>
    </w:p>
    <w:p w14:paraId="35E10ED9" w14:textId="77777777" w:rsidR="00FA130B" w:rsidRDefault="00CA6E60">
      <w:pPr>
        <w:pStyle w:val="Heading1"/>
      </w:pPr>
      <w:bookmarkStart w:id="11" w:name="_toc_12"/>
      <w:r>
        <w:rPr>
          <w:rFonts w:ascii="Calibri" w:hAnsi="Calibri"/>
        </w:rPr>
        <w:t>05 · Epic 3 — Quality Bar &amp; Confidence</w:t>
      </w:r>
      <w:bookmarkEnd w:id="11"/>
    </w:p>
    <w:p w14:paraId="6DFE96EA" w14:textId="77777777" w:rsidR="00FA130B" w:rsidRDefault="00CA6E60">
      <w:r>
        <w:t>Every extraction carries a machine-checkable confidence signal before it reaches a downstream consumer — Sourcing Automation and Invoice Leakage should never be built on an extraction no one has validated.</w:t>
      </w:r>
    </w:p>
    <w:p w14:paraId="3DEAE0C4" w14:textId="77777777" w:rsidR="00FA130B" w:rsidRDefault="00CA6E60">
      <w:pPr>
        <w:pStyle w:val="Heading2"/>
      </w:pPr>
      <w:bookmarkStart w:id="12" w:name="_toc_13"/>
      <w:r>
        <w:rPr>
          <w:rFonts w:ascii="Calibri" w:hAnsi="Calibri"/>
        </w:rPr>
        <w:t>Confidence Signal (per document)</w:t>
      </w:r>
      <w:bookmarkEnd w:id="1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624"/>
      </w:tblGrid>
      <w:tr w:rsidR="00FA130B" w14:paraId="7C0D16BA" w14:textId="77777777">
        <w:trPr>
          <w:jc w:val="center"/>
        </w:trPr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FD06368" w14:textId="77777777" w:rsidR="00FA130B" w:rsidRDefault="00CA6E60">
            <w:r>
              <w:rPr>
                <w:rFonts w:ascii="Consolas" w:hAnsi="Consolas"/>
                <w:b/>
                <w:color w:val="1E3A5F"/>
                <w:sz w:val="19"/>
              </w:rPr>
              <w:t>reconciled</w:t>
            </w:r>
          </w:p>
        </w:tc>
        <w:tc>
          <w:tcPr>
            <w:tcW w:w="6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8EB11B7" w14:textId="77777777" w:rsidR="00FA130B" w:rsidRDefault="00CA6E60">
            <w:r>
              <w:rPr>
                <w:sz w:val="19"/>
              </w:rPr>
              <w:t>Both internal-consistency checks in 03 - Epic 1 - Coupa Invoice OCR Extraction pass. High confidence — safe for downstream use without review.</w:t>
            </w:r>
          </w:p>
        </w:tc>
      </w:tr>
      <w:tr w:rsidR="00FA130B" w14:paraId="017DB837" w14:textId="77777777">
        <w:trPr>
          <w:jc w:val="center"/>
        </w:trPr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6EEE668" w14:textId="77777777" w:rsidR="00FA130B" w:rsidRDefault="00CA6E60">
            <w:r>
              <w:rPr>
                <w:rFonts w:ascii="Consolas" w:hAnsi="Consolas"/>
                <w:b/>
                <w:color w:val="1E3A5F"/>
                <w:sz w:val="19"/>
              </w:rPr>
              <w:t>partial</w:t>
            </w:r>
          </w:p>
        </w:tc>
        <w:tc>
          <w:tcPr>
            <w:tcW w:w="6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1AD8D3E" w14:textId="77777777" w:rsidR="00FA130B" w:rsidRDefault="00CA6E60">
            <w:r>
              <w:rPr>
                <w:sz w:val="19"/>
              </w:rPr>
              <w:t>One check passes, one fails (e.g. totals reconcile but line-item sum doesn't). Escalate to the reasoning-tier model before publishing.</w:t>
            </w:r>
          </w:p>
        </w:tc>
      </w:tr>
      <w:tr w:rsidR="00FA130B" w14:paraId="51EE361E" w14:textId="77777777">
        <w:trPr>
          <w:jc w:val="center"/>
        </w:trPr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C5D3BD9" w14:textId="77777777" w:rsidR="00FA130B" w:rsidRDefault="00CA6E60">
            <w:r>
              <w:rPr>
                <w:rFonts w:ascii="Consolas" w:hAnsi="Consolas"/>
                <w:b/>
                <w:color w:val="1E3A5F"/>
                <w:sz w:val="19"/>
              </w:rPr>
              <w:t>unreconciled</w:t>
            </w:r>
          </w:p>
        </w:tc>
        <w:tc>
          <w:tcPr>
            <w:tcW w:w="6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D19327F" w14:textId="77777777" w:rsidR="00FA130B" w:rsidRDefault="00CA6E60">
            <w:r>
              <w:rPr>
                <w:sz w:val="19"/>
              </w:rPr>
              <w:t>Both checks fail, or the model's own output didn't parse. Route to DataQualityIssue and surface to the Sourcing Associate rather than publish.</w:t>
            </w:r>
          </w:p>
        </w:tc>
      </w:tr>
    </w:tbl>
    <w:p w14:paraId="049F31CB" w14:textId="77777777" w:rsidR="00FA130B" w:rsidRDefault="00FA130B">
      <w:pPr>
        <w:spacing w:after="120"/>
      </w:pPr>
    </w:p>
    <w:p w14:paraId="6E893505" w14:textId="77777777" w:rsidR="00FA130B" w:rsidRDefault="00CA6E60">
      <w:r>
        <w:t>This status is written alongside every extraction — not computed later — and feeds DataQualityIssue and gold_source_freshness_metric directly, so a Sourcing Associate sees low-confidence or incomplete extractions at the point of use, not after they've already been acted on.</w:t>
      </w:r>
    </w:p>
    <w:p w14:paraId="53128261" w14:textId="77777777" w:rsidR="00FA130B" w:rsidRDefault="00CA6E60">
      <w:r>
        <w:br w:type="page"/>
      </w:r>
    </w:p>
    <w:p w14:paraId="030B637C" w14:textId="77777777" w:rsidR="00FA130B" w:rsidRDefault="00CA6E60">
      <w:pPr>
        <w:pStyle w:val="Heading1"/>
      </w:pPr>
      <w:bookmarkStart w:id="13" w:name="_toc_14"/>
      <w:r>
        <w:rPr>
          <w:rFonts w:ascii="Calibri" w:hAnsi="Calibri"/>
        </w:rPr>
        <w:t>06 · Non-Functional Requirements</w:t>
      </w:r>
      <w:bookmarkEnd w:id="13"/>
    </w:p>
    <w:p w14:paraId="48A8D02D" w14:textId="77777777" w:rsidR="00FA130B" w:rsidRDefault="00CA6E60">
      <w:pPr>
        <w:pStyle w:val="ListBullet"/>
        <w:spacing w:after="80"/>
      </w:pPr>
      <w:r>
        <w:t>Idempotent processing — re-running extraction on an already-processed attachment must not duplicate LineItemEvidence rows; key on attachment ID + extraction version.</w:t>
      </w:r>
    </w:p>
    <w:p w14:paraId="44AA7FC2" w14:textId="77777777" w:rsidR="00FA130B" w:rsidRDefault="00CA6E60">
      <w:pPr>
        <w:pStyle w:val="ListBullet"/>
        <w:spacing w:after="80"/>
      </w:pPr>
      <w:r>
        <w:t>Escalation path — any invoice landing on partial or unreconciled confidence is automatically re-run through the reasoning-tier fallback (o3 or gpt-5.4-pro) before it reaches a human queue.</w:t>
      </w:r>
    </w:p>
    <w:p w14:paraId="686F4571" w14:textId="77777777" w:rsidR="00FA130B" w:rsidRDefault="00CA6E60">
      <w:pPr>
        <w:pStyle w:val="ListBullet"/>
        <w:spacing w:after="80"/>
      </w:pPr>
      <w:r>
        <w:t>Bounded output budget — large invoices (40+ line items) need a materially larger completion-token budget than small ones; 07 - Known Platform Constraints has the specifics from direct testing.</w:t>
      </w:r>
    </w:p>
    <w:p w14:paraId="1DF05055" w14:textId="77777777" w:rsidR="00FA130B" w:rsidRDefault="00CA6E60">
      <w:pPr>
        <w:pStyle w:val="ListBullet"/>
        <w:spacing w:after="80"/>
      </w:pPr>
      <w:r>
        <w:t>Auditability — every extraction stores the raw model output and the schema/prompt version used, so a disputed reconciliation can be replayed exactly.</w:t>
      </w:r>
    </w:p>
    <w:p w14:paraId="62486C05" w14:textId="77777777" w:rsidR="00FA130B" w:rsidRDefault="00CA6E60">
      <w:r>
        <w:br w:type="page"/>
      </w:r>
    </w:p>
    <w:p w14:paraId="4F5D519B" w14:textId="77777777" w:rsidR="00FA130B" w:rsidRDefault="00CA6E60">
      <w:pPr>
        <w:pStyle w:val="Heading1"/>
      </w:pPr>
      <w:bookmarkStart w:id="14" w:name="_toc_15"/>
      <w:r>
        <w:rPr>
          <w:rFonts w:ascii="Calibri" w:hAnsi="Calibri"/>
        </w:rPr>
        <w:t>07 · Known Platform Constraints</w:t>
      </w:r>
      <w:bookmarkEnd w:id="14"/>
    </w:p>
    <w:p w14:paraId="52C94EAF" w14:textId="77777777" w:rsidR="00FA130B" w:rsidRDefault="00CA6E60">
      <w:r>
        <w:rPr>
          <w:i/>
          <w:color w:val="475569"/>
        </w:rPr>
        <w:t>Findings from directly exercising the model-serving gateway during the bake-off. These are operational realities of the serving layer, not choices — worth building around rather than rediscovering in production.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624"/>
      </w:tblGrid>
      <w:tr w:rsidR="00FA130B" w14:paraId="413E8C00" w14:textId="77777777">
        <w:trPr>
          <w:jc w:val="center"/>
        </w:trPr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0DEE058" w14:textId="77777777" w:rsidR="00FA130B" w:rsidRDefault="00CA6E60">
            <w:r>
              <w:rPr>
                <w:rFonts w:ascii="Consolas" w:hAnsi="Consolas"/>
                <w:b/>
                <w:color w:val="1E3A5F"/>
                <w:sz w:val="19"/>
              </w:rPr>
              <w:t>No JSON mode</w:t>
            </w:r>
          </w:p>
        </w:tc>
        <w:tc>
          <w:tcPr>
            <w:tcW w:w="6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C220940" w14:textId="77777777" w:rsidR="00FA130B" w:rsidRDefault="00CA6E60">
            <w:r>
              <w:rPr>
                <w:sz w:val="19"/>
              </w:rPr>
              <w:t>Requesting structured response_format caused the gateway to hang rather than error. Enforce JSON via prompt instruction and a fence-stripping parse step instead.</w:t>
            </w:r>
          </w:p>
        </w:tc>
      </w:tr>
      <w:tr w:rsidR="00FA130B" w14:paraId="0FC5038C" w14:textId="77777777">
        <w:trPr>
          <w:jc w:val="center"/>
        </w:trPr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D9B5627" w14:textId="77777777" w:rsidR="00FA130B" w:rsidRDefault="00CA6E60">
            <w:r>
              <w:rPr>
                <w:rFonts w:ascii="Consolas" w:hAnsi="Consolas"/>
                <w:b/>
                <w:color w:val="1E3A5F"/>
                <w:sz w:val="19"/>
              </w:rPr>
              <w:t>Hidden reasoning budget</w:t>
            </w:r>
          </w:p>
        </w:tc>
        <w:tc>
          <w:tcPr>
            <w:tcW w:w="6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557B145" w14:textId="77777777" w:rsidR="00FA130B" w:rsidRDefault="00CA6E60">
            <w:r>
              <w:rPr>
                <w:sz w:val="19"/>
              </w:rPr>
              <w:t>Reasoning-tier models spend part of their completion-token budget on invisible “thinking” tokens before emitting visible output. One model consumed 30,719 of a 31,996-token budget this way and never produced valid JSON — this scales with document complexity, not just length.</w:t>
            </w:r>
          </w:p>
        </w:tc>
      </w:tr>
      <w:tr w:rsidR="00FA130B" w14:paraId="548A85F5" w14:textId="77777777">
        <w:trPr>
          <w:jc w:val="center"/>
        </w:trPr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8D70EF8" w14:textId="77777777" w:rsidR="00FA130B" w:rsidRDefault="00CA6E60">
            <w:r>
              <w:rPr>
                <w:rFonts w:ascii="Consolas" w:hAnsi="Consolas"/>
                <w:b/>
                <w:color w:val="1E3A5F"/>
                <w:sz w:val="19"/>
              </w:rPr>
              <w:t>Per-model token caps</w:t>
            </w:r>
          </w:p>
        </w:tc>
        <w:tc>
          <w:tcPr>
            <w:tcW w:w="6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362ADFC" w14:textId="77777777" w:rsidR="00FA130B" w:rsidRDefault="00CA6E60">
            <w:r>
              <w:rPr>
                <w:sz w:val="19"/>
              </w:rPr>
              <w:t>Completion-token limits vary by model (one flagship model capped at 16,384 against a 32,000 default elsewhere) and are only surfaced via a 400 response — detect and retry with the model's actual limit rather than hardcoding one value fleet-wide.</w:t>
            </w:r>
          </w:p>
        </w:tc>
      </w:tr>
      <w:tr w:rsidR="00FA130B" w14:paraId="5A081BE8" w14:textId="77777777">
        <w:trPr>
          <w:jc w:val="center"/>
        </w:trPr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3336A77" w14:textId="77777777" w:rsidR="00FA130B" w:rsidRDefault="00CA6E60">
            <w:r>
              <w:rPr>
                <w:rFonts w:ascii="Consolas" w:hAnsi="Consolas"/>
                <w:b/>
                <w:color w:val="1E3A5F"/>
                <w:sz w:val="19"/>
              </w:rPr>
              <w:t>Transient resets</w:t>
            </w:r>
          </w:p>
        </w:tc>
        <w:tc>
          <w:tcPr>
            <w:tcW w:w="6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ED4C891" w14:textId="77777777" w:rsidR="00FA130B" w:rsidRDefault="00CA6E60">
            <w:r>
              <w:rPr>
                <w:sz w:val="19"/>
              </w:rPr>
              <w:t>Some calls fail with a plain connection reset unrelated to payload or model choice. Treat as retryable network flakiness with a bounded retry count, not a data or prompt defect.</w:t>
            </w:r>
          </w:p>
        </w:tc>
      </w:tr>
    </w:tbl>
    <w:p w14:paraId="4101652C" w14:textId="77777777" w:rsidR="00FA130B" w:rsidRDefault="00FA130B">
      <w:pPr>
        <w:spacing w:after="120"/>
      </w:pPr>
    </w:p>
    <w:p w14:paraId="4B99056E" w14:textId="77777777" w:rsidR="00FA130B" w:rsidRDefault="00CA6E60">
      <w:r>
        <w:br w:type="page"/>
      </w:r>
    </w:p>
    <w:p w14:paraId="132E4F9C" w14:textId="77777777" w:rsidR="00FA130B" w:rsidRDefault="00CA6E60">
      <w:pPr>
        <w:pStyle w:val="Heading1"/>
      </w:pPr>
      <w:bookmarkStart w:id="15" w:name="_toc_16"/>
      <w:r>
        <w:rPr>
          <w:rFonts w:ascii="Calibri" w:hAnsi="Calibri"/>
        </w:rPr>
        <w:t>08 · Risks &amp; Open Items</w:t>
      </w:r>
      <w:bookmarkEnd w:id="15"/>
    </w:p>
    <w:p w14:paraId="69252DC2" w14:textId="77777777" w:rsidR="00FA130B" w:rsidRDefault="00CA6E60">
      <w:pPr>
        <w:pStyle w:val="ListBullet"/>
        <w:spacing w:after="80"/>
      </w:pPr>
      <w:r>
        <w:t>Attachment vs. structured-data drift — Coupa attachment content is not guaranteed to match structured invoice line items 1:1. The reconciliation flag in 03 - Epic 1 - Coupa Invoice OCR Extraction surfaces this; it does not resolve it. Downstream consumers need a documented policy for which source wins on conflict.</w:t>
      </w:r>
    </w:p>
    <w:p w14:paraId="2F7301BD" w14:textId="77777777" w:rsidR="00FA130B" w:rsidRDefault="00CA6E60">
      <w:pPr>
        <w:pStyle w:val="ListBullet"/>
        <w:spacing w:after="80"/>
      </w:pPr>
      <w:r>
        <w:t>Contract extraction approach unproven — no quality bar or extraction method exists yet for Epic 2. Treat 04 - Epic 2 - Coupa Contract OCR Extraction as a starting hypothesis to validate against real Kroger contracts, not a committed design.</w:t>
      </w:r>
    </w:p>
    <w:p w14:paraId="495C4AE9" w14:textId="77777777" w:rsidR="00FA130B" w:rsidRDefault="00CA6E60">
      <w:pPr>
        <w:pStyle w:val="ListBullet"/>
        <w:spacing w:after="80"/>
      </w:pPr>
      <w:r>
        <w:t>Insurance-expiration tracking — system of record still unconfirmed; may become a future contract-monitoring use case but is explicitly out of MVP scope.</w:t>
      </w:r>
    </w:p>
    <w:p w14:paraId="173C4C5B" w14:textId="77777777" w:rsidR="00FA130B" w:rsidRDefault="00CA6E60">
      <w:pPr>
        <w:pStyle w:val="ListBullet"/>
        <w:spacing w:after="80"/>
      </w:pPr>
      <w:r>
        <w:t>Trailer-invoice subtotal anomaly (see 01 - Model Selection) — unresolved; needs a manual document review before it's used as a trusted accuracy baseline.</w:t>
      </w:r>
    </w:p>
    <w:p w14:paraId="1299C43A" w14:textId="77777777" w:rsidR="00FA130B" w:rsidRDefault="00CA6E60">
      <w:r>
        <w:br w:type="page"/>
      </w:r>
    </w:p>
    <w:p w14:paraId="41766E0E" w14:textId="77777777" w:rsidR="00FA130B" w:rsidRDefault="00CA6E60">
      <w:pPr>
        <w:pStyle w:val="Heading1"/>
      </w:pPr>
      <w:bookmarkStart w:id="16" w:name="_toc_17"/>
      <w:r>
        <w:rPr>
          <w:rFonts w:ascii="Calibri" w:hAnsi="Calibri"/>
        </w:rPr>
        <w:t>09 · Rollout Plan</w:t>
      </w:r>
      <w:bookmarkEnd w:id="1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FA130B" w14:paraId="734257D7" w14:textId="77777777">
        <w:trPr>
          <w:jc w:val="center"/>
        </w:trPr>
        <w:tc>
          <w:tcPr>
            <w:tcW w:w="324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</w:tcPr>
          <w:p w14:paraId="661B0C4B" w14:textId="77777777" w:rsidR="00FA130B" w:rsidRDefault="00CA6E60"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324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</w:tcPr>
          <w:p w14:paraId="7BEB7365" w14:textId="77777777" w:rsidR="00FA130B" w:rsidRDefault="00CA6E60">
            <w:r>
              <w:rPr>
                <w:b/>
                <w:color w:val="FFFFFF"/>
                <w:sz w:val="19"/>
              </w:rPr>
              <w:t>What</w:t>
            </w:r>
          </w:p>
        </w:tc>
        <w:tc>
          <w:tcPr>
            <w:tcW w:w="324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3A5F"/>
          </w:tcPr>
          <w:p w14:paraId="3C39D6EF" w14:textId="77777777" w:rsidR="00FA130B" w:rsidRDefault="00CA6E60">
            <w:r>
              <w:rPr>
                <w:b/>
                <w:color w:val="FFFFFF"/>
                <w:sz w:val="19"/>
              </w:rPr>
              <w:t>Detail</w:t>
            </w:r>
          </w:p>
        </w:tc>
      </w:tr>
      <w:tr w:rsidR="00FA130B" w14:paraId="31C89C58" w14:textId="77777777">
        <w:trPr>
          <w:jc w:val="center"/>
        </w:trPr>
        <w:tc>
          <w:tcPr>
            <w:tcW w:w="324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159530D" w14:textId="77777777" w:rsidR="00FA130B" w:rsidRDefault="00CA6E60">
            <w:r>
              <w:rPr>
                <w:sz w:val="19"/>
              </w:rPr>
              <w:t>Phase 0</w:t>
            </w:r>
          </w:p>
        </w:tc>
        <w:tc>
          <w:tcPr>
            <w:tcW w:w="324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29B6FC3" w14:textId="77777777" w:rsidR="00FA130B" w:rsidRDefault="00CA6E60">
            <w:r>
              <w:rPr>
                <w:sz w:val="19"/>
              </w:rPr>
              <w:t>Confirm the model bake-off</w:t>
            </w:r>
          </w:p>
        </w:tc>
        <w:tc>
          <w:tcPr>
            <w:tcW w:w="324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FABCD2E" w14:textId="77777777" w:rsidR="00FA130B" w:rsidRDefault="00CA6E60">
            <w:r>
              <w:rPr>
                <w:sz w:val="19"/>
              </w:rPr>
              <w:t>Re-run the 01 - Model Selection methodology against a larger, more varied invoice sample from real Coupa attachments. Confirm gemini-3.5-flash holds at volume before committing.</w:t>
            </w:r>
          </w:p>
        </w:tc>
      </w:tr>
      <w:tr w:rsidR="00FA130B" w14:paraId="187BBFB3" w14:textId="77777777">
        <w:trPr>
          <w:jc w:val="center"/>
        </w:trPr>
        <w:tc>
          <w:tcPr>
            <w:tcW w:w="324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4970F1E" w14:textId="77777777" w:rsidR="00FA130B" w:rsidRDefault="00CA6E60">
            <w:r>
              <w:rPr>
                <w:sz w:val="19"/>
              </w:rPr>
              <w:t>Phase 1</w:t>
            </w:r>
          </w:p>
        </w:tc>
        <w:tc>
          <w:tcPr>
            <w:tcW w:w="324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8420870" w14:textId="77777777" w:rsidR="00FA130B" w:rsidRDefault="00CA6E60">
            <w:r>
              <w:rPr>
                <w:sz w:val="19"/>
              </w:rPr>
              <w:t>Ship Epic 1</w:t>
            </w:r>
          </w:p>
        </w:tc>
        <w:tc>
          <w:tcPr>
            <w:tcW w:w="324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F72E985" w14:textId="77777777" w:rsidR="00FA130B" w:rsidRDefault="00CA6E60">
            <w:r>
              <w:rPr>
                <w:sz w:val="19"/>
              </w:rPr>
              <w:t>Production invoice extraction with reconciliation flagging and the confidence signal from 05 - Epic 3 - Quality Bar &amp; Confidence, gated behind the escalation path described in 06 - Non-Functional Requirements.</w:t>
            </w:r>
          </w:p>
        </w:tc>
      </w:tr>
      <w:tr w:rsidR="00FA130B" w14:paraId="3B5C88F4" w14:textId="77777777">
        <w:trPr>
          <w:jc w:val="center"/>
        </w:trPr>
        <w:tc>
          <w:tcPr>
            <w:tcW w:w="324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ADEFEF1" w14:textId="77777777" w:rsidR="00FA130B" w:rsidRDefault="00CA6E60">
            <w:r>
              <w:rPr>
                <w:sz w:val="19"/>
              </w:rPr>
              <w:t>Phase 2</w:t>
            </w:r>
          </w:p>
        </w:tc>
        <w:tc>
          <w:tcPr>
            <w:tcW w:w="324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C3EB4B7" w14:textId="77777777" w:rsidR="00FA130B" w:rsidRDefault="00CA6E60">
            <w:r>
              <w:rPr>
                <w:sz w:val="19"/>
              </w:rPr>
              <w:t>Contract POC</w:t>
            </w:r>
          </w:p>
        </w:tc>
        <w:tc>
          <w:tcPr>
            <w:tcW w:w="324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98697E3" w14:textId="77777777" w:rsidR="00FA130B" w:rsidRDefault="00CA6E60">
            <w:r>
              <w:rPr>
                <w:sz w:val="19"/>
              </w:rPr>
              <w:t>Run the 04 - Epic 2 - Coupa Contract OCR Extraction field set against a small set of real Kroger master agreements and amendments. Goal is a validated quality bar, not production coverage.</w:t>
            </w:r>
          </w:p>
        </w:tc>
      </w:tr>
      <w:tr w:rsidR="00FA130B" w14:paraId="3211DA84" w14:textId="77777777">
        <w:trPr>
          <w:jc w:val="center"/>
        </w:trPr>
        <w:tc>
          <w:tcPr>
            <w:tcW w:w="324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12E81C6" w14:textId="77777777" w:rsidR="00FA130B" w:rsidRDefault="00CA6E60">
            <w:r>
              <w:rPr>
                <w:sz w:val="19"/>
              </w:rPr>
              <w:t>Phase 3</w:t>
            </w:r>
          </w:p>
        </w:tc>
        <w:tc>
          <w:tcPr>
            <w:tcW w:w="324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6B35AB7" w14:textId="77777777" w:rsidR="00FA130B" w:rsidRDefault="00CA6E60">
            <w:r>
              <w:rPr>
                <w:sz w:val="19"/>
              </w:rPr>
              <w:t>Scope Epic 2 for build</w:t>
            </w:r>
          </w:p>
        </w:tc>
        <w:tc>
          <w:tcPr>
            <w:tcW w:w="324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89B062F" w14:textId="77777777" w:rsidR="00FA130B" w:rsidRDefault="00CA6E60">
            <w:r>
              <w:rPr>
                <w:sz w:val="19"/>
              </w:rPr>
              <w:t>Only after Phase 2 produces a quality bar — per the requirements, contract OCR should not be committed to before feasibility is validated.</w:t>
            </w:r>
          </w:p>
        </w:tc>
      </w:tr>
    </w:tbl>
    <w:p w14:paraId="4DDBEF00" w14:textId="77777777" w:rsidR="00FA130B" w:rsidRDefault="00FA130B">
      <w:pPr>
        <w:spacing w:after="80"/>
      </w:pPr>
    </w:p>
    <w:sectPr w:rsidR="00FA130B" w:rsidSect="00034616">
      <w:headerReference w:type="default" r:id="rId10"/>
      <w:footerReference w:type="default" r:id="rId11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D568A" w14:textId="77777777" w:rsidR="002734D0" w:rsidRDefault="002734D0">
      <w:pPr>
        <w:spacing w:after="0" w:line="240" w:lineRule="auto"/>
      </w:pPr>
      <w:r>
        <w:separator/>
      </w:r>
    </w:p>
  </w:endnote>
  <w:endnote w:type="continuationSeparator" w:id="0">
    <w:p w14:paraId="606B8052" w14:textId="77777777" w:rsidR="002734D0" w:rsidRDefault="00273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C5357" w14:textId="33502578" w:rsidR="00FA130B" w:rsidRDefault="00CA6E60">
    <w:pPr>
      <w:pStyle w:val="Footer"/>
    </w:pPr>
    <w:r>
      <w:rPr>
        <w:color w:val="94A3B8"/>
        <w:sz w:val="18"/>
      </w:rPr>
      <w:t>© 2026 Kroger. All rights reserved.</w:t>
    </w:r>
    <w:r>
      <w:tab/>
    </w:r>
    <w:r>
      <w:rPr>
        <w:color w:val="94A3B8"/>
        <w:sz w:val="18"/>
      </w:rPr>
      <w:fldChar w:fldCharType="begin"/>
    </w:r>
    <w:r>
      <w:rPr>
        <w:color w:val="94A3B8"/>
        <w:sz w:val="18"/>
      </w:rPr>
      <w:instrText>PAGE</w:instrText>
    </w:r>
    <w:r>
      <w:rPr>
        <w:color w:val="94A3B8"/>
        <w:sz w:val="18"/>
      </w:rPr>
      <w:fldChar w:fldCharType="separate"/>
    </w:r>
    <w:r>
      <w:rPr>
        <w:noProof/>
        <w:color w:val="94A3B8"/>
        <w:sz w:val="18"/>
      </w:rPr>
      <w:t>1</w:t>
    </w:r>
    <w:r>
      <w:rPr>
        <w:color w:val="94A3B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490D0" w14:textId="77777777" w:rsidR="002734D0" w:rsidRDefault="002734D0">
      <w:pPr>
        <w:spacing w:after="0" w:line="240" w:lineRule="auto"/>
      </w:pPr>
      <w:r>
        <w:separator/>
      </w:r>
    </w:p>
  </w:footnote>
  <w:footnote w:type="continuationSeparator" w:id="0">
    <w:p w14:paraId="59D052D4" w14:textId="77777777" w:rsidR="002734D0" w:rsidRDefault="002734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C94C9" w14:textId="77777777" w:rsidR="00FA130B" w:rsidRDefault="00CA6E60">
    <w:pPr>
      <w:pStyle w:val="Header"/>
      <w:pBdr>
        <w:bottom w:val="single" w:sz="2" w:space="4" w:color="E2E8F0"/>
      </w:pBdr>
    </w:pPr>
    <w:r>
      <w:rPr>
        <w:color w:val="94A3B8"/>
        <w:sz w:val="18"/>
      </w:rPr>
      <w:t>Kroger GNFR — Coupa Document Extraction | Technical Specification</w:t>
    </w:r>
    <w:r>
      <w:tab/>
    </w:r>
    <w:r>
      <w:rPr>
        <w:b/>
        <w:color w:val="B91C1C"/>
        <w:sz w:val="18"/>
      </w:rPr>
      <w:t>INTERNAL —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2EEB2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599529">
    <w:abstractNumId w:val="5"/>
  </w:num>
  <w:num w:numId="2" w16cid:durableId="1199975426">
    <w:abstractNumId w:val="2"/>
  </w:num>
  <w:num w:numId="3" w16cid:durableId="1577788327">
    <w:abstractNumId w:val="4"/>
  </w:num>
  <w:num w:numId="4" w16cid:durableId="1873876737">
    <w:abstractNumId w:val="6"/>
  </w:num>
  <w:num w:numId="5" w16cid:durableId="229849774">
    <w:abstractNumId w:val="8"/>
  </w:num>
  <w:num w:numId="6" w16cid:durableId="325327369">
    <w:abstractNumId w:val="0"/>
  </w:num>
  <w:num w:numId="7" w16cid:durableId="484712429">
    <w:abstractNumId w:val="1"/>
  </w:num>
  <w:num w:numId="8" w16cid:durableId="784036686">
    <w:abstractNumId w:val="3"/>
  </w:num>
  <w:num w:numId="9" w16cid:durableId="8597067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252"/>
    <w:rsid w:val="002734D0"/>
    <w:rsid w:val="0029639D"/>
    <w:rsid w:val="00326F90"/>
    <w:rsid w:val="0040444D"/>
    <w:rsid w:val="00553ABB"/>
    <w:rsid w:val="00931F09"/>
    <w:rsid w:val="009D0FC3"/>
    <w:rsid w:val="00AA1D8D"/>
    <w:rsid w:val="00B47730"/>
    <w:rsid w:val="00BD45D9"/>
    <w:rsid w:val="00CA6E60"/>
    <w:rsid w:val="00CB0664"/>
    <w:rsid w:val="00CB26F6"/>
    <w:rsid w:val="00D15F01"/>
    <w:rsid w:val="00D35303"/>
    <w:rsid w:val="00D40014"/>
    <w:rsid w:val="00D53FE4"/>
    <w:rsid w:val="00EB42BA"/>
    <w:rsid w:val="00FA13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36BB5ABE-0A57-47F8-811C-9BFF0B170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Lines/>
      <w:spacing w:before="440"/>
      <w:outlineLvl w:val="0"/>
    </w:pPr>
    <w:rPr>
      <w:rFonts w:asciiTheme="majorHAnsi" w:eastAsiaTheme="majorEastAsia" w:hAnsiTheme="majorHAnsi" w:cstheme="majorBidi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Lines/>
      <w:spacing w:before="320" w:after="120"/>
      <w:outlineLvl w:val="1"/>
    </w:pPr>
    <w:rPr>
      <w:rFonts w:asciiTheme="majorHAnsi" w:eastAsiaTheme="majorEastAsia" w:hAnsiTheme="majorHAnsi" w:cstheme="majorBidi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a13063-bb4c-47b1-8340-bc496734761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E7D5E9818D024D9C2F8345DA8AA066" ma:contentTypeVersion="10" ma:contentTypeDescription="Create a new document." ma:contentTypeScope="" ma:versionID="08cfc101ae0f4de8106eddab6f28066c">
  <xsd:schema xmlns:xsd="http://www.w3.org/2001/XMLSchema" xmlns:xs="http://www.w3.org/2001/XMLSchema" xmlns:p="http://schemas.microsoft.com/office/2006/metadata/properties" xmlns:ns2="daa13063-bb4c-47b1-8340-bc4967347610" targetNamespace="http://schemas.microsoft.com/office/2006/metadata/properties" ma:root="true" ma:fieldsID="c1d4df6d8b656e8a0842bee1d85f8aae" ns2:_="">
    <xsd:import namespace="daa13063-bb4c-47b1-8340-bc49673476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a13063-bb4c-47b1-8340-bc49673476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6C991D-BC90-49A8-9219-D2545438A612}">
  <ds:schemaRefs>
    <ds:schemaRef ds:uri="http://schemas.microsoft.com/office/2006/metadata/properties"/>
    <ds:schemaRef ds:uri="http://schemas.microsoft.com/office/infopath/2007/PartnerControls"/>
    <ds:schemaRef ds:uri="daa13063-bb4c-47b1-8340-bc4967347610"/>
  </ds:schemaRefs>
</ds:datastoreItem>
</file>

<file path=customXml/itemProps2.xml><?xml version="1.0" encoding="utf-8"?>
<ds:datastoreItem xmlns:ds="http://schemas.openxmlformats.org/officeDocument/2006/customXml" ds:itemID="{A46A2BE7-F768-4409-A080-C796615A34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a13063-bb4c-47b1-8340-bc49673476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545C66-59A5-47D2-BBA2-861C809865B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Manohar, Shardul</cp:lastModifiedBy>
  <cp:revision>2</cp:revision>
  <dcterms:created xsi:type="dcterms:W3CDTF">2026-08-31T14:09:00Z</dcterms:created>
  <dcterms:modified xsi:type="dcterms:W3CDTF">2026-09-01T06:55:00Z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1927614311</vt:i4>
  </property>
  <property fmtid="{D5CDD505-2E9C-101B-9397-08002B2CF9AE}" pid="3" name="_NewReviewCycle">
    <vt:lpwstr/>
  </property>
  <property fmtid="{D5CDD505-2E9C-101B-9397-08002B2CF9AE}" pid="4" name="ContentTypeId">
    <vt:lpwstr>0x010100DDE7D5E9818D024D9C2F8345DA8AA066</vt:lpwstr>
  </property>
  <property fmtid="{D5CDD505-2E9C-101B-9397-08002B2CF9AE}" pid="5" name="MediaServiceImageTags">
    <vt:lpwstr/>
  </property>
</Properties>
</file>