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800"/>
        <w:jc w:val="center"/>
      </w:pPr>
      <w:r>
        <w:rPr>
          <w:b/>
          <w:bCs/>
          <w:color w:val="0E6B6B"/>
          <w:sz w:val="28"/>
          <w:szCs w:val="28"/>
        </w:rPr>
        <w:t xml:space="preserve">SA1 IAI EXAM</w:t>
      </w:r>
    </w:p>
    <w:p>
      <w:pPr>
        <w:spacing w:after="160" w:before="0"/>
        <w:jc w:val="center"/>
      </w:pPr>
      <w:r>
        <w:rPr>
          <w:b/>
          <w:bCs/>
          <w:color w:val="1B3A6B"/>
          <w:sz w:val="36"/>
          <w:szCs w:val="36"/>
        </w:rPr>
        <w:t xml:space="preserve">Comprehensive Study Guide</w:t>
      </w:r>
    </w:p>
    <w:p>
      <w:pPr>
        <w:spacing w:after="80" w:before="0"/>
        <w:jc w:val="center"/>
      </w:pPr>
      <w:r>
        <w:rPr>
          <w:b/>
          <w:bCs/>
          <w:color w:val="1B3A6B"/>
          <w:sz w:val="52"/>
          <w:szCs w:val="52"/>
        </w:rPr>
        <w:t xml:space="preserve">Capital &amp; Solvency</w:t>
      </w:r>
    </w:p>
    <w:p>
      <w:pPr>
        <w:spacing w:after="400" w:before="120"/>
        <w:jc w:val="center"/>
      </w:pPr>
      <w:r>
        <w:rPr>
          <w:i/>
          <w:iCs/>
          <w:color w:val="0E6B6B"/>
          <w:sz w:val="22"/>
          <w:szCs w:val="22"/>
        </w:rPr>
        <w:t xml:space="preserve">Chapters 11 · 12 · 13 · 16 (SP1/SA1) | IAI Past Papers 2016–2025</w:t>
      </w:r>
    </w:p>
    <w:p>
      <w:pPr>
        <w:pBdr>
          <w:bottom w:val="single" w:color="1B3A6B" w:sz="12" w:space="8"/>
        </w:pBdr>
        <w:spacing w:after="320" w:before="0"/>
        <w:jc w:val="center"/>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b/>
                <w:bCs/>
                <w:color w:val="FFFFFF"/>
                <w:sz w:val="20"/>
                <w:szCs w:val="20"/>
              </w:rPr>
              <w:t xml:space="preserve">HOW TO USE</w:t>
            </w:r>
          </w:p>
        </w:tc>
        <w:tc>
          <w:tcPr>
            <w:tcW w:type="dxa" w:w="8160"/>
            <w:tcBorders>
              <w:top w:val="single" w:color="CCCCCC" w:sz="1"/>
              <w:left w:val="single" w:color="CCCCCC" w:sz="1"/>
              <w:bottom w:val="single" w:color="CCCCCC" w:sz="1"/>
              <w:right w:val="single" w:color="CCCCCC" w:sz="1"/>
            </w:tcBorders>
            <w:shd w:fill="D6EAF8" w:val="clear"/>
            <w:tcMar>
              <w:top w:type="dxa" w:w="80"/>
              <w:left w:type="dxa" w:w="160"/>
              <w:bottom w:type="dxa" w:w="80"/>
              <w:right w:type="dxa" w:w="120"/>
            </w:tcMar>
          </w:tcPr>
          <w:p>
            <w:r>
              <w:rPr>
                <w:sz w:val="21"/>
                <w:szCs w:val="21"/>
              </w:rPr>
              <w:t xml:space="preserve">This guide is structured in 7 blocks that build on each other. Study each block fully before moving to the next. Key exam tips are boxed in blue. Past paper references appear throughout. Mnemonics and comparison tables aid memory. The final block maps past paper questions to syllabus sections so you can practice selectively.</w:t>
            </w:r>
          </w:p>
        </w:tc>
      </w:tr>
    </w:tbl>
    <w:p>
      <w:pPr>
        <w:spacing w:after="60" w:before="60"/>
      </w:pPr>
      <w:r>
        <w:t xml:space="preserve"/>
      </w:r>
    </w:p>
    <w:p>
      <w:pPr>
        <w:pStyle w:val="Heading1"/>
        <w:pBdr>
          <w:bottom w:val="single" w:color="1B3A6B" w:sz="6" w:space="4"/>
        </w:pBdr>
        <w:spacing w:after="120" w:before="360"/>
      </w:pPr>
      <w:r>
        <w:rPr>
          <w:b/>
          <w:bCs/>
          <w:color w:val="1B3A6B"/>
        </w:rPr>
        <w:t xml:space="preserve">STUDY ARCHITECTURE — 7 BLOCKS</w:t>
      </w:r>
    </w:p>
    <w:p>
      <w:pPr>
        <w:spacing w:after="60" w:before="40"/>
      </w:pPr>
      <w:r>
        <w:rPr>
          <w:sz w:val="22"/>
          <w:szCs w:val="22"/>
        </w:rPr>
        <w:t xml:space="preserve">Master these in order. Each block answers a question the examiner regularly tests.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760"/>
        <w:gridCol w:w="6000"/>
      </w:tblGrid>
      <w:tr>
        <w:trPr>
          <w:tblHeader/>
        </w:trPr>
        <w:tc>
          <w:tcPr>
            <w:tcW w:type="dxa" w:w="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80"/>
            </w:tcMar>
          </w:tcPr>
          <w:p>
            <w:r>
              <w:rPr>
                <w:b/>
                <w:bCs/>
                <w:color w:val="FFFFFF"/>
                <w:sz w:val="20"/>
                <w:szCs w:val="20"/>
              </w:rPr>
              <w:t xml:space="preserve">#</w:t>
            </w:r>
          </w:p>
        </w:tc>
        <w:tc>
          <w:tcPr>
            <w:tcW w:type="dxa" w:w="27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80"/>
            </w:tcMar>
          </w:tcPr>
          <w:p>
            <w:r>
              <w:rPr>
                <w:b/>
                <w:bCs/>
                <w:color w:val="FFFFFF"/>
                <w:sz w:val="20"/>
                <w:szCs w:val="20"/>
              </w:rPr>
              <w:t xml:space="preserve">Block</w:t>
            </w:r>
          </w:p>
        </w:tc>
        <w:tc>
          <w:tcPr>
            <w:tcW w:type="dxa" w:w="6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80"/>
            </w:tcMar>
          </w:tcPr>
          <w:p>
            <w:r>
              <w:rPr>
                <w:b/>
                <w:bCs/>
                <w:color w:val="FFFFFF"/>
                <w:sz w:val="20"/>
                <w:szCs w:val="20"/>
              </w:rPr>
              <w:t xml:space="preserve">What You Will Master</w:t>
            </w:r>
          </w:p>
        </w:tc>
      </w:tr>
      <w:tr>
        <w:tc>
          <w:tcPr>
            <w:tcW w:type="dxa" w:w="600"/>
            <w:tcBorders>
              <w:top w:val="single" w:color="CCCCCC" w:sz="1"/>
              <w:left w:val="single" w:color="CCCCCC" w:sz="1"/>
              <w:bottom w:val="single" w:color="CCCCCC" w:sz="1"/>
              <w:right w:val="single" w:color="CCCCCC" w:sz="1"/>
            </w:tcBorders>
            <w:shd w:fill="D6EAF8" w:val="clear"/>
            <w:tcMar>
              <w:top w:type="dxa" w:w="60"/>
              <w:left w:type="dxa" w:w="120"/>
              <w:bottom w:type="dxa" w:w="60"/>
              <w:right w:type="dxa" w:w="80"/>
            </w:tcMar>
          </w:tcPr>
          <w:p>
            <w:pPr>
              <w:jc w:val="center"/>
            </w:pPr>
            <w:r>
              <w:rPr>
                <w:b/>
                <w:bCs/>
                <w:color w:val="1B3A6B"/>
                <w:sz w:val="22"/>
                <w:szCs w:val="22"/>
              </w:rPr>
              <w:t xml:space="preserve">1</w:t>
            </w:r>
          </w:p>
        </w:tc>
        <w:tc>
          <w:tcPr>
            <w:tcW w:type="dxa" w:w="2760"/>
            <w:tcBorders>
              <w:top w:val="single" w:color="CCCCCC" w:sz="1"/>
              <w:left w:val="single" w:color="CCCCCC" w:sz="1"/>
              <w:bottom w:val="single" w:color="CCCCCC" w:sz="1"/>
              <w:right w:val="single" w:color="CCCCCC" w:sz="1"/>
            </w:tcBorders>
            <w:shd w:fill="D6EAF8" w:val="clear"/>
            <w:tcMar>
              <w:top w:type="dxa" w:w="60"/>
              <w:left w:type="dxa" w:w="120"/>
              <w:bottom w:type="dxa" w:w="60"/>
              <w:right w:type="dxa" w:w="80"/>
            </w:tcMar>
          </w:tcPr>
          <w:p>
            <w:r>
              <w:rPr>
                <w:b/>
                <w:bCs/>
                <w:sz w:val="21"/>
                <w:szCs w:val="21"/>
              </w:rPr>
              <w:t xml:space="preserve">Why Capital Exists</w:t>
            </w:r>
          </w:p>
        </w:tc>
        <w:tc>
          <w:tcPr>
            <w:tcW w:type="dxa" w:w="6000"/>
            <w:tcBorders>
              <w:top w:val="single" w:color="CCCCCC" w:sz="1"/>
              <w:left w:val="single" w:color="CCCCCC" w:sz="1"/>
              <w:bottom w:val="single" w:color="CCCCCC" w:sz="1"/>
              <w:right w:val="single" w:color="CCCCCC" w:sz="1"/>
            </w:tcBorders>
            <w:shd w:fill="D6EAF8" w:val="clear"/>
            <w:tcMar>
              <w:top w:type="dxa" w:w="60"/>
              <w:left w:type="dxa" w:w="120"/>
              <w:bottom w:type="dxa" w:w="60"/>
              <w:right w:type="dxa" w:w="80"/>
            </w:tcMar>
          </w:tcPr>
          <w:p>
            <w:r>
              <w:rPr>
                <w:sz w:val="20"/>
                <w:szCs w:val="20"/>
              </w:rPr>
              <w:t xml:space="preserve">Two categories of capital need; three perspectives (economic/regulatory/rating agency); solvency ratio mechanics</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jc w:val="center"/>
            </w:pPr>
            <w:r>
              <w:rPr>
                <w:b/>
                <w:bCs/>
                <w:color w:val="1B3A6B"/>
                <w:sz w:val="22"/>
                <w:szCs w:val="22"/>
              </w:rPr>
              <w:t xml:space="preserve">2</w:t>
            </w:r>
          </w:p>
        </w:tc>
        <w:tc>
          <w:tcPr>
            <w:tcW w:type="dxa" w:w="2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b/>
                <w:bCs/>
                <w:sz w:val="21"/>
                <w:szCs w:val="21"/>
              </w:rPr>
              <w:t xml:space="preserve">Reserves &amp; Technical Provisions</w:t>
            </w:r>
          </w:p>
        </w:tc>
        <w:tc>
          <w:tcPr>
            <w:tcW w:type="dxa" w:w="6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sz w:val="20"/>
                <w:szCs w:val="20"/>
              </w:rPr>
              <w:t xml:space="preserve">Reserve types for LT (CI/IP/LTCI) and ST (PMI); BEL construction; risk margin (cost-of-capital method)</w:t>
            </w:r>
          </w:p>
        </w:tc>
      </w:tr>
      <w:tr>
        <w:tc>
          <w:tcPr>
            <w:tcW w:type="dxa" w:w="600"/>
            <w:tcBorders>
              <w:top w:val="single" w:color="CCCCCC" w:sz="1"/>
              <w:left w:val="single" w:color="CCCCCC" w:sz="1"/>
              <w:bottom w:val="single" w:color="CCCCCC" w:sz="1"/>
              <w:right w:val="single" w:color="CCCCCC" w:sz="1"/>
            </w:tcBorders>
            <w:shd w:fill="D6EAF8" w:val="clear"/>
            <w:tcMar>
              <w:top w:type="dxa" w:w="60"/>
              <w:left w:type="dxa" w:w="120"/>
              <w:bottom w:type="dxa" w:w="60"/>
              <w:right w:type="dxa" w:w="80"/>
            </w:tcMar>
          </w:tcPr>
          <w:p>
            <w:pPr>
              <w:jc w:val="center"/>
            </w:pPr>
            <w:r>
              <w:rPr>
                <w:b/>
                <w:bCs/>
                <w:color w:val="1B3A6B"/>
                <w:sz w:val="22"/>
                <w:szCs w:val="22"/>
              </w:rPr>
              <w:t xml:space="preserve">3</w:t>
            </w:r>
          </w:p>
        </w:tc>
        <w:tc>
          <w:tcPr>
            <w:tcW w:type="dxa" w:w="2760"/>
            <w:tcBorders>
              <w:top w:val="single" w:color="CCCCCC" w:sz="1"/>
              <w:left w:val="single" w:color="CCCCCC" w:sz="1"/>
              <w:bottom w:val="single" w:color="CCCCCC" w:sz="1"/>
              <w:right w:val="single" w:color="CCCCCC" w:sz="1"/>
            </w:tcBorders>
            <w:shd w:fill="D6EAF8" w:val="clear"/>
            <w:tcMar>
              <w:top w:type="dxa" w:w="60"/>
              <w:left w:type="dxa" w:w="120"/>
              <w:bottom w:type="dxa" w:w="60"/>
              <w:right w:type="dxa" w:w="80"/>
            </w:tcMar>
          </w:tcPr>
          <w:p>
            <w:r>
              <w:rPr>
                <w:b/>
                <w:bCs/>
                <w:sz w:val="21"/>
                <w:szCs w:val="21"/>
              </w:rPr>
              <w:t xml:space="preserve">Solvency II — The Balance Sheet</w:t>
            </w:r>
          </w:p>
        </w:tc>
        <w:tc>
          <w:tcPr>
            <w:tcW w:type="dxa" w:w="6000"/>
            <w:tcBorders>
              <w:top w:val="single" w:color="CCCCCC" w:sz="1"/>
              <w:left w:val="single" w:color="CCCCCC" w:sz="1"/>
              <w:bottom w:val="single" w:color="CCCCCC" w:sz="1"/>
              <w:right w:val="single" w:color="CCCCCC" w:sz="1"/>
            </w:tcBorders>
            <w:shd w:fill="D6EAF8" w:val="clear"/>
            <w:tcMar>
              <w:top w:type="dxa" w:w="60"/>
              <w:left w:type="dxa" w:w="120"/>
              <w:bottom w:type="dxa" w:w="60"/>
              <w:right w:type="dxa" w:w="80"/>
            </w:tcMar>
          </w:tcPr>
          <w:p>
            <w:r>
              <w:rPr>
                <w:sz w:val="20"/>
                <w:szCs w:val="20"/>
              </w:rPr>
              <w:t xml:space="preserve">Pillar structure; asset valuation; BEL + Risk Margin; matching and volatility adjustments; own funds tiers</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jc w:val="center"/>
            </w:pPr>
            <w:r>
              <w:rPr>
                <w:b/>
                <w:bCs/>
                <w:color w:val="1B3A6B"/>
                <w:sz w:val="22"/>
                <w:szCs w:val="22"/>
              </w:rPr>
              <w:t xml:space="preserve">4</w:t>
            </w:r>
          </w:p>
        </w:tc>
        <w:tc>
          <w:tcPr>
            <w:tcW w:type="dxa" w:w="2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b/>
                <w:bCs/>
                <w:sz w:val="21"/>
                <w:szCs w:val="21"/>
              </w:rPr>
              <w:t xml:space="preserve">SCR, MCR &amp; Capital Quality</w:t>
            </w:r>
          </w:p>
        </w:tc>
        <w:tc>
          <w:tcPr>
            <w:tcW w:type="dxa" w:w="6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sz w:val="20"/>
                <w:szCs w:val="20"/>
              </w:rPr>
              <w:t xml:space="preserve">SCR standard formula and modules; MCR formula; health risk modules (SLT/non-SLT/CAT); internal model tests</w:t>
            </w:r>
          </w:p>
        </w:tc>
      </w:tr>
      <w:tr>
        <w:tc>
          <w:tcPr>
            <w:tcW w:type="dxa" w:w="600"/>
            <w:tcBorders>
              <w:top w:val="single" w:color="CCCCCC" w:sz="1"/>
              <w:left w:val="single" w:color="CCCCCC" w:sz="1"/>
              <w:bottom w:val="single" w:color="CCCCCC" w:sz="1"/>
              <w:right w:val="single" w:color="CCCCCC" w:sz="1"/>
            </w:tcBorders>
            <w:shd w:fill="D6EAF8" w:val="clear"/>
            <w:tcMar>
              <w:top w:type="dxa" w:w="60"/>
              <w:left w:type="dxa" w:w="120"/>
              <w:bottom w:type="dxa" w:w="60"/>
              <w:right w:type="dxa" w:w="80"/>
            </w:tcMar>
          </w:tcPr>
          <w:p>
            <w:pPr>
              <w:jc w:val="center"/>
            </w:pPr>
            <w:r>
              <w:rPr>
                <w:b/>
                <w:bCs/>
                <w:color w:val="1B3A6B"/>
                <w:sz w:val="22"/>
                <w:szCs w:val="22"/>
              </w:rPr>
              <w:t xml:space="preserve">5</w:t>
            </w:r>
          </w:p>
        </w:tc>
        <w:tc>
          <w:tcPr>
            <w:tcW w:type="dxa" w:w="2760"/>
            <w:tcBorders>
              <w:top w:val="single" w:color="CCCCCC" w:sz="1"/>
              <w:left w:val="single" w:color="CCCCCC" w:sz="1"/>
              <w:bottom w:val="single" w:color="CCCCCC" w:sz="1"/>
              <w:right w:val="single" w:color="CCCCCC" w:sz="1"/>
            </w:tcBorders>
            <w:shd w:fill="D6EAF8" w:val="clear"/>
            <w:tcMar>
              <w:top w:type="dxa" w:w="60"/>
              <w:left w:type="dxa" w:w="120"/>
              <w:bottom w:type="dxa" w:w="60"/>
              <w:right w:type="dxa" w:w="80"/>
            </w:tcMar>
          </w:tcPr>
          <w:p>
            <w:r>
              <w:rPr>
                <w:b/>
                <w:bCs/>
                <w:sz w:val="21"/>
                <w:szCs w:val="21"/>
              </w:rPr>
              <w:t xml:space="preserve">Capital Management</w:t>
            </w:r>
          </w:p>
        </w:tc>
        <w:tc>
          <w:tcPr>
            <w:tcW w:type="dxa" w:w="6000"/>
            <w:tcBorders>
              <w:top w:val="single" w:color="CCCCCC" w:sz="1"/>
              <w:left w:val="single" w:color="CCCCCC" w:sz="1"/>
              <w:bottom w:val="single" w:color="CCCCCC" w:sz="1"/>
              <w:right w:val="single" w:color="CCCCCC" w:sz="1"/>
            </w:tcBorders>
            <w:shd w:fill="D6EAF8" w:val="clear"/>
            <w:tcMar>
              <w:top w:type="dxa" w:w="60"/>
              <w:left w:type="dxa" w:w="120"/>
              <w:bottom w:type="dxa" w:w="60"/>
              <w:right w:type="dxa" w:w="80"/>
            </w:tcMar>
          </w:tcPr>
          <w:p>
            <w:r>
              <w:rPr>
                <w:sz w:val="20"/>
                <w:szCs w:val="20"/>
              </w:rPr>
              <w:t xml:space="preserve">Projecting solvency; economic capital; proxy models; raising/reducing capital (equity, sub-debt, FinRe, reinsurance, ALM)</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jc w:val="center"/>
            </w:pPr>
            <w:r>
              <w:rPr>
                <w:b/>
                <w:bCs/>
                <w:color w:val="1B3A6B"/>
                <w:sz w:val="22"/>
                <w:szCs w:val="22"/>
              </w:rPr>
              <w:t xml:space="preserve">6</w:t>
            </w:r>
          </w:p>
        </w:tc>
        <w:tc>
          <w:tcPr>
            <w:tcW w:type="dxa" w:w="2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b/>
                <w:bCs/>
                <w:sz w:val="21"/>
                <w:szCs w:val="21"/>
              </w:rPr>
              <w:t xml:space="preserve">Global Solvency Frameworks</w:t>
            </w:r>
          </w:p>
        </w:tc>
        <w:tc>
          <w:tcPr>
            <w:tcW w:type="dxa" w:w="6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sz w:val="20"/>
                <w:szCs w:val="20"/>
              </w:rPr>
              <w:t xml:space="preserve">India (IRDAI/ASM/RSM); USA (RBC/PBR/ORSA); China (C-ROSS); Australia (LAGIC); South Africa (SAM); UK post-Brexit</w:t>
            </w:r>
          </w:p>
        </w:tc>
      </w:tr>
      <w:tr>
        <w:tc>
          <w:tcPr>
            <w:tcW w:type="dxa" w:w="600"/>
            <w:tcBorders>
              <w:top w:val="single" w:color="CCCCCC" w:sz="1"/>
              <w:left w:val="single" w:color="CCCCCC" w:sz="1"/>
              <w:bottom w:val="single" w:color="CCCCCC" w:sz="1"/>
              <w:right w:val="single" w:color="CCCCCC" w:sz="1"/>
            </w:tcBorders>
            <w:shd w:fill="D6EAF8" w:val="clear"/>
            <w:tcMar>
              <w:top w:type="dxa" w:w="60"/>
              <w:left w:type="dxa" w:w="120"/>
              <w:bottom w:type="dxa" w:w="60"/>
              <w:right w:type="dxa" w:w="80"/>
            </w:tcMar>
          </w:tcPr>
          <w:p>
            <w:pPr>
              <w:jc w:val="center"/>
            </w:pPr>
            <w:r>
              <w:rPr>
                <w:b/>
                <w:bCs/>
                <w:color w:val="1B3A6B"/>
                <w:sz w:val="22"/>
                <w:szCs w:val="22"/>
              </w:rPr>
              <w:t xml:space="preserve">7</w:t>
            </w:r>
          </w:p>
        </w:tc>
        <w:tc>
          <w:tcPr>
            <w:tcW w:type="dxa" w:w="2760"/>
            <w:tcBorders>
              <w:top w:val="single" w:color="CCCCCC" w:sz="1"/>
              <w:left w:val="single" w:color="CCCCCC" w:sz="1"/>
              <w:bottom w:val="single" w:color="CCCCCC" w:sz="1"/>
              <w:right w:val="single" w:color="CCCCCC" w:sz="1"/>
            </w:tcBorders>
            <w:shd w:fill="D6EAF8" w:val="clear"/>
            <w:tcMar>
              <w:top w:type="dxa" w:w="60"/>
              <w:left w:type="dxa" w:w="120"/>
              <w:bottom w:type="dxa" w:w="60"/>
              <w:right w:type="dxa" w:w="80"/>
            </w:tcMar>
          </w:tcPr>
          <w:p>
            <w:r>
              <w:rPr>
                <w:b/>
                <w:bCs/>
                <w:sz w:val="21"/>
                <w:szCs w:val="21"/>
              </w:rPr>
              <w:t xml:space="preserve">Exam Technique &amp; Past Papers</w:t>
            </w:r>
          </w:p>
        </w:tc>
        <w:tc>
          <w:tcPr>
            <w:tcW w:type="dxa" w:w="6000"/>
            <w:tcBorders>
              <w:top w:val="single" w:color="CCCCCC" w:sz="1"/>
              <w:left w:val="single" w:color="CCCCCC" w:sz="1"/>
              <w:bottom w:val="single" w:color="CCCCCC" w:sz="1"/>
              <w:right w:val="single" w:color="CCCCCC" w:sz="1"/>
            </w:tcBorders>
            <w:shd w:fill="D6EAF8" w:val="clear"/>
            <w:tcMar>
              <w:top w:type="dxa" w:w="60"/>
              <w:left w:type="dxa" w:w="120"/>
              <w:bottom w:type="dxa" w:w="60"/>
              <w:right w:type="dxa" w:w="80"/>
            </w:tcMar>
          </w:tcPr>
          <w:p>
            <w:r>
              <w:rPr>
                <w:sz w:val="20"/>
                <w:szCs w:val="20"/>
              </w:rPr>
              <w:t xml:space="preserve">Question map; common answer structures; mark-scoring patterns; India-specific numerical worked examples</w:t>
            </w:r>
          </w:p>
        </w:tc>
      </w:tr>
    </w:tbl>
    <w:p>
      <w:pPr>
        <w:spacing w:after="60" w:before="60"/>
      </w:pPr>
      <w:r>
        <w:t xml:space="preserve"/>
      </w:r>
    </w:p>
    <w:p>
      <w:r>
        <w:br w:type="page"/>
      </w:r>
    </w:p>
    <w:p>
      <w:pPr>
        <w:pStyle w:val="Heading1"/>
        <w:pBdr>
          <w:bottom w:val="single" w:color="1B3A6B" w:sz="6" w:space="4"/>
        </w:pBdr>
        <w:spacing w:after="120" w:before="360"/>
      </w:pPr>
      <w:r>
        <w:rPr>
          <w:b/>
          <w:bCs/>
          <w:color w:val="1B3A6B"/>
        </w:rPr>
        <w:t xml:space="preserve">BLOCK 1 — WHY CAPITAL EXISTS</w:t>
      </w:r>
    </w:p>
    <w:p>
      <w:pPr>
        <w:spacing w:after="60" w:before="40"/>
      </w:pPr>
      <w:r>
        <w:rPr>
          <w:sz w:val="22"/>
          <w:szCs w:val="22"/>
        </w:rPr>
        <w:t xml:space="preserve">Before anything else, understand WHY insurers hold capital. The examiner tests this conceptually.</w:t>
      </w:r>
    </w:p>
    <w:p>
      <w:pPr>
        <w:spacing w:after="60" w:before="60"/>
      </w:pPr>
      <w:r>
        <w:t xml:space="preserve"/>
      </w:r>
    </w:p>
    <w:p>
      <w:pPr>
        <w:pStyle w:val="Heading2"/>
        <w:spacing w:after="80" w:before="240"/>
      </w:pPr>
      <w:r>
        <w:rPr>
          <w:b/>
          <w:bCs/>
          <w:color w:val="0E6B6B"/>
        </w:rPr>
        <w:t xml:space="preserve">1.1  Two Categories of Capital Need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ADBD8" w:val="clear"/>
            <w:tcMar>
              <w:top w:type="dxa" w:w="80"/>
              <w:left w:type="dxa" w:w="160"/>
              <w:bottom w:type="dxa" w:w="80"/>
              <w:right w:type="dxa" w:w="120"/>
            </w:tcMar>
          </w:tcPr>
          <w:p>
            <w:r>
              <w:rPr>
                <w:b/>
                <w:bCs/>
                <w:color w:val="C0392B"/>
                <w:sz w:val="22"/>
                <w:szCs w:val="22"/>
              </w:rPr>
              <w:t xml:space="preserve">RISK CAPITAL</w:t>
            </w:r>
          </w:p>
          <w:p>
            <w:r>
              <w:rPr>
                <w:sz w:val="21"/>
                <w:szCs w:val="21"/>
              </w:rPr>
              <w:t xml:space="preserve">Cover unexpected losses from:</w:t>
            </w:r>
          </w:p>
          <w:p>
            <w:pPr>
              <w:pStyle w:val="ListParagraph"/>
              <w:numPr>
                <w:ilvl w:val="0"/>
                <w:numId w:val="2"/>
              </w:numPr>
              <w:spacing w:after="40" w:before="40"/>
            </w:pPr>
            <w:r>
              <w:rPr>
                <w:b w:val="false"/>
                <w:bCs w:val="false"/>
                <w:sz w:val="22"/>
                <w:szCs w:val="22"/>
              </w:rPr>
              <w:t xml:space="preserve">Market risk — adverse asset value movements / interest rate changes</w:t>
            </w:r>
          </w:p>
          <w:p>
            <w:pPr>
              <w:pStyle w:val="ListParagraph"/>
              <w:numPr>
                <w:ilvl w:val="0"/>
                <w:numId w:val="2"/>
              </w:numPr>
              <w:spacing w:after="40" w:before="40"/>
            </w:pPr>
            <w:r>
              <w:rPr>
                <w:b w:val="false"/>
                <w:bCs w:val="false"/>
                <w:sz w:val="22"/>
                <w:szCs w:val="22"/>
              </w:rPr>
              <w:t xml:space="preserve">Credit risk — counterparty / reinsurer default</w:t>
            </w:r>
          </w:p>
          <w:p>
            <w:pPr>
              <w:pStyle w:val="ListParagraph"/>
              <w:numPr>
                <w:ilvl w:val="0"/>
                <w:numId w:val="2"/>
              </w:numPr>
              <w:spacing w:after="40" w:before="40"/>
            </w:pPr>
            <w:r>
              <w:rPr>
                <w:b w:val="false"/>
                <w:bCs w:val="false"/>
                <w:sz w:val="22"/>
                <w:szCs w:val="22"/>
              </w:rPr>
              <w:t xml:space="preserve">Insurance risk — mortality, morbidity, persistency, expenses worse than expected</w:t>
            </w:r>
          </w:p>
          <w:p>
            <w:pPr>
              <w:pStyle w:val="ListParagraph"/>
              <w:numPr>
                <w:ilvl w:val="0"/>
                <w:numId w:val="2"/>
              </w:numPr>
              <w:spacing w:after="40" w:before="40"/>
            </w:pPr>
            <w:r>
              <w:rPr>
                <w:b w:val="false"/>
                <w:bCs w:val="false"/>
                <w:sz w:val="22"/>
                <w:szCs w:val="22"/>
              </w:rPr>
              <w:t xml:space="preserve">Operational risk — systems failure, terrorism, outsourcing, fraud</w:t>
            </w:r>
          </w:p>
          <w:p>
            <w:pPr>
              <w:pStyle w:val="ListParagraph"/>
              <w:numPr>
                <w:ilvl w:val="0"/>
                <w:numId w:val="2"/>
              </w:numPr>
              <w:spacing w:after="40" w:before="40"/>
            </w:pPr>
            <w:r>
              <w:rPr>
                <w:b w:val="false"/>
                <w:bCs w:val="false"/>
                <w:sz w:val="22"/>
                <w:szCs w:val="22"/>
              </w:rPr>
              <w:t xml:space="preserve">Liquidity risk — unable to meet obligations as they fall due</w:t>
            </w:r>
          </w:p>
          <w:p>
            <w:pPr>
              <w:pStyle w:val="ListParagraph"/>
              <w:numPr>
                <w:ilvl w:val="0"/>
                <w:numId w:val="2"/>
              </w:numPr>
              <w:spacing w:after="40" w:before="40"/>
            </w:pPr>
            <w:r>
              <w:rPr>
                <w:b w:val="false"/>
                <w:bCs w:val="false"/>
                <w:sz w:val="22"/>
                <w:szCs w:val="22"/>
              </w:rPr>
              <w:t xml:space="preserve">Group risk — contagion from other group entities</w:t>
            </w:r>
          </w:p>
        </w:tc>
        <w:tc>
          <w:tcPr>
            <w:tcW w:type="dxa" w:w="4680"/>
            <w:tcBorders>
              <w:top w:val="single" w:color="CCCCCC" w:sz="1"/>
              <w:left w:val="single" w:color="CCCCCC" w:sz="1"/>
              <w:bottom w:val="single" w:color="CCCCCC" w:sz="1"/>
              <w:right w:val="single" w:color="CCCCCC" w:sz="1"/>
            </w:tcBorders>
            <w:shd w:fill="D6EAF8" w:val="clear"/>
            <w:tcMar>
              <w:top w:type="dxa" w:w="80"/>
              <w:left w:type="dxa" w:w="160"/>
              <w:bottom w:type="dxa" w:w="80"/>
              <w:right w:type="dxa" w:w="120"/>
            </w:tcMar>
          </w:tcPr>
          <w:p>
            <w:r>
              <w:rPr>
                <w:b/>
                <w:bCs/>
                <w:color w:val="0E6B6B"/>
                <w:sz w:val="22"/>
                <w:szCs w:val="22"/>
              </w:rPr>
              <w:t xml:space="preserve">WORKING CAPITAL</w:t>
            </w:r>
          </w:p>
          <w:p>
            <w:r>
              <w:rPr>
                <w:sz w:val="21"/>
                <w:szCs w:val="21"/>
              </w:rPr>
              <w:t xml:space="preserve">Fund ongoing business strategy:</w:t>
            </w:r>
          </w:p>
          <w:p>
            <w:pPr>
              <w:pStyle w:val="ListParagraph"/>
              <w:numPr>
                <w:ilvl w:val="0"/>
                <w:numId w:val="2"/>
              </w:numPr>
              <w:spacing w:after="40" w:before="40"/>
            </w:pPr>
            <w:r>
              <w:rPr>
                <w:b w:val="false"/>
                <w:bCs w:val="false"/>
                <w:sz w:val="22"/>
                <w:szCs w:val="22"/>
              </w:rPr>
              <w:t xml:space="preserve">New business strain — capital consumed before premiums accumulate</w:t>
            </w:r>
          </w:p>
          <w:p>
            <w:pPr>
              <w:pStyle w:val="ListParagraph"/>
              <w:numPr>
                <w:ilvl w:val="0"/>
                <w:numId w:val="2"/>
              </w:numPr>
              <w:spacing w:after="40" w:before="40"/>
            </w:pPr>
            <w:r>
              <w:rPr>
                <w:b w:val="false"/>
                <w:bCs w:val="false"/>
                <w:sz w:val="22"/>
                <w:szCs w:val="22"/>
              </w:rPr>
              <w:t xml:space="preserve">Attract intermediaries — demonstrate financial strength</w:t>
            </w:r>
          </w:p>
          <w:p>
            <w:pPr>
              <w:pStyle w:val="ListParagraph"/>
              <w:numPr>
                <w:ilvl w:val="0"/>
                <w:numId w:val="2"/>
              </w:numPr>
              <w:spacing w:after="40" w:before="40"/>
            </w:pPr>
            <w:r>
              <w:rPr>
                <w:b w:val="false"/>
                <w:bCs w:val="false"/>
                <w:sz w:val="22"/>
                <w:szCs w:val="22"/>
              </w:rPr>
              <w:t xml:space="preserve">Organic expansion — IT, premises, product development, overseas entry</w:t>
            </w:r>
          </w:p>
          <w:p>
            <w:pPr>
              <w:pStyle w:val="ListParagraph"/>
              <w:numPr>
                <w:ilvl w:val="0"/>
                <w:numId w:val="2"/>
              </w:numPr>
              <w:spacing w:after="40" w:before="40"/>
            </w:pPr>
            <w:r>
              <w:rPr>
                <w:b w:val="false"/>
                <w:bCs w:val="false"/>
                <w:sz w:val="22"/>
                <w:szCs w:val="22"/>
              </w:rPr>
              <w:t xml:space="preserve">Acquisitions — purchase of other companies or books of business</w:t>
            </w:r>
          </w:p>
          <w:p>
            <w:r>
              <w:rPr>
                <w:i/>
                <w:iCs/>
                <w:sz w:val="21"/>
                <w:szCs w:val="21"/>
              </w:rPr>
              <w:t xml:space="preserve">Exacerbated by:</w:t>
            </w:r>
          </w:p>
          <w:p>
            <w:pPr>
              <w:pStyle w:val="ListParagraph"/>
              <w:numPr>
                <w:ilvl w:val="0"/>
                <w:numId w:val="2"/>
              </w:numPr>
              <w:spacing w:after="40" w:before="40"/>
            </w:pPr>
            <w:r>
              <w:rPr>
                <w:b w:val="false"/>
                <w:bCs w:val="false"/>
                <w:sz w:val="22"/>
                <w:szCs w:val="22"/>
              </w:rPr>
              <w:t xml:space="preserve">Low investment returns, mis-selling fines, demographic changes (↑longevity → ↑LTCI capital)</w:t>
            </w:r>
          </w:p>
        </w:tc>
      </w:tr>
    </w:tbl>
    <w:p>
      <w:pPr>
        <w:spacing w:after="60" w:before="60"/>
      </w:pPr>
      <w:r>
        <w:t xml:space="preserve"/>
      </w:r>
    </w:p>
    <w:p>
      <w:pPr>
        <w:pStyle w:val="Heading2"/>
        <w:spacing w:after="80" w:before="240"/>
      </w:pPr>
      <w:r>
        <w:rPr>
          <w:b/>
          <w:bCs/>
          <w:color w:val="0E6B6B"/>
        </w:rPr>
        <w:t xml:space="preserve">1.2  Three Perspectives on Capital Adequacy</w:t>
      </w:r>
    </w:p>
    <w:p>
      <w:pPr>
        <w:spacing w:after="60" w:before="40"/>
      </w:pPr>
      <w:r>
        <w:rPr>
          <w:sz w:val="22"/>
          <w:szCs w:val="22"/>
        </w:rPr>
        <w:t xml:space="preserve">The 'most onerous' perspective varies by company and determines how much capital is actually held.</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D6EAF8" w:val="clear"/>
            <w:tcMar>
              <w:top w:type="dxa" w:w="80"/>
              <w:left w:type="dxa" w:w="160"/>
              <w:bottom w:type="dxa" w:w="80"/>
              <w:right w:type="dxa" w:w="120"/>
            </w:tcMar>
          </w:tcPr>
          <w:p>
            <w:r>
              <w:rPr>
                <w:b/>
                <w:bCs/>
                <w:color w:val="1B3A6B"/>
                <w:sz w:val="22"/>
                <w:szCs w:val="22"/>
              </w:rPr>
              <w:t xml:space="preserve">ECONOMIC CAPITAL</w:t>
            </w:r>
          </w:p>
          <w:p>
            <w:r>
              <w:rPr>
                <w:i/>
                <w:iCs/>
                <w:color w:val="1B3A6B"/>
                <w:sz w:val="19"/>
                <w:szCs w:val="19"/>
              </w:rPr>
              <w:t xml:space="preserve">Internal | Ch.16 §4.1</w:t>
            </w:r>
          </w:p>
          <w:p>
            <w:pPr>
              <w:spacing w:after="60" w:before="40"/>
            </w:pPr>
            <w:r>
              <w:rPr>
                <w:sz w:val="22"/>
                <w:szCs w:val="22"/>
              </w:rPr>
              <w:t xml:space="preserve">Assets required in excess of liabilities, allowing for the company's own risk profile, risk appetite and ongoing business strategy — so that claims can be met with high certainty.</w:t>
            </w:r>
          </w:p>
          <w:p>
            <w:pPr>
              <w:spacing w:after="60" w:before="40"/>
            </w:pPr>
            <w:r>
              <w:rPr>
                <w:sz w:val="22"/>
                <w:szCs w:val="22"/>
              </w:rPr>
              <w:t xml:space="preserve">Driven by: management / board ORSA process. Uses stochastic modelling or stress tests on realistic capital. May be most onerous for companies with high risk appetite.</w:t>
            </w:r>
          </w:p>
        </w:tc>
        <w:tc>
          <w:tcPr>
            <w:tcW w:type="dxa" w:w="3120"/>
            <w:tcBorders>
              <w:top w:val="single" w:color="CCCCCC" w:sz="1"/>
              <w:left w:val="single" w:color="CCCCCC" w:sz="1"/>
              <w:bottom w:val="single" w:color="CCCCCC" w:sz="1"/>
              <w:right w:val="single" w:color="CCCCCC" w:sz="1"/>
            </w:tcBorders>
            <w:shd w:fill="D5F5E3" w:val="clear"/>
            <w:tcMar>
              <w:top w:type="dxa" w:w="80"/>
              <w:left w:type="dxa" w:w="160"/>
              <w:bottom w:type="dxa" w:w="80"/>
              <w:right w:type="dxa" w:w="120"/>
            </w:tcMar>
          </w:tcPr>
          <w:p>
            <w:r>
              <w:rPr>
                <w:b/>
                <w:bCs/>
                <w:color w:val="0E6B6B"/>
                <w:sz w:val="22"/>
                <w:szCs w:val="22"/>
              </w:rPr>
              <w:t xml:space="preserve">REGULATORY CAPITAL</w:t>
            </w:r>
          </w:p>
          <w:p>
            <w:r>
              <w:rPr>
                <w:i/>
                <w:iCs/>
                <w:color w:val="0E6B6B"/>
                <w:sz w:val="19"/>
                <w:szCs w:val="19"/>
              </w:rPr>
              <w:t xml:space="preserve">Prescribed | Minimum floor</w:t>
            </w:r>
          </w:p>
          <w:p>
            <w:pPr>
              <w:spacing w:after="60" w:before="40"/>
            </w:pPr>
            <w:r>
              <w:rPr>
                <w:sz w:val="22"/>
                <w:szCs w:val="22"/>
              </w:rPr>
              <w:t xml:space="preserve">Solvency requirements set by the regulator. All companies must calculate and cover. Defines regulatory values of assets, liabilities and required capital.</w:t>
            </w:r>
          </w:p>
          <w:p>
            <w:pPr>
              <w:spacing w:after="60" w:before="40"/>
            </w:pPr>
            <w:r>
              <w:rPr>
                <w:sz w:val="22"/>
                <w:szCs w:val="22"/>
              </w:rPr>
              <w:t xml:space="preserve">Under Solvency II: SCR = 99.5% VaR over 1 year. MCR = 85% VaR over 1 year. India: ASM (Available Solvency Margin) ≥ RSM (Required Solvency Margin).</w:t>
            </w:r>
          </w:p>
        </w:tc>
        <w:tc>
          <w:tcPr>
            <w:tcW w:type="dxa" w:w="3120"/>
            <w:tcBorders>
              <w:top w:val="single" w:color="CCCCCC" w:sz="1"/>
              <w:left w:val="single" w:color="CCCCCC" w:sz="1"/>
              <w:bottom w:val="single" w:color="CCCCCC" w:sz="1"/>
              <w:right w:val="single" w:color="CCCCCC" w:sz="1"/>
            </w:tcBorders>
            <w:shd w:fill="FEF9E7" w:val="clear"/>
            <w:tcMar>
              <w:top w:type="dxa" w:w="80"/>
              <w:left w:type="dxa" w:w="160"/>
              <w:bottom w:type="dxa" w:w="80"/>
              <w:right w:type="dxa" w:w="120"/>
            </w:tcMar>
          </w:tcPr>
          <w:p>
            <w:r>
              <w:rPr>
                <w:b/>
                <w:bCs/>
                <w:color w:val="B8860B"/>
                <w:sz w:val="22"/>
                <w:szCs w:val="22"/>
              </w:rPr>
              <w:t xml:space="preserve">RATING AGENCY CAPITAL</w:t>
            </w:r>
          </w:p>
          <w:p>
            <w:r>
              <w:rPr>
                <w:i/>
                <w:iCs/>
                <w:color w:val="B8860B"/>
                <w:sz w:val="19"/>
                <w:szCs w:val="19"/>
              </w:rPr>
              <w:t xml:space="preserve">Credit rating | Market access</w:t>
            </w:r>
          </w:p>
          <w:p>
            <w:pPr>
              <w:spacing w:after="60" w:before="40"/>
            </w:pPr>
            <w:r>
              <w:rPr>
                <w:sz w:val="22"/>
                <w:szCs w:val="22"/>
              </w:rPr>
              <w:t xml:space="preserve">Capital standard required by agencies (S&amp;P, Moody's, AM Best) for a company to achieve or maintain a specific credit rating.</w:t>
            </w:r>
          </w:p>
          <w:p>
            <w:pPr>
              <w:spacing w:after="60" w:before="40"/>
            </w:pPr>
            <w:r>
              <w:rPr>
                <w:sz w:val="22"/>
                <w:szCs w:val="22"/>
              </w:rPr>
              <w:t xml:space="preserve">Drives cost of raising additional capital and market willingness to do business. Trend: agencies moving toward economic capital / ORSA measures.</w:t>
            </w:r>
          </w:p>
        </w:tc>
      </w:tr>
    </w:tbl>
    <w:p>
      <w:pPr>
        <w:spacing w:after="60" w:before="60"/>
      </w:pPr>
      <w:r>
        <w:t xml:space="preserve"/>
      </w:r>
    </w:p>
    <w:p>
      <w:pPr>
        <w:pStyle w:val="Heading2"/>
        <w:spacing w:after="80" w:before="240"/>
      </w:pPr>
      <w:r>
        <w:rPr>
          <w:b/>
          <w:bCs/>
          <w:color w:val="0E6B6B"/>
        </w:rPr>
        <w:t xml:space="preserve">1.3  The Solvency Ratio — IAI Context</w:t>
      </w:r>
    </w:p>
    <w:p>
      <w:pPr>
        <w:spacing w:after="60" w:before="40"/>
      </w:pPr>
      <w:r>
        <w:rPr>
          <w:sz w:val="22"/>
          <w:szCs w:val="22"/>
        </w:rPr>
        <w:t xml:space="preserve">The IAI exam frequently tests solvency ratio mechanics. Master the formula and its drivers.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b/>
                <w:bCs/>
                <w:color w:val="FFFFFF"/>
                <w:sz w:val="20"/>
                <w:szCs w:val="20"/>
              </w:rPr>
              <w:t xml:space="preserve">FORMULA</w:t>
            </w:r>
          </w:p>
        </w:tc>
        <w:tc>
          <w:tcPr>
            <w:tcW w:type="dxa" w:w="8160"/>
            <w:tcBorders>
              <w:top w:val="single" w:color="CCCCCC" w:sz="1"/>
              <w:left w:val="single" w:color="CCCCCC" w:sz="1"/>
              <w:bottom w:val="single" w:color="CCCCCC" w:sz="1"/>
              <w:right w:val="single" w:color="CCCCCC" w:sz="1"/>
            </w:tcBorders>
            <w:shd w:fill="D6EAF8" w:val="clear"/>
            <w:tcMar>
              <w:top w:type="dxa" w:w="80"/>
              <w:left w:type="dxa" w:w="160"/>
              <w:bottom w:type="dxa" w:w="80"/>
              <w:right w:type="dxa" w:w="120"/>
            </w:tcMar>
          </w:tcPr>
          <w:p>
            <w:r>
              <w:rPr>
                <w:sz w:val="21"/>
                <w:szCs w:val="21"/>
              </w:rPr>
              <w:t xml:space="preserve">Solvency Ratio (SR) = Available Solvency Margin (ASM) / Required Solvency Margin (RSM) × 100%</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b/>
                <w:bCs/>
                <w:color w:val="FFFFFF"/>
                <w:sz w:val="20"/>
                <w:szCs w:val="20"/>
              </w:rPr>
              <w:t xml:space="preserve">KEY RULE</w:t>
            </w:r>
          </w:p>
        </w:tc>
        <w:tc>
          <w:tcPr>
            <w:tcW w:type="dxa" w:w="8160"/>
            <w:tcBorders>
              <w:top w:val="single" w:color="CCCCCC" w:sz="1"/>
              <w:left w:val="single" w:color="CCCCCC" w:sz="1"/>
              <w:bottom w:val="single" w:color="CCCCCC" w:sz="1"/>
              <w:right w:val="single" w:color="CCCCCC" w:sz="1"/>
            </w:tcBorders>
            <w:shd w:fill="FEF9E7" w:val="clear"/>
            <w:tcMar>
              <w:top w:type="dxa" w:w="80"/>
              <w:left w:type="dxa" w:w="160"/>
              <w:bottom w:type="dxa" w:w="80"/>
              <w:right w:type="dxa" w:w="120"/>
            </w:tcMar>
          </w:tcPr>
          <w:p>
            <w:r>
              <w:rPr>
                <w:sz w:val="21"/>
                <w:szCs w:val="21"/>
              </w:rPr>
              <w:t xml:space="preserve">SR &lt; 100% → insolvency. Regulatory intervention typically begins when SR approaches a threshold (e.g. 120–150%). IRDAI prescribes minimum SR of 150% for Indian health insurers.</w:t>
            </w:r>
          </w:p>
        </w:tc>
      </w:tr>
    </w:tbl>
    <w:p>
      <w:pPr>
        <w:spacing w:after="60" w:before="60"/>
      </w:pPr>
      <w:r>
        <w:t xml:space="preserve"/>
      </w:r>
    </w:p>
    <w:p>
      <w:pPr>
        <w:spacing w:after="60" w:before="40"/>
      </w:pPr>
      <w:r>
        <w:rPr>
          <w:sz w:val="22"/>
          <w:szCs w:val="22"/>
        </w:rPr>
        <w:t xml:space="preserve">ASM drivers (increases ASM): shareholder capital injection, retained profits, positive investment income, favourable claims experience.</w:t>
      </w:r>
    </w:p>
    <w:p>
      <w:pPr>
        <w:spacing w:after="60" w:before="40"/>
      </w:pPr>
      <w:r>
        <w:rPr>
          <w:sz w:val="22"/>
          <w:szCs w:val="22"/>
        </w:rPr>
        <w:t xml:space="preserve">ASM drivers (decreases ASM): dividends paid, losses from adverse claims/expenses, market losses on assets, reinsurance counterparty default.</w:t>
      </w:r>
    </w:p>
    <w:p>
      <w:pPr>
        <w:spacing w:after="60" w:before="40"/>
      </w:pPr>
      <w:r>
        <w:rPr>
          <w:sz w:val="22"/>
          <w:szCs w:val="22"/>
        </w:rPr>
        <w:t xml:space="preserve">RSM drivers: risk profile of liabilities. Higher morbidity/mortality risk, higher expense risk, higher investment risk → higher RSM.</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b/>
                <w:bCs/>
                <w:color w:val="FFFFFF"/>
                <w:sz w:val="20"/>
                <w:szCs w:val="20"/>
              </w:rPr>
              <w:t xml:space="preserve">EXAM WORKED EXAMPLE</w:t>
            </w:r>
          </w:p>
        </w:tc>
        <w:tc>
          <w:tcPr>
            <w:tcW w:type="dxa" w:w="8160"/>
            <w:tcBorders>
              <w:top w:val="single" w:color="CCCCCC" w:sz="1"/>
              <w:left w:val="single" w:color="CCCCCC" w:sz="1"/>
              <w:bottom w:val="single" w:color="CCCCCC" w:sz="1"/>
              <w:right w:val="single" w:color="CCCCCC" w:sz="1"/>
            </w:tcBorders>
            <w:shd w:fill="D6EAF8" w:val="clear"/>
            <w:tcMar>
              <w:top w:type="dxa" w:w="80"/>
              <w:left w:type="dxa" w:w="160"/>
              <w:bottom w:type="dxa" w:w="80"/>
              <w:right w:type="dxa" w:w="120"/>
            </w:tcMar>
          </w:tcPr>
          <w:p>
            <w:r>
              <w:rPr>
                <w:sz w:val="21"/>
                <w:szCs w:val="21"/>
              </w:rPr>
              <w:t xml:space="preserve">IAI July 2022 Q1v: Opening SR = 1231/403 = 305.46%. After events: ASM adjusts for capital injection (+50), loss (−27), profit (+3). RSM adjusts for new business (+8), release (−3). Closing SR = (1231 − 27 + 3 + 50) / (403 + 8 − 3) = 1257/408 = 308.09%. Impact formula: δ(SR) = δ(ASM)/RSM − SR × δ(RSM)/RSM</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b/>
                <w:bCs/>
                <w:color w:val="FFFFFF"/>
                <w:sz w:val="20"/>
                <w:szCs w:val="20"/>
              </w:rPr>
              <w:t xml:space="preserve">EXAM TIP</w:t>
            </w:r>
          </w:p>
        </w:tc>
        <w:tc>
          <w:tcPr>
            <w:tcW w:type="dxa" w:w="8160"/>
            <w:tcBorders>
              <w:top w:val="single" w:color="CCCCCC" w:sz="1"/>
              <w:left w:val="single" w:color="CCCCCC" w:sz="1"/>
              <w:bottom w:val="single" w:color="CCCCCC" w:sz="1"/>
              <w:right w:val="single" w:color="CCCCCC" w:sz="1"/>
            </w:tcBorders>
            <w:shd w:fill="FADBD8" w:val="clear"/>
            <w:tcMar>
              <w:top w:type="dxa" w:w="80"/>
              <w:left w:type="dxa" w:w="160"/>
              <w:bottom w:type="dxa" w:w="80"/>
              <w:right w:type="dxa" w:w="120"/>
            </w:tcMar>
          </w:tcPr>
          <w:p>
            <w:r>
              <w:rPr>
                <w:sz w:val="21"/>
                <w:szCs w:val="21"/>
              </w:rPr>
              <w:t xml:space="preserve">When asked to discuss implications of a borderline solvency ratio, cover: (1) Regulatory intervention — limits on new business, forced capital injection. (2) Market impact — bad publicity, broker withdrawal, share price fall. (3) Staff morale and bonus implications. (4) Credit rating downgrade. (5) Expansion plans stalled. [IAI Mar 2022 Q2ii — 5 marks]</w:t>
            </w:r>
          </w:p>
        </w:tc>
      </w:tr>
    </w:tbl>
    <w:p>
      <w:pPr>
        <w:spacing w:after="60" w:before="60"/>
      </w:pPr>
      <w:r>
        <w:t xml:space="preserve"/>
      </w:r>
    </w:p>
    <w:p>
      <w:pPr>
        <w:pStyle w:val="Heading2"/>
        <w:spacing w:after="80" w:before="240"/>
      </w:pPr>
      <w:r>
        <w:rPr>
          <w:b/>
          <w:bCs/>
          <w:color w:val="0E6B6B"/>
        </w:rPr>
        <w:t xml:space="preserve">1.4  Why Project Solvency? — Five Purposes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80"/>
            </w:tcMar>
          </w:tcPr>
          <w:p>
            <w:r>
              <w:rPr>
                <w:b/>
                <w:bCs/>
                <w:color w:val="FFFFFF"/>
                <w:sz w:val="20"/>
                <w:szCs w:val="20"/>
              </w:rPr>
              <w:t xml:space="preserve">Purpose</w:t>
            </w:r>
          </w:p>
        </w:tc>
        <w:tc>
          <w:tcPr>
            <w:tcW w:type="dxa" w:w="63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80"/>
            </w:tcMar>
          </w:tcPr>
          <w:p>
            <w:r>
              <w:rPr>
                <w:b/>
                <w:bCs/>
                <w:color w:val="FFFFFF"/>
                <w:sz w:val="20"/>
                <w:szCs w:val="20"/>
              </w:rPr>
              <w:t xml:space="preserve">What it tells management</w:t>
            </w:r>
          </w:p>
        </w:tc>
      </w:tr>
      <w:tr>
        <w:tc>
          <w:tcPr>
            <w:tcW w:type="dxa" w:w="3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80"/>
            </w:tcMar>
          </w:tcPr>
          <w:p>
            <w:r>
              <w:rPr>
                <w:b/>
                <w:bCs/>
                <w:sz w:val="21"/>
                <w:szCs w:val="21"/>
              </w:rPr>
              <w:t xml:space="preserve">Monitor risk profile</w:t>
            </w:r>
          </w:p>
        </w:tc>
        <w:tc>
          <w:tcPr>
            <w:tcW w:type="dxa" w:w="636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80"/>
            </w:tcMar>
          </w:tcPr>
          <w:p>
            <w:r>
              <w:rPr>
                <w:sz w:val="20"/>
                <w:szCs w:val="20"/>
              </w:rPr>
              <w:t xml:space="preserve">Understand how risk evolves over time; identify emerging concentrations</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b/>
                <w:bCs/>
                <w:sz w:val="21"/>
                <w:szCs w:val="21"/>
              </w:rPr>
              <w:t xml:space="preserve">Strategy decisions</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sz w:val="20"/>
                <w:szCs w:val="20"/>
              </w:rPr>
              <w:t xml:space="preserve">Assess new business volumes, new product launches, market entry; show new business strain</w:t>
            </w:r>
          </w:p>
        </w:tc>
      </w:tr>
      <w:tr>
        <w:tc>
          <w:tcPr>
            <w:tcW w:type="dxa" w:w="3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80"/>
            </w:tcMar>
          </w:tcPr>
          <w:p>
            <w:r>
              <w:rPr>
                <w:b/>
                <w:bCs/>
                <w:sz w:val="21"/>
                <w:szCs w:val="21"/>
              </w:rPr>
              <w:t xml:space="preserve">Capital releases</w:t>
            </w:r>
          </w:p>
        </w:tc>
        <w:tc>
          <w:tcPr>
            <w:tcW w:type="dxa" w:w="636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80"/>
            </w:tcMar>
          </w:tcPr>
          <w:p>
            <w:r>
              <w:rPr>
                <w:sz w:val="20"/>
                <w:szCs w:val="20"/>
              </w:rPr>
              <w:t xml:space="preserve">Estimate pattern of capital release to shareholders; assess return on capital; input to EV</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b/>
                <w:bCs/>
                <w:sz w:val="21"/>
                <w:szCs w:val="21"/>
              </w:rPr>
              <w:t xml:space="preserve">Statutory ORSA requirement</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sz w:val="20"/>
                <w:szCs w:val="20"/>
              </w:rPr>
              <w:t xml:space="preserve">Solvency II Pillar 2 / equivalent IRDAI requirement; also determines risk margin (Pillar 1)</w:t>
            </w:r>
          </w:p>
        </w:tc>
      </w:tr>
      <w:tr>
        <w:tc>
          <w:tcPr>
            <w:tcW w:type="dxa" w:w="3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80"/>
            </w:tcMar>
          </w:tcPr>
          <w:p>
            <w:r>
              <w:rPr>
                <w:b/>
                <w:bCs/>
                <w:sz w:val="21"/>
                <w:szCs w:val="21"/>
              </w:rPr>
              <w:t xml:space="preserve">Stress &amp; reverse stress testing</w:t>
            </w:r>
          </w:p>
        </w:tc>
        <w:tc>
          <w:tcPr>
            <w:tcW w:type="dxa" w:w="636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80"/>
            </w:tcMar>
          </w:tcPr>
          <w:p>
            <w:r>
              <w:rPr>
                <w:sz w:val="20"/>
                <w:szCs w:val="20"/>
              </w:rPr>
              <w:t xml:space="preserve">Stress testing: known scenarios → solvency impact. Reverse: define solvency breach → find what causes it</w:t>
            </w:r>
          </w:p>
        </w:tc>
      </w:tr>
    </w:tbl>
    <w:p>
      <w:pPr>
        <w:spacing w:after="60" w:before="60"/>
      </w:pPr>
      <w:r>
        <w:t xml:space="preserve"/>
      </w:r>
    </w:p>
    <w:p>
      <w:r>
        <w:br w:type="page"/>
      </w:r>
    </w:p>
    <w:p>
      <w:pPr>
        <w:pStyle w:val="Heading1"/>
        <w:pBdr>
          <w:bottom w:val="single" w:color="1B3A6B" w:sz="6" w:space="4"/>
        </w:pBdr>
        <w:spacing w:after="120" w:before="360"/>
      </w:pPr>
      <w:r>
        <w:rPr>
          <w:b/>
          <w:bCs/>
          <w:color w:val="1B3A6B"/>
        </w:rPr>
        <w:t xml:space="preserve">BLOCK 2 — RESERVES &amp; TECHNICAL PROVISIONS</w:t>
      </w:r>
    </w:p>
    <w:p>
      <w:pPr>
        <w:spacing w:after="60" w:before="40"/>
      </w:pPr>
      <w:r>
        <w:rPr>
          <w:sz w:val="22"/>
          <w:szCs w:val="22"/>
        </w:rPr>
        <w:t xml:space="preserve">Reserves are the liability side of the solvency equation. Master reserve types before tackling Solvency II.</w:t>
      </w:r>
    </w:p>
    <w:p>
      <w:pPr>
        <w:spacing w:after="60" w:before="60"/>
      </w:pPr>
      <w:r>
        <w:t xml:space="preserve"/>
      </w:r>
    </w:p>
    <w:p>
      <w:pPr>
        <w:pStyle w:val="Heading2"/>
        <w:spacing w:after="80" w:before="240"/>
      </w:pPr>
      <w:r>
        <w:rPr>
          <w:b/>
          <w:bCs/>
          <w:color w:val="0E6B6B"/>
        </w:rPr>
        <w:t xml:space="preserve">2.1  Why Hold Reserves? — Basis Choice Depends on Purpose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3760"/>
      </w:tblGrid>
      <w:tr>
        <w:trPr>
          <w:tblHeader/>
        </w:trPr>
        <w:tc>
          <w:tcPr>
            <w:tcW w:type="dxa" w:w="3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80"/>
            </w:tcMar>
          </w:tcPr>
          <w:p>
            <w:r>
              <w:rPr>
                <w:b/>
                <w:bCs/>
                <w:color w:val="FFFFFF"/>
                <w:sz w:val="20"/>
                <w:szCs w:val="20"/>
              </w:rPr>
              <w:t xml:space="preserve">Purpose</w:t>
            </w:r>
          </w:p>
        </w:tc>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80"/>
            </w:tcMar>
          </w:tcPr>
          <w:p>
            <w:r>
              <w:rPr>
                <w:b/>
                <w:bCs/>
                <w:color w:val="FFFFFF"/>
                <w:sz w:val="20"/>
                <w:szCs w:val="20"/>
              </w:rPr>
              <w:t xml:space="preserve">Appropriate Basis</w:t>
            </w:r>
          </w:p>
        </w:tc>
        <w:tc>
          <w:tcPr>
            <w:tcW w:type="dxa" w:w="37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80"/>
            </w:tcMar>
          </w:tcPr>
          <w:p>
            <w:r>
              <w:rPr>
                <w:b/>
                <w:bCs/>
                <w:color w:val="FFFFFF"/>
                <w:sz w:val="20"/>
                <w:szCs w:val="20"/>
              </w:rPr>
              <w:t xml:space="preserve">Key Rationale</w:t>
            </w:r>
          </w:p>
        </w:tc>
      </w:tr>
      <w:tr>
        <w:tc>
          <w:tcPr>
            <w:tcW w:type="dxa" w:w="32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80"/>
            </w:tcMar>
          </w:tcPr>
          <w:p>
            <w:r>
              <w:rPr>
                <w:b/>
                <w:bCs/>
                <w:sz w:val="20"/>
                <w:szCs w:val="20"/>
              </w:rPr>
              <w:t xml:space="preserve">Published accounts</w:t>
            </w:r>
          </w:p>
        </w:tc>
        <w:tc>
          <w:tcPr>
            <w:tcW w:type="dxa" w:w="24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80"/>
            </w:tcMar>
          </w:tcPr>
          <w:p>
            <w:r>
              <w:rPr>
                <w:sz w:val="20"/>
                <w:szCs w:val="20"/>
              </w:rPr>
              <w:t xml:space="preserve">Best estimate / slightly prudent</w:t>
            </w:r>
          </w:p>
        </w:tc>
        <w:tc>
          <w:tcPr>
            <w:tcW w:type="dxa" w:w="376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80"/>
            </w:tcMar>
          </w:tcPr>
          <w:p>
            <w:r>
              <w:rPr>
                <w:sz w:val="20"/>
                <w:szCs w:val="20"/>
              </w:rPr>
              <w:t xml:space="preserve">True and fair view</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b/>
                <w:bCs/>
                <w:sz w:val="20"/>
                <w:szCs w:val="20"/>
              </w:rPr>
              <w:t xml:space="preserve">Supervisory / solvency</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sz w:val="20"/>
                <w:szCs w:val="20"/>
              </w:rPr>
              <w:t xml:space="preserve">Most prudent (or BE + explicit risk allowance)</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sz w:val="20"/>
                <w:szCs w:val="20"/>
              </w:rPr>
              <w:t xml:space="preserve">Protect policyholders</w:t>
            </w:r>
          </w:p>
        </w:tc>
      </w:tr>
      <w:tr>
        <w:tc>
          <w:tcPr>
            <w:tcW w:type="dxa" w:w="32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80"/>
            </w:tcMar>
          </w:tcPr>
          <w:p>
            <w:r>
              <w:rPr>
                <w:b/>
                <w:bCs/>
                <w:sz w:val="20"/>
                <w:szCs w:val="20"/>
              </w:rPr>
              <w:t xml:space="preserve">Internal management</w:t>
            </w:r>
          </w:p>
        </w:tc>
        <w:tc>
          <w:tcPr>
            <w:tcW w:type="dxa" w:w="24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80"/>
            </w:tcMar>
          </w:tcPr>
          <w:p>
            <w:r>
              <w:rPr>
                <w:sz w:val="20"/>
                <w:szCs w:val="20"/>
              </w:rPr>
              <w:t xml:space="preserve">Best estimate (very small margin)</w:t>
            </w:r>
          </w:p>
        </w:tc>
        <w:tc>
          <w:tcPr>
            <w:tcW w:type="dxa" w:w="376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80"/>
            </w:tcMar>
          </w:tcPr>
          <w:p>
            <w:r>
              <w:rPr>
                <w:sz w:val="20"/>
                <w:szCs w:val="20"/>
              </w:rPr>
              <w:t xml:space="preserve">Realistic view; sensitivity testing</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b/>
                <w:bCs/>
                <w:sz w:val="20"/>
                <w:szCs w:val="20"/>
              </w:rPr>
              <w:t xml:space="preserve">Premium rating</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sz w:val="20"/>
                <w:szCs w:val="20"/>
              </w:rPr>
              <w:t xml:space="preserve">Best estimate / slightly prudent</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sz w:val="20"/>
                <w:szCs w:val="20"/>
              </w:rPr>
              <w:t xml:space="preserve">Base for future pricing</w:t>
            </w:r>
          </w:p>
        </w:tc>
      </w:tr>
      <w:tr>
        <w:tc>
          <w:tcPr>
            <w:tcW w:type="dxa" w:w="32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80"/>
            </w:tcMar>
          </w:tcPr>
          <w:p>
            <w:r>
              <w:rPr>
                <w:b/>
                <w:bCs/>
                <w:sz w:val="20"/>
                <w:szCs w:val="20"/>
              </w:rPr>
              <w:t xml:space="preserve">M&amp;A valuation</w:t>
            </w:r>
          </w:p>
        </w:tc>
        <w:tc>
          <w:tcPr>
            <w:tcW w:type="dxa" w:w="24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80"/>
            </w:tcMar>
          </w:tcPr>
          <w:p>
            <w:r>
              <w:rPr>
                <w:sz w:val="20"/>
                <w:szCs w:val="20"/>
              </w:rPr>
              <w:t xml:space="preserve">Close to BE: optimistic for seller, prudent for buyer</w:t>
            </w:r>
          </w:p>
        </w:tc>
        <w:tc>
          <w:tcPr>
            <w:tcW w:type="dxa" w:w="376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80"/>
            </w:tcMar>
          </w:tcPr>
          <w:p>
            <w:r>
              <w:rPr>
                <w:sz w:val="20"/>
                <w:szCs w:val="20"/>
              </w:rPr>
              <w:t xml:space="preserve">Starting point is EV; goodwill added for appraisal value</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b/>
                <w:bCs/>
                <w:sz w:val="20"/>
                <w:szCs w:val="20"/>
              </w:rPr>
              <w:t xml:space="preserve">Investment strategy</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sz w:val="20"/>
                <w:szCs w:val="20"/>
              </w:rPr>
              <w:t xml:space="preserve">Best estimate</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sz w:val="20"/>
                <w:szCs w:val="20"/>
              </w:rPr>
              <w:t xml:space="preserve">Match assets to liabilities</w:t>
            </w:r>
          </w:p>
        </w:tc>
      </w:tr>
      <w:tr>
        <w:tc>
          <w:tcPr>
            <w:tcW w:type="dxa" w:w="32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80"/>
            </w:tcMar>
          </w:tcPr>
          <w:p>
            <w:r>
              <w:rPr>
                <w:b/>
                <w:bCs/>
                <w:sz w:val="20"/>
                <w:szCs w:val="20"/>
              </w:rPr>
              <w:t xml:space="preserve">Reinsurance assessment</w:t>
            </w:r>
          </w:p>
        </w:tc>
        <w:tc>
          <w:tcPr>
            <w:tcW w:type="dxa" w:w="24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80"/>
            </w:tcMar>
          </w:tcPr>
          <w:p>
            <w:r>
              <w:rPr>
                <w:sz w:val="20"/>
                <w:szCs w:val="20"/>
              </w:rPr>
              <w:t xml:space="preserve">Best estimate</w:t>
            </w:r>
          </w:p>
        </w:tc>
        <w:tc>
          <w:tcPr>
            <w:tcW w:type="dxa" w:w="376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80"/>
            </w:tcMar>
          </w:tcPr>
          <w:p>
            <w:r>
              <w:rPr>
                <w:sz w:val="20"/>
                <w:szCs w:val="20"/>
              </w:rPr>
              <w:t xml:space="preserve">Realistic view of RI options</w:t>
            </w:r>
          </w:p>
        </w:tc>
      </w:tr>
    </w:tbl>
    <w:p>
      <w:pPr>
        <w:spacing w:after="60" w:before="60"/>
      </w:pPr>
      <w:r>
        <w:t xml:space="preserve"/>
      </w:r>
    </w:p>
    <w:p>
      <w:pPr>
        <w:pStyle w:val="Heading2"/>
        <w:spacing w:after="80" w:before="240"/>
      </w:pPr>
      <w:r>
        <w:rPr>
          <w:b/>
          <w:bCs/>
          <w:color w:val="0E6B6B"/>
        </w:rPr>
        <w:t xml:space="preserve">2.2  Long-Term Reserve Types (CI / IP / LTCI)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6EAF8" w:val="clear"/>
            <w:tcMar>
              <w:top w:type="dxa" w:w="80"/>
              <w:left w:type="dxa" w:w="160"/>
              <w:bottom w:type="dxa" w:w="80"/>
              <w:right w:type="dxa" w:w="120"/>
            </w:tcMar>
          </w:tcPr>
          <w:p>
            <w:r>
              <w:rPr>
                <w:b/>
                <w:bCs/>
                <w:sz w:val="21"/>
                <w:szCs w:val="21"/>
              </w:rPr>
              <w:t xml:space="preserve">Reserve Type</w:t>
            </w:r>
          </w:p>
          <w:p>
            <w:r>
              <w:rPr>
                <w:b/>
                <w:bCs/>
                <w:color w:val="1B3A6B"/>
                <w:sz w:val="21"/>
                <w:szCs w:val="21"/>
              </w:rPr>
              <w:t xml:space="preserve">Policy Reserve (Active Life Reserve)</w:t>
            </w:r>
          </w:p>
          <w:p>
            <w:r>
              <w:rPr>
                <w:sz w:val="20"/>
                <w:szCs w:val="20"/>
              </w:rPr>
              <w:t xml:space="preserve">EPV future claims + expenses − EPV future premiums. Held when future outgo &gt; future income.</w:t>
            </w:r>
          </w:p>
          <w:p>
            <w:pPr>
              <w:spacing w:after="60" w:before="60"/>
            </w:pPr>
            <w:r>
              <w:t xml:space="preserve"/>
            </w:r>
          </w:p>
          <w:p>
            <w:r>
              <w:rPr>
                <w:b/>
                <w:bCs/>
                <w:color w:val="1B3A6B"/>
                <w:sz w:val="21"/>
                <w:szCs w:val="21"/>
              </w:rPr>
              <w:t xml:space="preserve">IBNR — Incurred But Not Reported</w:t>
            </w:r>
          </w:p>
          <w:p>
            <w:r>
              <w:rPr>
                <w:sz w:val="20"/>
                <w:szCs w:val="20"/>
              </w:rPr>
              <w:t xml:space="preserve">Claims arising but not yet notified. Special risk for CI: policyholders may learn of cover years after the event (late notification increasingly common as CI definitions expand).</w:t>
            </w:r>
          </w:p>
          <w:p>
            <w:pPr>
              <w:spacing w:after="60" w:before="60"/>
            </w:pPr>
            <w:r>
              <w:t xml:space="preserve"/>
            </w:r>
          </w:p>
          <w:p>
            <w:r>
              <w:rPr>
                <w:b/>
                <w:bCs/>
                <w:color w:val="1B3A6B"/>
                <w:sz w:val="21"/>
                <w:szCs w:val="21"/>
              </w:rPr>
              <w:t xml:space="preserve">RBNS — Reported But Not Settled</w:t>
            </w:r>
          </w:p>
          <w:p>
            <w:r>
              <w:rPr>
                <w:sz w:val="20"/>
                <w:szCs w:val="20"/>
              </w:rPr>
              <w:t xml:space="preserve">Claims notified, in assessment or in payment (e.g. IP claim in deferred period; CI in assessment period).</w:t>
            </w:r>
          </w:p>
          <w:p>
            <w:pPr>
              <w:spacing w:after="60" w:before="60"/>
            </w:pPr>
            <w:r>
              <w:t xml:space="preserve"/>
            </w:r>
          </w:p>
          <w:p>
            <w:r>
              <w:rPr>
                <w:b/>
                <w:bCs/>
                <w:color w:val="1B3A6B"/>
                <w:sz w:val="21"/>
                <w:szCs w:val="21"/>
              </w:rPr>
              <w:t xml:space="preserve">Option Reserve</w:t>
            </w:r>
          </w:p>
          <w:p>
            <w:r>
              <w:rPr>
                <w:sz w:val="20"/>
                <w:szCs w:val="20"/>
              </w:rPr>
              <w:t xml:space="preserve">Set aside when an option 'comes into the money'. Example: guaranteed conversion options on CI policies.</w:t>
            </w:r>
          </w:p>
          <w:p>
            <w:pPr>
              <w:spacing w:after="60" w:before="60"/>
            </w:pPr>
            <w:r>
              <w:t xml:space="preserve"/>
            </w:r>
          </w:p>
          <w:p>
            <w:r>
              <w:rPr>
                <w:b/>
                <w:bCs/>
                <w:color w:val="1B3A6B"/>
                <w:sz w:val="21"/>
                <w:szCs w:val="21"/>
              </w:rPr>
              <w:t xml:space="preserve">Disabled Life Reserve</w:t>
            </w:r>
          </w:p>
          <w:p>
            <w:r>
              <w:rPr>
                <w:sz w:val="20"/>
                <w:szCs w:val="20"/>
              </w:rPr>
              <w:t xml:space="preserve">Reserve for policyholders currently claiming (IP, LTCI). Income duration unknown → statistical or stochastic models.</w:t>
            </w:r>
          </w:p>
          <w:p>
            <w:pPr>
              <w:spacing w:after="60" w:before="60"/>
            </w:pPr>
            <w:r>
              <w:t xml:space="preserve"/>
            </w:r>
          </w:p>
          <w:p>
            <w:r>
              <w:rPr>
                <w:b/>
                <w:bCs/>
                <w:color w:val="1B3A6B"/>
                <w:sz w:val="21"/>
                <w:szCs w:val="21"/>
              </w:rPr>
              <w:t xml:space="preserve">Investment Mismatching Reserve</w:t>
            </w:r>
          </w:p>
          <w:p>
            <w:r>
              <w:rPr>
                <w:sz w:val="20"/>
                <w:szCs w:val="20"/>
              </w:rPr>
              <w:t xml:space="preserve">Required in some territories where assets don't match liabilities.</w:t>
            </w:r>
          </w:p>
          <w:p>
            <w:pPr>
              <w:spacing w:after="60" w:before="60"/>
            </w:pPr>
            <w:r>
              <w:t xml:space="preserve"/>
            </w:r>
          </w:p>
        </w:tc>
        <w:tc>
          <w:tcPr>
            <w:tcW w:type="dxa" w:w="4680"/>
            <w:tcBorders>
              <w:top w:val="single" w:color="CCCCCC" w:sz="1"/>
              <w:left w:val="single" w:color="CCCCCC" w:sz="1"/>
              <w:bottom w:val="single" w:color="CCCCCC" w:sz="1"/>
              <w:right w:val="single" w:color="CCCCCC" w:sz="1"/>
            </w:tcBorders>
            <w:shd w:fill="F0F4F8" w:val="clear"/>
            <w:tcMar>
              <w:top w:type="dxa" w:w="80"/>
              <w:left w:type="dxa" w:w="160"/>
              <w:bottom w:type="dxa" w:w="80"/>
              <w:right w:type="dxa" w:w="120"/>
            </w:tcMar>
          </w:tcPr>
          <w:p>
            <w:r>
              <w:rPr>
                <w:b/>
                <w:bCs/>
                <w:sz w:val="21"/>
                <w:szCs w:val="21"/>
              </w:rPr>
              <w:t xml:space="preserve">Key Notes</w:t>
            </w:r>
          </w:p>
          <w:p>
            <w:pPr>
              <w:spacing w:after="60" w:before="40"/>
            </w:pPr>
            <w:r>
              <w:rPr>
                <w:sz w:val="22"/>
                <w:szCs w:val="22"/>
              </w:rPr>
              <w:t xml:space="preserve">Active life reserves = reserves for policyholders NOT yet claiming.</w:t>
            </w:r>
          </w:p>
          <w:p>
            <w:pPr>
              <w:spacing w:after="60" w:before="40"/>
            </w:pPr>
            <w:r>
              <w:rPr>
                <w:sz w:val="22"/>
                <w:szCs w:val="22"/>
              </w:rPr>
              <w:t xml:space="preserve">Disabled life reserves = reserves for policyholders CURRENTLY claiming.</w:t>
            </w:r>
          </w:p>
          <w:p>
            <w:pPr>
              <w:spacing w:after="60" w:before="40"/>
            </w:pPr>
            <w:r>
              <w:rPr>
                <w:sz w:val="22"/>
                <w:szCs w:val="22"/>
              </w:rPr>
              <w:t xml:space="preserve">May be ONE combined reserve in practice depending on reporting regulations.</w:t>
            </w:r>
          </w:p>
          <w:p>
            <w:pPr>
              <w:spacing w:after="60" w:before="40"/>
            </w:pPr>
            <w:r>
              <w:rPr>
                <w:sz w:val="22"/>
                <w:szCs w:val="22"/>
              </w:rPr>
              <w:t xml:space="preserve">For group business: UPR + URR also apply (same as short-term).</w:t>
            </w:r>
          </w:p>
          <w:p>
            <w:pPr>
              <w:spacing w:after="60" w:before="60"/>
            </w:pPr>
            <w:r>
              <w:t xml:space="preserve"/>
            </w:r>
          </w:p>
          <w:p>
            <w:r>
              <w:rPr>
                <w:b/>
                <w:bCs/>
                <w:color w:val="C0392B"/>
                <w:sz w:val="21"/>
                <w:szCs w:val="21"/>
              </w:rPr>
              <w:t xml:space="preserve">CI Late Notification Risk:</w:t>
            </w:r>
          </w:p>
          <w:p>
            <w:pPr>
              <w:spacing w:after="60" w:before="40"/>
            </w:pPr>
            <w:r>
              <w:rPr>
                <w:sz w:val="22"/>
                <w:szCs w:val="22"/>
              </w:rPr>
              <w:t xml:space="preserve">Unlike mortality claims, CI policyholders sometimes only learn about their cover years after diagnosis when brokers or consumer groups publicise it. This means IBNR for CI can be larger and harder to estimate than for other long-term products.</w:t>
            </w:r>
          </w:p>
        </w:tc>
      </w:tr>
    </w:tbl>
    <w:p>
      <w:pPr>
        <w:spacing w:after="60" w:before="60"/>
      </w:pPr>
      <w:r>
        <w:t xml:space="preserve"/>
      </w:r>
    </w:p>
    <w:p>
      <w:pPr>
        <w:pStyle w:val="Heading2"/>
        <w:spacing w:after="80" w:before="240"/>
      </w:pPr>
      <w:r>
        <w:rPr>
          <w:b/>
          <w:bCs/>
          <w:color w:val="0E6B6B"/>
        </w:rPr>
        <w:t xml:space="preserve">2.3  Short-Term Reserve Types (PMI — IRDAI/Solvency II)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760"/>
        <w:gridCol w:w="3400"/>
      </w:tblGrid>
      <w:tr>
        <w:trPr>
          <w:tblHeader/>
        </w:trPr>
        <w:tc>
          <w:tcPr>
            <w:tcW w:type="dxa" w:w="2200"/>
            <w:tcBorders>
              <w:top w:val="single" w:color="CCCCCC" w:sz="1"/>
              <w:left w:val="single" w:color="CCCCCC" w:sz="1"/>
              <w:bottom w:val="single" w:color="CCCCCC" w:sz="1"/>
              <w:right w:val="single" w:color="CCCCCC" w:sz="1"/>
            </w:tcBorders>
            <w:shd w:fill="0E6B6B" w:val="clear"/>
            <w:tcMar>
              <w:top w:type="dxa" w:w="80"/>
              <w:left w:type="dxa" w:w="120"/>
              <w:bottom w:type="dxa" w:w="80"/>
              <w:right w:type="dxa" w:w="80"/>
            </w:tcMar>
          </w:tcPr>
          <w:p>
            <w:r>
              <w:rPr>
                <w:b/>
                <w:bCs/>
                <w:color w:val="FFFFFF"/>
                <w:sz w:val="20"/>
                <w:szCs w:val="20"/>
              </w:rPr>
              <w:t xml:space="preserve">Reserve</w:t>
            </w:r>
          </w:p>
        </w:tc>
        <w:tc>
          <w:tcPr>
            <w:tcW w:type="dxa" w:w="3760"/>
            <w:tcBorders>
              <w:top w:val="single" w:color="CCCCCC" w:sz="1"/>
              <w:left w:val="single" w:color="CCCCCC" w:sz="1"/>
              <w:bottom w:val="single" w:color="CCCCCC" w:sz="1"/>
              <w:right w:val="single" w:color="CCCCCC" w:sz="1"/>
            </w:tcBorders>
            <w:shd w:fill="0E6B6B" w:val="clear"/>
            <w:tcMar>
              <w:top w:type="dxa" w:w="80"/>
              <w:left w:type="dxa" w:w="120"/>
              <w:bottom w:type="dxa" w:w="80"/>
              <w:right w:type="dxa" w:w="80"/>
            </w:tcMar>
          </w:tcPr>
          <w:p>
            <w:r>
              <w:rPr>
                <w:b/>
                <w:bCs/>
                <w:color w:val="FFFFFF"/>
                <w:sz w:val="20"/>
                <w:szCs w:val="20"/>
              </w:rPr>
              <w:t xml:space="preserve">Definition</w:t>
            </w:r>
          </w:p>
        </w:tc>
        <w:tc>
          <w:tcPr>
            <w:tcW w:type="dxa" w:w="3400"/>
            <w:tcBorders>
              <w:top w:val="single" w:color="CCCCCC" w:sz="1"/>
              <w:left w:val="single" w:color="CCCCCC" w:sz="1"/>
              <w:bottom w:val="single" w:color="CCCCCC" w:sz="1"/>
              <w:right w:val="single" w:color="CCCCCC" w:sz="1"/>
            </w:tcBorders>
            <w:shd w:fill="0E6B6B" w:val="clear"/>
            <w:tcMar>
              <w:top w:type="dxa" w:w="80"/>
              <w:left w:type="dxa" w:w="120"/>
              <w:bottom w:type="dxa" w:w="80"/>
              <w:right w:type="dxa" w:w="80"/>
            </w:tcMar>
          </w:tcPr>
          <w:p>
            <w:r>
              <w:rPr>
                <w:b/>
                <w:bCs/>
                <w:color w:val="FFFFFF"/>
                <w:sz w:val="20"/>
                <w:szCs w:val="20"/>
              </w:rPr>
              <w:t xml:space="preserve">Key Point</w:t>
            </w:r>
          </w:p>
        </w:tc>
      </w:tr>
      <w:tr>
        <w:tc>
          <w:tcPr>
            <w:tcW w:type="dxa" w:w="2200"/>
            <w:tcBorders>
              <w:top w:val="single" w:color="CCCCCC" w:sz="1"/>
              <w:left w:val="single" w:color="CCCCCC" w:sz="1"/>
              <w:bottom w:val="single" w:color="CCCCCC" w:sz="1"/>
              <w:right w:val="single" w:color="CCCCCC" w:sz="1"/>
            </w:tcBorders>
            <w:shd w:fill="D6EAF8" w:val="clear"/>
            <w:tcMar>
              <w:top w:type="dxa" w:w="60"/>
              <w:left w:type="dxa" w:w="120"/>
              <w:bottom w:type="dxa" w:w="60"/>
              <w:right w:type="dxa" w:w="80"/>
            </w:tcMar>
          </w:tcPr>
          <w:p>
            <w:r>
              <w:rPr>
                <w:b/>
                <w:bCs/>
                <w:sz w:val="20"/>
                <w:szCs w:val="20"/>
              </w:rPr>
              <w:t xml:space="preserve">UPR — Unearned Premium Reserve</w:t>
            </w:r>
          </w:p>
        </w:tc>
        <w:tc>
          <w:tcPr>
            <w:tcW w:type="dxa" w:w="3760"/>
            <w:tcBorders>
              <w:top w:val="single" w:color="CCCCCC" w:sz="1"/>
              <w:left w:val="single" w:color="CCCCCC" w:sz="1"/>
              <w:bottom w:val="single" w:color="CCCCCC" w:sz="1"/>
              <w:right w:val="single" w:color="CCCCCC" w:sz="1"/>
            </w:tcBorders>
            <w:shd w:fill="D6EAF8" w:val="clear"/>
            <w:tcMar>
              <w:top w:type="dxa" w:w="60"/>
              <w:left w:type="dxa" w:w="120"/>
              <w:bottom w:type="dxa" w:w="60"/>
              <w:right w:type="dxa" w:w="80"/>
            </w:tcMar>
          </w:tcPr>
          <w:p>
            <w:r>
              <w:rPr>
                <w:sz w:val="20"/>
                <w:szCs w:val="20"/>
              </w:rPr>
              <w:t xml:space="preserve">RETROSPECTIVE. Balance of premiums received for unexpired risk. = (100−m)% × risk-related premium (m% = proportion of risk earned to date).</w:t>
            </w:r>
          </w:p>
        </w:tc>
        <w:tc>
          <w:tcPr>
            <w:tcW w:type="dxa" w:w="3400"/>
            <w:tcBorders>
              <w:top w:val="single" w:color="CCCCCC" w:sz="1"/>
              <w:left w:val="single" w:color="CCCCCC" w:sz="1"/>
              <w:bottom w:val="single" w:color="CCCCCC" w:sz="1"/>
              <w:right w:val="single" w:color="CCCCCC" w:sz="1"/>
            </w:tcBorders>
            <w:shd w:fill="D6EAF8" w:val="clear"/>
            <w:tcMar>
              <w:top w:type="dxa" w:w="60"/>
              <w:left w:type="dxa" w:w="120"/>
              <w:bottom w:type="dxa" w:w="60"/>
              <w:right w:type="dxa" w:w="80"/>
            </w:tcMar>
          </w:tcPr>
          <w:p>
            <w:r>
              <w:rPr>
                <w:sz w:val="20"/>
                <w:szCs w:val="20"/>
              </w:rPr>
              <w:t xml:space="preserve">Excludes initial expenses earned at inception (e.g. commission). Most straightforward reserve for annually renewable PMI.</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b/>
                <w:bCs/>
                <w:sz w:val="20"/>
                <w:szCs w:val="20"/>
              </w:rPr>
              <w:t xml:space="preserve">URR — Unexpired Risk Reserve</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sz w:val="20"/>
                <w:szCs w:val="20"/>
              </w:rPr>
              <w:t xml:space="preserve">PROSPECTIVE. Held when UPR &lt; expected future claims + expenses for unexpired period.</w:t>
            </w:r>
          </w:p>
        </w:tc>
        <w:tc>
          <w:tcPr>
            <w:tcW w:type="dxa" w:w="3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sz w:val="20"/>
                <w:szCs w:val="20"/>
              </w:rPr>
              <w:t xml:space="preserve">If expected loss ratio is rising, URR replaces UPR as the adequate reserve. URR = max(UPR, expected future outgo).</w:t>
            </w:r>
          </w:p>
        </w:tc>
      </w:tr>
      <w:tr>
        <w:tc>
          <w:tcPr>
            <w:tcW w:type="dxa" w:w="2200"/>
            <w:tcBorders>
              <w:top w:val="single" w:color="CCCCCC" w:sz="1"/>
              <w:left w:val="single" w:color="CCCCCC" w:sz="1"/>
              <w:bottom w:val="single" w:color="CCCCCC" w:sz="1"/>
              <w:right w:val="single" w:color="CCCCCC" w:sz="1"/>
            </w:tcBorders>
            <w:shd w:fill="D6EAF8" w:val="clear"/>
            <w:tcMar>
              <w:top w:type="dxa" w:w="60"/>
              <w:left w:type="dxa" w:w="120"/>
              <w:bottom w:type="dxa" w:w="60"/>
              <w:right w:type="dxa" w:w="80"/>
            </w:tcMar>
          </w:tcPr>
          <w:p>
            <w:r>
              <w:rPr>
                <w:b/>
                <w:bCs/>
                <w:sz w:val="20"/>
                <w:szCs w:val="20"/>
              </w:rPr>
              <w:t xml:space="preserve">IBNR</w:t>
            </w:r>
          </w:p>
        </w:tc>
        <w:tc>
          <w:tcPr>
            <w:tcW w:type="dxa" w:w="3760"/>
            <w:tcBorders>
              <w:top w:val="single" w:color="CCCCCC" w:sz="1"/>
              <w:left w:val="single" w:color="CCCCCC" w:sz="1"/>
              <w:bottom w:val="single" w:color="CCCCCC" w:sz="1"/>
              <w:right w:val="single" w:color="CCCCCC" w:sz="1"/>
            </w:tcBorders>
            <w:shd w:fill="D6EAF8" w:val="clear"/>
            <w:tcMar>
              <w:top w:type="dxa" w:w="60"/>
              <w:left w:type="dxa" w:w="120"/>
              <w:bottom w:type="dxa" w:w="60"/>
              <w:right w:type="dxa" w:w="80"/>
            </w:tcMar>
          </w:tcPr>
          <w:p>
            <w:r>
              <w:rPr>
                <w:sz w:val="20"/>
                <w:szCs w:val="20"/>
              </w:rPr>
              <w:t xml:space="preserve">Incurred but not reported. Usually small for PMI (low reporting lag). Calculated via chain ladder run-off triangles.</w:t>
            </w:r>
          </w:p>
        </w:tc>
        <w:tc>
          <w:tcPr>
            <w:tcW w:type="dxa" w:w="3400"/>
            <w:tcBorders>
              <w:top w:val="single" w:color="CCCCCC" w:sz="1"/>
              <w:left w:val="single" w:color="CCCCCC" w:sz="1"/>
              <w:bottom w:val="single" w:color="CCCCCC" w:sz="1"/>
              <w:right w:val="single" w:color="CCCCCC" w:sz="1"/>
            </w:tcBorders>
            <w:shd w:fill="D6EAF8" w:val="clear"/>
            <w:tcMar>
              <w:top w:type="dxa" w:w="60"/>
              <w:left w:type="dxa" w:w="120"/>
              <w:bottom w:type="dxa" w:w="60"/>
              <w:right w:type="dxa" w:w="80"/>
            </w:tcMar>
          </w:tcPr>
          <w:p>
            <w:r>
              <w:rPr>
                <w:sz w:val="20"/>
                <w:szCs w:val="20"/>
              </w:rPr>
              <w:t xml:space="preserve">Must include claims incurred in the period but not yet notified to the insurer.</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b/>
                <w:bCs/>
                <w:sz w:val="20"/>
                <w:szCs w:val="20"/>
              </w:rPr>
              <w:t xml:space="preserve">Claims in Transit</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sz w:val="20"/>
                <w:szCs w:val="20"/>
              </w:rPr>
              <w:t xml:space="preserve">Reported but not assessed or recorded — 'pipeline claims'.</w:t>
            </w:r>
          </w:p>
        </w:tc>
        <w:tc>
          <w:tcPr>
            <w:tcW w:type="dxa" w:w="3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sz w:val="20"/>
                <w:szCs w:val="20"/>
              </w:rPr>
              <w:t xml:space="preserve">Statistical or crude % adjustment. Reflects processing lag between receipt and recording in systems.</w:t>
            </w:r>
          </w:p>
        </w:tc>
      </w:tr>
      <w:tr>
        <w:tc>
          <w:tcPr>
            <w:tcW w:type="dxa" w:w="2200"/>
            <w:tcBorders>
              <w:top w:val="single" w:color="CCCCCC" w:sz="1"/>
              <w:left w:val="single" w:color="CCCCCC" w:sz="1"/>
              <w:bottom w:val="single" w:color="CCCCCC" w:sz="1"/>
              <w:right w:val="single" w:color="CCCCCC" w:sz="1"/>
            </w:tcBorders>
            <w:shd w:fill="D6EAF8" w:val="clear"/>
            <w:tcMar>
              <w:top w:type="dxa" w:w="60"/>
              <w:left w:type="dxa" w:w="120"/>
              <w:bottom w:type="dxa" w:w="60"/>
              <w:right w:type="dxa" w:w="80"/>
            </w:tcMar>
          </w:tcPr>
          <w:p>
            <w:r>
              <w:rPr>
                <w:b/>
                <w:bCs/>
                <w:sz w:val="20"/>
                <w:szCs w:val="20"/>
              </w:rPr>
              <w:t xml:space="preserve">Outstanding Claims Reserve</w:t>
            </w:r>
          </w:p>
        </w:tc>
        <w:tc>
          <w:tcPr>
            <w:tcW w:type="dxa" w:w="3760"/>
            <w:tcBorders>
              <w:top w:val="single" w:color="CCCCCC" w:sz="1"/>
              <w:left w:val="single" w:color="CCCCCC" w:sz="1"/>
              <w:bottom w:val="single" w:color="CCCCCC" w:sz="1"/>
              <w:right w:val="single" w:color="CCCCCC" w:sz="1"/>
            </w:tcBorders>
            <w:shd w:fill="D6EAF8" w:val="clear"/>
            <w:tcMar>
              <w:top w:type="dxa" w:w="60"/>
              <w:left w:type="dxa" w:w="120"/>
              <w:bottom w:type="dxa" w:w="60"/>
              <w:right w:type="dxa" w:w="80"/>
            </w:tcMar>
          </w:tcPr>
          <w:p>
            <w:r>
              <w:rPr>
                <w:sz w:val="20"/>
                <w:szCs w:val="20"/>
              </w:rPr>
              <w:t xml:space="preserve">Notified but not fully settled. Case estimates or statistical methods.</w:t>
            </w:r>
          </w:p>
        </w:tc>
        <w:tc>
          <w:tcPr>
            <w:tcW w:type="dxa" w:w="3400"/>
            <w:tcBorders>
              <w:top w:val="single" w:color="CCCCCC" w:sz="1"/>
              <w:left w:val="single" w:color="CCCCCC" w:sz="1"/>
              <w:bottom w:val="single" w:color="CCCCCC" w:sz="1"/>
              <w:right w:val="single" w:color="CCCCCC" w:sz="1"/>
            </w:tcBorders>
            <w:shd w:fill="D6EAF8" w:val="clear"/>
            <w:tcMar>
              <w:top w:type="dxa" w:w="60"/>
              <w:left w:type="dxa" w:w="120"/>
              <w:bottom w:type="dxa" w:w="60"/>
              <w:right w:type="dxa" w:w="80"/>
            </w:tcMar>
          </w:tcPr>
          <w:p>
            <w:r>
              <w:rPr>
                <w:sz w:val="20"/>
                <w:szCs w:val="20"/>
              </w:rPr>
              <w:t xml:space="preserve">Case estimates useful for large/unusual claims; statistical for bulk.</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b/>
                <w:bCs/>
                <w:sz w:val="20"/>
                <w:szCs w:val="20"/>
              </w:rPr>
              <w:t xml:space="preserve">IBNER</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sz w:val="20"/>
                <w:szCs w:val="20"/>
              </w:rPr>
              <w:t xml:space="preserve">Incurred But Not Enough Reported. Adjustment (+/−) to outstanding claims where past case estimates show systematic bias.</w:t>
            </w:r>
          </w:p>
        </w:tc>
        <w:tc>
          <w:tcPr>
            <w:tcW w:type="dxa" w:w="3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sz w:val="20"/>
                <w:szCs w:val="20"/>
              </w:rPr>
              <w:t xml:space="preserve">Negative IBNER is possible if past estimates were over-prudent.</w:t>
            </w:r>
          </w:p>
        </w:tc>
      </w:tr>
      <w:tr>
        <w:tc>
          <w:tcPr>
            <w:tcW w:type="dxa" w:w="2200"/>
            <w:tcBorders>
              <w:top w:val="single" w:color="CCCCCC" w:sz="1"/>
              <w:left w:val="single" w:color="CCCCCC" w:sz="1"/>
              <w:bottom w:val="single" w:color="CCCCCC" w:sz="1"/>
              <w:right w:val="single" w:color="CCCCCC" w:sz="1"/>
            </w:tcBorders>
            <w:shd w:fill="D6EAF8" w:val="clear"/>
            <w:tcMar>
              <w:top w:type="dxa" w:w="60"/>
              <w:left w:type="dxa" w:w="120"/>
              <w:bottom w:type="dxa" w:w="60"/>
              <w:right w:type="dxa" w:w="80"/>
            </w:tcMar>
          </w:tcPr>
          <w:p>
            <w:r>
              <w:rPr>
                <w:b/>
                <w:bCs/>
                <w:sz w:val="20"/>
                <w:szCs w:val="20"/>
              </w:rPr>
              <w:t xml:space="preserve">Equalisation / Cat Reserve</w:t>
            </w:r>
          </w:p>
        </w:tc>
        <w:tc>
          <w:tcPr>
            <w:tcW w:type="dxa" w:w="3760"/>
            <w:tcBorders>
              <w:top w:val="single" w:color="CCCCCC" w:sz="1"/>
              <w:left w:val="single" w:color="CCCCCC" w:sz="1"/>
              <w:bottom w:val="single" w:color="CCCCCC" w:sz="1"/>
              <w:right w:val="single" w:color="CCCCCC" w:sz="1"/>
            </w:tcBorders>
            <w:shd w:fill="D6EAF8" w:val="clear"/>
            <w:tcMar>
              <w:top w:type="dxa" w:w="60"/>
              <w:left w:type="dxa" w:w="120"/>
              <w:bottom w:type="dxa" w:w="60"/>
              <w:right w:type="dxa" w:w="80"/>
            </w:tcMar>
          </w:tcPr>
          <w:p>
            <w:r>
              <w:rPr>
                <w:sz w:val="20"/>
                <w:szCs w:val="20"/>
              </w:rPr>
              <w:t xml:space="preserve">Reserves against atypical years; smooth profits or provide for future catastrophes.</w:t>
            </w:r>
          </w:p>
        </w:tc>
        <w:tc>
          <w:tcPr>
            <w:tcW w:type="dxa" w:w="3400"/>
            <w:tcBorders>
              <w:top w:val="single" w:color="CCCCCC" w:sz="1"/>
              <w:left w:val="single" w:color="CCCCCC" w:sz="1"/>
              <w:bottom w:val="single" w:color="CCCCCC" w:sz="1"/>
              <w:right w:val="single" w:color="CCCCCC" w:sz="1"/>
            </w:tcBorders>
            <w:shd w:fill="D6EAF8" w:val="clear"/>
            <w:tcMar>
              <w:top w:type="dxa" w:w="60"/>
              <w:left w:type="dxa" w:w="120"/>
              <w:bottom w:type="dxa" w:w="60"/>
              <w:right w:type="dxa" w:w="80"/>
            </w:tcMar>
          </w:tcPr>
          <w:p>
            <w:r>
              <w:rPr>
                <w:sz w:val="20"/>
                <w:szCs w:val="20"/>
              </w:rPr>
              <w:t xml:space="preserve">Legislation and tax treatment vary by country. May receive favourable tax treatment.</w:t>
            </w:r>
          </w:p>
        </w:tc>
      </w:tr>
    </w:tbl>
    <w:p>
      <w:pPr>
        <w:spacing w:after="60" w:before="60"/>
      </w:pPr>
      <w:r>
        <w:t xml:space="preserve"/>
      </w:r>
    </w:p>
    <w:p>
      <w:pPr>
        <w:pStyle w:val="Heading2"/>
        <w:spacing w:after="80" w:before="240"/>
      </w:pPr>
      <w:r>
        <w:rPr>
          <w:b/>
          <w:bCs/>
          <w:color w:val="0E6B6B"/>
        </w:rPr>
        <w:t xml:space="preserve">2.4  Reserving Methods: Case Estimates vs Statistical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ADBD8" w:val="clear"/>
            <w:tcMar>
              <w:top w:type="dxa" w:w="80"/>
              <w:left w:type="dxa" w:w="160"/>
              <w:bottom w:type="dxa" w:w="80"/>
              <w:right w:type="dxa" w:w="120"/>
            </w:tcMar>
          </w:tcPr>
          <w:p>
            <w:r>
              <w:rPr>
                <w:b/>
                <w:bCs/>
                <w:color w:val="C0392B"/>
                <w:sz w:val="22"/>
                <w:szCs w:val="22"/>
              </w:rPr>
              <w:t xml:space="preserve">CASE ESTIMATES</w:t>
            </w:r>
          </w:p>
          <w:p>
            <w:pPr>
              <w:spacing w:after="60" w:before="40"/>
            </w:pPr>
            <w:r>
              <w:rPr>
                <w:sz w:val="22"/>
                <w:szCs w:val="22"/>
              </w:rPr>
              <w:t xml:space="preserve">Claims manager inspects each file individually. Factors considered: procedure type, hospital/surgeon, policy coverage, age/gender/claims history, medical inflation.</w:t>
            </w:r>
          </w:p>
          <w:p>
            <w:r>
              <w:rPr>
                <w:b/>
                <w:bCs/>
                <w:sz w:val="21"/>
                <w:szCs w:val="21"/>
              </w:rPr>
              <w:t xml:space="preserve">Use when:</w:t>
            </w:r>
          </w:p>
          <w:p>
            <w:pPr>
              <w:pStyle w:val="ListParagraph"/>
              <w:numPr>
                <w:ilvl w:val="0"/>
                <w:numId w:val="2"/>
              </w:numPr>
              <w:spacing w:after="40" w:before="40"/>
            </w:pPr>
            <w:r>
              <w:rPr>
                <w:b w:val="false"/>
                <w:bCs w:val="false"/>
                <w:sz w:val="22"/>
                <w:szCs w:val="22"/>
              </w:rPr>
              <w:t xml:space="preserve">Small portfolio or low data volume</w:t>
            </w:r>
          </w:p>
          <w:p>
            <w:pPr>
              <w:pStyle w:val="ListParagraph"/>
              <w:numPr>
                <w:ilvl w:val="0"/>
                <w:numId w:val="2"/>
              </w:numPr>
              <w:spacing w:after="40" w:before="40"/>
            </w:pPr>
            <w:r>
              <w:rPr>
                <w:b w:val="false"/>
                <w:bCs w:val="false"/>
                <w:sz w:val="22"/>
                <w:szCs w:val="22"/>
              </w:rPr>
              <w:t xml:space="preserve">Large or unusual claims that distort statistical averages</w:t>
            </w:r>
          </w:p>
          <w:p>
            <w:pPr>
              <w:pStyle w:val="ListParagraph"/>
              <w:numPr>
                <w:ilvl w:val="0"/>
                <w:numId w:val="2"/>
              </w:numPr>
              <w:spacing w:after="40" w:before="40"/>
            </w:pPr>
            <w:r>
              <w:rPr>
                <w:b w:val="false"/>
                <w:bCs w:val="false"/>
                <w:sz w:val="22"/>
                <w:szCs w:val="22"/>
              </w:rPr>
              <w:t xml:space="preserve">IBNR cannot be estimated by case approach</w:t>
            </w:r>
          </w:p>
          <w:p>
            <w:r>
              <w:rPr>
                <w:b/>
                <w:bCs/>
                <w:sz w:val="21"/>
                <w:szCs w:val="21"/>
              </w:rPr>
              <w:t xml:space="preserve">Risks:</w:t>
            </w:r>
          </w:p>
          <w:p>
            <w:pPr>
              <w:pStyle w:val="ListParagraph"/>
              <w:numPr>
                <w:ilvl w:val="0"/>
                <w:numId w:val="2"/>
              </w:numPr>
              <w:spacing w:after="40" w:before="40"/>
            </w:pPr>
            <w:r>
              <w:rPr>
                <w:b w:val="false"/>
                <w:bCs w:val="false"/>
                <w:sz w:val="22"/>
                <w:szCs w:val="22"/>
              </w:rPr>
              <w:t xml:space="preserve">Skill-dependent; assessor bias (conservative/optimistic/negotiation)</w:t>
            </w:r>
          </w:p>
          <w:p>
            <w:pPr>
              <w:pStyle w:val="ListParagraph"/>
              <w:numPr>
                <w:ilvl w:val="0"/>
                <w:numId w:val="2"/>
              </w:numPr>
              <w:spacing w:after="40" w:before="40"/>
            </w:pPr>
            <w:r>
              <w:rPr>
                <w:b w:val="false"/>
                <w:bCs w:val="false"/>
                <w:sz w:val="22"/>
                <w:szCs w:val="22"/>
              </w:rPr>
              <w:t xml:space="preserve">Expensive; hard to independently check</w:t>
            </w:r>
          </w:p>
          <w:p>
            <w:pPr>
              <w:pStyle w:val="ListParagraph"/>
              <w:numPr>
                <w:ilvl w:val="0"/>
                <w:numId w:val="2"/>
              </w:numPr>
              <w:spacing w:after="40" w:before="40"/>
            </w:pPr>
            <w:r>
              <w:rPr>
                <w:b w:val="false"/>
                <w:bCs w:val="false"/>
                <w:sz w:val="22"/>
                <w:szCs w:val="22"/>
              </w:rPr>
              <w:t xml:space="preserve">Inconsistent medical inflation rates across files</w:t>
            </w:r>
          </w:p>
        </w:tc>
        <w:tc>
          <w:tcPr>
            <w:tcW w:type="dxa" w:w="4680"/>
            <w:tcBorders>
              <w:top w:val="single" w:color="CCCCCC" w:sz="1"/>
              <w:left w:val="single" w:color="CCCCCC" w:sz="1"/>
              <w:bottom w:val="single" w:color="CCCCCC" w:sz="1"/>
              <w:right w:val="single" w:color="CCCCCC" w:sz="1"/>
            </w:tcBorders>
            <w:shd w:fill="D6EAF8" w:val="clear"/>
            <w:tcMar>
              <w:top w:type="dxa" w:w="80"/>
              <w:left w:type="dxa" w:w="160"/>
              <w:bottom w:type="dxa" w:w="80"/>
              <w:right w:type="dxa" w:w="120"/>
            </w:tcMar>
          </w:tcPr>
          <w:p>
            <w:r>
              <w:rPr>
                <w:b/>
                <w:bCs/>
                <w:color w:val="0E6B6B"/>
                <w:sz w:val="22"/>
                <w:szCs w:val="22"/>
              </w:rPr>
              <w:t xml:space="preserve">STATISTICAL METHODS</w:t>
            </w:r>
          </w:p>
          <w:p>
            <w:pPr>
              <w:spacing w:after="60" w:before="40"/>
            </w:pPr>
            <w:r>
              <w:rPr>
                <w:sz w:val="22"/>
                <w:szCs w:val="22"/>
              </w:rPr>
              <w:t xml:space="preserve">Homogeneous cohorts assessed using historical trends. Chain ladder run-off triangles primary technique. Segment by contract type, distribution channel, geography.</w:t>
            </w:r>
          </w:p>
          <w:p>
            <w:r>
              <w:rPr>
                <w:b/>
                <w:bCs/>
                <w:sz w:val="21"/>
                <w:szCs w:val="21"/>
              </w:rPr>
              <w:t xml:space="preserve">Use when:</w:t>
            </w:r>
          </w:p>
          <w:p>
            <w:pPr>
              <w:pStyle w:val="ListParagraph"/>
              <w:numPr>
                <w:ilvl w:val="0"/>
                <w:numId w:val="2"/>
              </w:numPr>
              <w:spacing w:after="40" w:before="40"/>
            </w:pPr>
            <w:r>
              <w:rPr>
                <w:b w:val="false"/>
                <w:bCs w:val="false"/>
                <w:sz w:val="22"/>
                <w:szCs w:val="22"/>
              </w:rPr>
              <w:t xml:space="preserve">Large, stable, homogeneous PMI portfolio</w:t>
            </w:r>
          </w:p>
          <w:p>
            <w:pPr>
              <w:pStyle w:val="ListParagraph"/>
              <w:numPr>
                <w:ilvl w:val="0"/>
                <w:numId w:val="2"/>
              </w:numPr>
              <w:spacing w:after="40" w:before="40"/>
            </w:pPr>
            <w:r>
              <w:rPr>
                <w:b w:val="false"/>
                <w:bCs w:val="false"/>
                <w:sz w:val="22"/>
                <w:szCs w:val="22"/>
              </w:rPr>
              <w:t xml:space="preserve">Sufficient historical data for credible triangles</w:t>
            </w:r>
          </w:p>
          <w:p>
            <w:pPr>
              <w:pStyle w:val="ListParagraph"/>
              <w:numPr>
                <w:ilvl w:val="0"/>
                <w:numId w:val="2"/>
              </w:numPr>
              <w:spacing w:after="40" w:before="40"/>
            </w:pPr>
            <w:r>
              <w:rPr>
                <w:b w:val="false"/>
                <w:bCs w:val="false"/>
                <w:sz w:val="22"/>
                <w:szCs w:val="22"/>
              </w:rPr>
              <w:t xml:space="preserve">Majority of claims follow predictable patterns</w:t>
            </w:r>
          </w:p>
          <w:p>
            <w:r>
              <w:rPr>
                <w:b/>
                <w:bCs/>
                <w:sz w:val="21"/>
                <w:szCs w:val="21"/>
              </w:rPr>
              <w:t xml:space="preserve">For long-term products:</w:t>
            </w:r>
          </w:p>
          <w:p>
            <w:pPr>
              <w:pStyle w:val="ListParagraph"/>
              <w:numPr>
                <w:ilvl w:val="0"/>
                <w:numId w:val="2"/>
              </w:numPr>
              <w:spacing w:after="40" w:before="40"/>
            </w:pPr>
            <w:r>
              <w:rPr>
                <w:b w:val="false"/>
                <w:bCs w:val="false"/>
                <w:sz w:val="22"/>
                <w:szCs w:val="22"/>
              </w:rPr>
              <w:t xml:space="preserve">CI: benefit amount known once claim accepted → statistical for volume</w:t>
            </w:r>
          </w:p>
          <w:p>
            <w:pPr>
              <w:pStyle w:val="ListParagraph"/>
              <w:numPr>
                <w:ilvl w:val="0"/>
                <w:numId w:val="2"/>
              </w:numPr>
              <w:spacing w:after="40" w:before="40"/>
            </w:pPr>
            <w:r>
              <w:rPr>
                <w:b w:val="false"/>
                <w:bCs w:val="false"/>
                <w:sz w:val="22"/>
                <w:szCs w:val="22"/>
              </w:rPr>
              <w:t xml:space="preserve">IP/LTCI: income duration unknown → stochastic or multi-state models for future claims outgo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b/>
                <w:bCs/>
                <w:color w:val="FFFFFF"/>
                <w:sz w:val="20"/>
                <w:szCs w:val="20"/>
              </w:rPr>
              <w:t xml:space="preserve">PRACTICE TIP</w:t>
            </w:r>
          </w:p>
        </w:tc>
        <w:tc>
          <w:tcPr>
            <w:tcW w:type="dxa" w:w="8160"/>
            <w:tcBorders>
              <w:top w:val="single" w:color="CCCCCC" w:sz="1"/>
              <w:left w:val="single" w:color="CCCCCC" w:sz="1"/>
              <w:bottom w:val="single" w:color="CCCCCC" w:sz="1"/>
              <w:right w:val="single" w:color="CCCCCC" w:sz="1"/>
            </w:tcBorders>
            <w:shd w:fill="FEF9E7" w:val="clear"/>
            <w:tcMar>
              <w:top w:type="dxa" w:w="80"/>
              <w:left w:type="dxa" w:w="160"/>
              <w:bottom w:type="dxa" w:w="80"/>
              <w:right w:type="dxa" w:w="120"/>
            </w:tcMar>
          </w:tcPr>
          <w:p>
            <w:r>
              <w:rPr>
                <w:sz w:val="21"/>
                <w:szCs w:val="21"/>
              </w:rPr>
              <w:t xml:space="preserve">In practice: statistical method for bulk of claims + case estimates for large/unusual outliers (especially important for smaller PMI insurers).</w:t>
            </w:r>
          </w:p>
        </w:tc>
      </w:tr>
    </w:tbl>
    <w:p>
      <w:pPr>
        <w:spacing w:after="60" w:before="60"/>
      </w:pPr>
      <w:r>
        <w:t xml:space="preserve"/>
      </w:r>
    </w:p>
    <w:p>
      <w:r>
        <w:br w:type="page"/>
      </w:r>
    </w:p>
    <w:p>
      <w:pPr>
        <w:pStyle w:val="Heading1"/>
        <w:pBdr>
          <w:bottom w:val="single" w:color="1B3A6B" w:sz="6" w:space="4"/>
        </w:pBdr>
        <w:spacing w:after="120" w:before="360"/>
      </w:pPr>
      <w:r>
        <w:rPr>
          <w:b/>
          <w:bCs/>
          <w:color w:val="1B3A6B"/>
        </w:rPr>
        <w:t xml:space="preserve">BLOCK 3 — SOLVENCY II: THE BALANCE SHEET</w:t>
      </w:r>
    </w:p>
    <w:p>
      <w:pPr>
        <w:spacing w:after="60" w:before="40"/>
      </w:pPr>
      <w:r>
        <w:rPr>
          <w:sz w:val="22"/>
          <w:szCs w:val="22"/>
        </w:rPr>
        <w:t xml:space="preserve">Solvency II is the most exam-tested framework in SA1. Master the three-pillar structure, then drill into Pillar 1 quantitative requirements.</w:t>
      </w:r>
    </w:p>
    <w:p>
      <w:pPr>
        <w:spacing w:after="60" w:before="60"/>
      </w:pPr>
      <w:r>
        <w:t xml:space="preserve"/>
      </w:r>
    </w:p>
    <w:p>
      <w:pPr>
        <w:pStyle w:val="Heading2"/>
        <w:spacing w:after="80" w:before="240"/>
      </w:pPr>
      <w:r>
        <w:rPr>
          <w:b/>
          <w:bCs/>
          <w:color w:val="0E6B6B"/>
        </w:rPr>
        <w:t xml:space="preserve">3.1  The Three-Pillar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D6EAF8" w:val="clear"/>
            <w:tcMar>
              <w:top w:type="dxa" w:w="80"/>
              <w:left w:type="dxa" w:w="160"/>
              <w:bottom w:type="dxa" w:w="80"/>
              <w:right w:type="dxa" w:w="120"/>
            </w:tcMar>
          </w:tcPr>
          <w:p>
            <w:r>
              <w:rPr>
                <w:b/>
                <w:bCs/>
                <w:color w:val="1B3A6B"/>
                <w:sz w:val="22"/>
                <w:szCs w:val="22"/>
              </w:rPr>
              <w:t xml:space="preserve">PILLAR 1</w:t>
            </w:r>
          </w:p>
          <w:p>
            <w:r>
              <w:rPr>
                <w:i/>
                <w:iCs/>
                <w:color w:val="1B3A6B"/>
                <w:sz w:val="20"/>
                <w:szCs w:val="20"/>
              </w:rPr>
              <w:t xml:space="preserve">Quantitative</w:t>
            </w:r>
          </w:p>
          <w:p>
            <w:pPr>
              <w:spacing w:after="60" w:before="40"/>
            </w:pPr>
            <w:r>
              <w:rPr>
                <w:sz w:val="22"/>
                <w:szCs w:val="22"/>
              </w:rPr>
              <w:t xml:space="preserve">Market-consistent balance sheet. Technical Provisions = BEL + Risk Margin. Solvency Capital Requirement (SCR). Minimum Capital Requirement (MCR). Valuation of assets, liabilities and own funds.</w:t>
            </w:r>
          </w:p>
        </w:tc>
        <w:tc>
          <w:tcPr>
            <w:tcW w:type="dxa" w:w="3120"/>
            <w:tcBorders>
              <w:top w:val="single" w:color="CCCCCC" w:sz="1"/>
              <w:left w:val="single" w:color="CCCCCC" w:sz="1"/>
              <w:bottom w:val="single" w:color="CCCCCC" w:sz="1"/>
              <w:right w:val="single" w:color="CCCCCC" w:sz="1"/>
            </w:tcBorders>
            <w:shd w:fill="D5F5E3" w:val="clear"/>
            <w:tcMar>
              <w:top w:type="dxa" w:w="80"/>
              <w:left w:type="dxa" w:w="160"/>
              <w:bottom w:type="dxa" w:w="80"/>
              <w:right w:type="dxa" w:w="120"/>
            </w:tcMar>
          </w:tcPr>
          <w:p>
            <w:r>
              <w:rPr>
                <w:b/>
                <w:bCs/>
                <w:color w:val="0E6B6B"/>
                <w:sz w:val="22"/>
                <w:szCs w:val="22"/>
              </w:rPr>
              <w:t xml:space="preserve">PILLAR 2</w:t>
            </w:r>
          </w:p>
          <w:p>
            <w:r>
              <w:rPr>
                <w:i/>
                <w:iCs/>
                <w:color w:val="0E6B6B"/>
                <w:sz w:val="20"/>
                <w:szCs w:val="20"/>
              </w:rPr>
              <w:t xml:space="preserve">Qualitative</w:t>
            </w:r>
          </w:p>
          <w:p>
            <w:pPr>
              <w:spacing w:after="60" w:before="40"/>
            </w:pPr>
            <w:r>
              <w:rPr>
                <w:sz w:val="22"/>
                <w:szCs w:val="22"/>
              </w:rPr>
              <w:t xml:space="preserve">Governance: Board responsible for SII compliance. Four key functions: Risk Management, Actuarial, Compliance, Internal Audit. ORSA — Own Risk &amp; Solvency Assessment (identifies all risks; quantifies MCR/SCR ability over 3-5yr horizon; embedded in strategic decisions).</w:t>
            </w:r>
          </w:p>
        </w:tc>
        <w:tc>
          <w:tcPr>
            <w:tcW w:type="dxa" w:w="3120"/>
            <w:tcBorders>
              <w:top w:val="single" w:color="CCCCCC" w:sz="1"/>
              <w:left w:val="single" w:color="CCCCCC" w:sz="1"/>
              <w:bottom w:val="single" w:color="CCCCCC" w:sz="1"/>
              <w:right w:val="single" w:color="CCCCCC" w:sz="1"/>
            </w:tcBorders>
            <w:shd w:fill="FEF9E7" w:val="clear"/>
            <w:tcMar>
              <w:top w:type="dxa" w:w="80"/>
              <w:left w:type="dxa" w:w="160"/>
              <w:bottom w:type="dxa" w:w="80"/>
              <w:right w:type="dxa" w:w="120"/>
            </w:tcMar>
          </w:tcPr>
          <w:p>
            <w:r>
              <w:rPr>
                <w:b/>
                <w:bCs/>
                <w:color w:val="B8860B"/>
                <w:sz w:val="22"/>
                <w:szCs w:val="22"/>
              </w:rPr>
              <w:t xml:space="preserve">PILLAR 3</w:t>
            </w:r>
          </w:p>
          <w:p>
            <w:r>
              <w:rPr>
                <w:i/>
                <w:iCs/>
                <w:color w:val="B8860B"/>
                <w:sz w:val="20"/>
                <w:szCs w:val="20"/>
              </w:rPr>
              <w:t xml:space="preserve">Disclosure &amp; Transparency</w:t>
            </w:r>
          </w:p>
          <w:p>
            <w:pPr>
              <w:spacing w:after="60" w:before="40"/>
            </w:pPr>
            <w:r>
              <w:rPr>
                <w:sz w:val="22"/>
                <w:szCs w:val="22"/>
              </w:rPr>
              <w:t xml:space="preserve">RSR (Regular Supervisory Report): private to supervisor, annual. QRT (Quantitative Reporting Templates): annual full + quarterly subset. SFCR (Solvency &amp; Financial Condition Report): public, annual within 3-4 months of year-end.</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b/>
                <w:bCs/>
                <w:color w:val="FFFFFF"/>
                <w:sz w:val="20"/>
                <w:szCs w:val="20"/>
              </w:rPr>
              <w:t xml:space="preserve">EXAM TIP</w:t>
            </w:r>
          </w:p>
        </w:tc>
        <w:tc>
          <w:tcPr>
            <w:tcW w:type="dxa" w:w="8160"/>
            <w:tcBorders>
              <w:top w:val="single" w:color="CCCCCC" w:sz="1"/>
              <w:left w:val="single" w:color="CCCCCC" w:sz="1"/>
              <w:bottom w:val="single" w:color="CCCCCC" w:sz="1"/>
              <w:right w:val="single" w:color="CCCCCC" w:sz="1"/>
            </w:tcBorders>
            <w:shd w:fill="D6EAF8" w:val="clear"/>
            <w:tcMar>
              <w:top w:type="dxa" w:w="80"/>
              <w:left w:type="dxa" w:w="160"/>
              <w:bottom w:type="dxa" w:w="80"/>
              <w:right w:type="dxa" w:w="120"/>
            </w:tcMar>
          </w:tcPr>
          <w:p>
            <w:r>
              <w:rPr>
                <w:sz w:val="21"/>
                <w:szCs w:val="21"/>
              </w:rPr>
              <w:t xml:space="preserve">IAI Apr 2020 Q1(i) [4 marks]: 'Outline each pillar of the three pillars approach under Solvency II.' Each pillar = ~1.3 marks. Cover: Pillar 1 — quantitative, SCR, MCR, TPs. Pillar 2 — governance, ORSA, 4 key functions. Pillar 3 — RSR, QRT, SFCR.</w:t>
            </w:r>
          </w:p>
        </w:tc>
      </w:tr>
    </w:tbl>
    <w:p>
      <w:pPr>
        <w:spacing w:after="60" w:before="60"/>
      </w:pPr>
      <w:r>
        <w:t xml:space="preserve"/>
      </w:r>
    </w:p>
    <w:p>
      <w:pPr>
        <w:pStyle w:val="Heading2"/>
        <w:spacing w:after="80" w:before="240"/>
      </w:pPr>
      <w:r>
        <w:rPr>
          <w:b/>
          <w:bCs/>
          <w:color w:val="0E6B6B"/>
        </w:rPr>
        <w:t xml:space="preserve">3.2  Solvency II Balance Sheet — Asset Valuation</w:t>
      </w:r>
    </w:p>
    <w:p>
      <w:pPr>
        <w:spacing w:after="60" w:before="40"/>
      </w:pPr>
      <w:r>
        <w:rPr>
          <w:sz w:val="22"/>
          <w:szCs w:val="22"/>
        </w:rPr>
        <w:t xml:space="preserve">Three asset components on the Solvency II balance sheet:</w:t>
      </w:r>
    </w:p>
    <w:p>
      <w:pPr>
        <w:pStyle w:val="ListParagraph"/>
        <w:numPr>
          <w:ilvl w:val="0"/>
          <w:numId w:val="2"/>
        </w:numPr>
        <w:spacing w:after="40" w:before="40"/>
      </w:pPr>
      <w:r>
        <w:rPr>
          <w:b/>
          <w:bCs/>
          <w:sz w:val="22"/>
          <w:szCs w:val="22"/>
        </w:rPr>
        <w:t xml:space="preserve">Investments (equities, bonds, property) — market value (quoted) or mark-to-model (unquoted equities, derivatives, property)</w:t>
      </w:r>
    </w:p>
    <w:p>
      <w:pPr>
        <w:pStyle w:val="ListParagraph"/>
        <w:numPr>
          <w:ilvl w:val="0"/>
          <w:numId w:val="2"/>
        </w:numPr>
        <w:spacing w:after="40" w:before="40"/>
      </w:pPr>
      <w:r>
        <w:rPr>
          <w:b w:val="false"/>
          <w:bCs w:val="false"/>
          <w:sz w:val="22"/>
          <w:szCs w:val="22"/>
        </w:rPr>
        <w:t xml:space="preserve">Reinsurance recoveries — shown as an asset (not net of gross liabilities). Adjusted downward for counterparty default risk.</w:t>
      </w:r>
    </w:p>
    <w:p>
      <w:pPr>
        <w:pStyle w:val="ListParagraph"/>
        <w:numPr>
          <w:ilvl w:val="0"/>
          <w:numId w:val="2"/>
        </w:numPr>
        <w:spacing w:after="40" w:before="40"/>
      </w:pPr>
      <w:r>
        <w:rPr>
          <w:b w:val="false"/>
          <w:bCs w:val="false"/>
          <w:sz w:val="22"/>
          <w:szCs w:val="22"/>
        </w:rPr>
        <w:t xml:space="preserve">Participations — companies in which insurer owns ≥20% of voting rights.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b/>
                <w:bCs/>
                <w:color w:val="FFFFFF"/>
                <w:sz w:val="20"/>
                <w:szCs w:val="20"/>
              </w:rPr>
              <w:t xml:space="preserve">PRUDENT PERSON PRINCIPLE</w:t>
            </w:r>
          </w:p>
        </w:tc>
        <w:tc>
          <w:tcPr>
            <w:tcW w:type="dxa" w:w="8160"/>
            <w:tcBorders>
              <w:top w:val="single" w:color="CCCCCC" w:sz="1"/>
              <w:left w:val="single" w:color="CCCCCC" w:sz="1"/>
              <w:bottom w:val="single" w:color="CCCCCC" w:sz="1"/>
              <w:right w:val="single" w:color="CCCCCC" w:sz="1"/>
            </w:tcBorders>
            <w:shd w:fill="D5F5E3" w:val="clear"/>
            <w:tcMar>
              <w:top w:type="dxa" w:w="80"/>
              <w:left w:type="dxa" w:w="160"/>
              <w:bottom w:type="dxa" w:w="80"/>
              <w:right w:type="dxa" w:w="120"/>
            </w:tcMar>
          </w:tcPr>
          <w:p>
            <w:r>
              <w:rPr>
                <w:sz w:val="21"/>
                <w:szCs w:val="21"/>
              </w:rPr>
              <w:t xml:space="preserve">Replaces old admissibility limits. Requires: (1) Assets appropriate to nature and term of liabilities. (2) Chosen in best interests of policyholders. (3) Derivatives only for risk reduction or efficient portfolio management. (4) Properly diversified — not just relying on credit ratings. (5) Key risk indicators are the insurer's own, not only rating agencies'.</w:t>
            </w:r>
          </w:p>
        </w:tc>
      </w:tr>
    </w:tbl>
    <w:p>
      <w:pPr>
        <w:spacing w:after="60" w:before="60"/>
      </w:pPr>
      <w:r>
        <w:t xml:space="preserve"/>
      </w:r>
    </w:p>
    <w:p>
      <w:pPr>
        <w:pStyle w:val="Heading2"/>
        <w:spacing w:after="80" w:before="240"/>
      </w:pPr>
      <w:r>
        <w:rPr>
          <w:b/>
          <w:bCs/>
          <w:color w:val="0E6B6B"/>
        </w:rPr>
        <w:t xml:space="preserve">3.3  Best Estimate Liability (BEL) — The Core Calculation</w:t>
      </w:r>
    </w:p>
    <w:p>
      <w:pPr>
        <w:spacing w:after="60" w:before="40"/>
      </w:pPr>
      <w:r>
        <w:rPr>
          <w:sz w:val="22"/>
          <w:szCs w:val="22"/>
        </w:rPr>
        <w:t xml:space="preserve">The BEL is the present value of expected future cash outflows less cash inflows, discounted at the risk-free rate.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80"/>
            </w:tcMar>
          </w:tcPr>
          <w:p>
            <w:r>
              <w:rPr>
                <w:b/>
                <w:bCs/>
                <w:color w:val="FFFFFF"/>
                <w:sz w:val="20"/>
                <w:szCs w:val="20"/>
              </w:rPr>
              <w:t xml:space="preserve">Feature</w:t>
            </w:r>
          </w:p>
        </w:tc>
        <w:tc>
          <w:tcPr>
            <w:tcW w:type="dxa" w:w="69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80"/>
            </w:tcMar>
          </w:tcPr>
          <w:p>
            <w:r>
              <w:rPr>
                <w:b/>
                <w:bCs/>
                <w:color w:val="FFFFFF"/>
                <w:sz w:val="20"/>
                <w:szCs w:val="20"/>
              </w:rPr>
              <w:t xml:space="preserve">Detail</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80"/>
            </w:tcMar>
          </w:tcPr>
          <w:p>
            <w:r>
              <w:rPr>
                <w:b/>
                <w:bCs/>
                <w:sz w:val="21"/>
                <w:szCs w:val="21"/>
              </w:rPr>
              <w:t xml:space="preserve">Cash flows in</w:t>
            </w:r>
          </w:p>
        </w:tc>
        <w:tc>
          <w:tcPr>
            <w:tcW w:type="dxa" w:w="696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80"/>
            </w:tcMar>
          </w:tcPr>
          <w:p>
            <w:r>
              <w:rPr>
                <w:sz w:val="20"/>
                <w:szCs w:val="20"/>
              </w:rPr>
              <w:t xml:space="preserve">Future premiums receivable, within the contract boundary</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b/>
                <w:bCs/>
                <w:sz w:val="21"/>
                <w:szCs w:val="21"/>
              </w:rPr>
              <w:t xml:space="preserve">Cash flows out</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sz w:val="20"/>
                <w:szCs w:val="20"/>
              </w:rPr>
              <w:t xml:space="preserve">All future benefit payments + expenses (policy admin, claims handling, investment management)</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80"/>
            </w:tcMar>
          </w:tcPr>
          <w:p>
            <w:r>
              <w:rPr>
                <w:b/>
                <w:bCs/>
                <w:sz w:val="21"/>
                <w:szCs w:val="21"/>
              </w:rPr>
              <w:t xml:space="preserve">Assumptions</w:t>
            </w:r>
          </w:p>
        </w:tc>
        <w:tc>
          <w:tcPr>
            <w:tcW w:type="dxa" w:w="696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80"/>
            </w:tcMar>
          </w:tcPr>
          <w:p>
            <w:r>
              <w:rPr>
                <w:sz w:val="20"/>
                <w:szCs w:val="20"/>
              </w:rPr>
              <w:t xml:space="preserve">Best estimate — no prudential margins. No implicit or explicit margins allowed in BEL.</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b/>
                <w:bCs/>
                <w:sz w:val="21"/>
                <w:szCs w:val="21"/>
              </w:rPr>
              <w:t xml:space="preserve">Discount rate</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sz w:val="20"/>
                <w:szCs w:val="20"/>
              </w:rPr>
              <w:t xml:space="preserve">Risk-free yield curve published by EIOPA monthly (swap rates adjusted for credit risk, or government bond rates). SAME curve for all insurers.</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80"/>
            </w:tcMar>
          </w:tcPr>
          <w:p>
            <w:r>
              <w:rPr>
                <w:b/>
                <w:bCs/>
                <w:sz w:val="21"/>
                <w:szCs w:val="21"/>
              </w:rPr>
              <w:t xml:space="preserve">Can BEL be negative?</w:t>
            </w:r>
          </w:p>
        </w:tc>
        <w:tc>
          <w:tcPr>
            <w:tcW w:type="dxa" w:w="696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80"/>
            </w:tcMar>
          </w:tcPr>
          <w:p>
            <w:r>
              <w:rPr>
                <w:sz w:val="20"/>
                <w:szCs w:val="20"/>
              </w:rPr>
              <w:t xml:space="preserve">YES. A negative BEL is allowed and represents policies where future premiums &gt; expected future outgo (e.g. short-term PMI in profit).</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b/>
                <w:bCs/>
                <w:sz w:val="21"/>
                <w:szCs w:val="21"/>
              </w:rPr>
              <w:t xml:space="preserve">Contract boundary</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sz w:val="20"/>
                <w:szCs w:val="20"/>
              </w:rPr>
              <w:t xml:space="preserve">Long-term health (CI/IP/LTCI): up to maturity/expiry of the contract. Annually renewable (PMI): up to next renewal date only.</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80"/>
            </w:tcMar>
          </w:tcPr>
          <w:p>
            <w:r>
              <w:rPr>
                <w:b/>
                <w:bCs/>
                <w:sz w:val="21"/>
                <w:szCs w:val="21"/>
              </w:rPr>
              <w:t xml:space="preserve">Unit-linked policies</w:t>
            </w:r>
          </w:p>
        </w:tc>
        <w:tc>
          <w:tcPr>
            <w:tcW w:type="dxa" w:w="696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80"/>
            </w:tcMar>
          </w:tcPr>
          <w:p>
            <w:r>
              <w:rPr>
                <w:sz w:val="20"/>
                <w:szCs w:val="20"/>
              </w:rPr>
              <w:t xml:space="preserve">Unit and non-unit components must be unbundled and valued separately.</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b/>
                <w:bCs/>
                <w:sz w:val="21"/>
                <w:szCs w:val="21"/>
              </w:rPr>
              <w:t xml:space="preserve">Segmentation</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sz w:val="20"/>
                <w:szCs w:val="20"/>
              </w:rPr>
              <w:t xml:space="preserve">TPs must be segmented by homogeneous product type (e.g. SLT vs Non-SLT health — see below).</w:t>
            </w:r>
          </w:p>
        </w:tc>
      </w:tr>
    </w:tbl>
    <w:p>
      <w:pPr>
        <w:spacing w:after="60" w:before="60"/>
      </w:pPr>
      <w:r>
        <w:t xml:space="preserve"/>
      </w:r>
    </w:p>
    <w:p>
      <w:pPr>
        <w:pStyle w:val="Heading2"/>
        <w:spacing w:after="80" w:before="240"/>
      </w:pPr>
      <w:r>
        <w:rPr>
          <w:b/>
          <w:bCs/>
          <w:color w:val="0E6B6B"/>
        </w:rPr>
        <w:t xml:space="preserve">3.4  SLT vs Non-SLT Health Insurance — A Critical Distinction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6EAF8" w:val="clear"/>
            <w:tcMar>
              <w:top w:type="dxa" w:w="80"/>
              <w:left w:type="dxa" w:w="160"/>
              <w:bottom w:type="dxa" w:w="80"/>
              <w:right w:type="dxa" w:w="120"/>
            </w:tcMar>
          </w:tcPr>
          <w:p>
            <w:r>
              <w:rPr>
                <w:b/>
                <w:bCs/>
                <w:color w:val="1B3A6B"/>
                <w:sz w:val="22"/>
                <w:szCs w:val="22"/>
              </w:rPr>
              <w:t xml:space="preserve">SLT Health (Similar to Life Techniques)</w:t>
            </w:r>
          </w:p>
          <w:p>
            <w:pPr>
              <w:spacing w:after="60" w:before="40"/>
            </w:pPr>
            <w:r>
              <w:rPr>
                <w:sz w:val="22"/>
                <w:szCs w:val="22"/>
              </w:rPr>
              <w:t xml:space="preserve">Treated like life insurance for valuation purposes. Long-term, predictable cash flows.</w:t>
            </w:r>
          </w:p>
          <w:p>
            <w:r>
              <w:rPr>
                <w:b/>
                <w:bCs/>
                <w:sz w:val="21"/>
                <w:szCs w:val="21"/>
              </w:rPr>
              <w:t xml:space="preserve">Products:</w:t>
            </w:r>
          </w:p>
          <w:p>
            <w:pPr>
              <w:pStyle w:val="ListParagraph"/>
              <w:numPr>
                <w:ilvl w:val="0"/>
                <w:numId w:val="2"/>
              </w:numPr>
              <w:spacing w:after="40" w:before="40"/>
            </w:pPr>
            <w:r>
              <w:rPr>
                <w:b w:val="false"/>
                <w:bCs w:val="false"/>
                <w:sz w:val="22"/>
                <w:szCs w:val="22"/>
              </w:rPr>
              <w:t xml:space="preserve">Income Protection (IP) insurance</w:t>
            </w:r>
          </w:p>
          <w:p>
            <w:pPr>
              <w:pStyle w:val="ListParagraph"/>
              <w:numPr>
                <w:ilvl w:val="0"/>
                <w:numId w:val="2"/>
              </w:numPr>
              <w:spacing w:after="40" w:before="40"/>
            </w:pPr>
            <w:r>
              <w:rPr>
                <w:b w:val="false"/>
                <w:bCs w:val="false"/>
                <w:sz w:val="22"/>
                <w:szCs w:val="22"/>
              </w:rPr>
              <w:t xml:space="preserve">Stand-Alone Critical Illness (SACI)</w:t>
            </w:r>
          </w:p>
          <w:p>
            <w:pPr>
              <w:pStyle w:val="ListParagraph"/>
              <w:numPr>
                <w:ilvl w:val="0"/>
                <w:numId w:val="2"/>
              </w:numPr>
              <w:spacing w:after="40" w:before="40"/>
            </w:pPr>
            <w:r>
              <w:rPr>
                <w:b w:val="false"/>
                <w:bCs w:val="false"/>
                <w:sz w:val="22"/>
                <w:szCs w:val="22"/>
              </w:rPr>
              <w:t xml:space="preserve">Long-Term Care Insurance (LTCI)</w:t>
            </w:r>
          </w:p>
          <w:p>
            <w:pPr>
              <w:spacing w:after="60" w:before="40"/>
            </w:pPr>
            <w:r>
              <w:rPr>
                <w:sz w:val="22"/>
                <w:szCs w:val="22"/>
              </w:rPr>
              <w:t xml:space="preserve">SCR module: disability/morbidity, mortality, longevity, lapse, expense, revision risks.</w:t>
            </w:r>
          </w:p>
        </w:tc>
        <w:tc>
          <w:tcPr>
            <w:tcW w:type="dxa" w:w="4680"/>
            <w:tcBorders>
              <w:top w:val="single" w:color="CCCCCC" w:sz="1"/>
              <w:left w:val="single" w:color="CCCCCC" w:sz="1"/>
              <w:bottom w:val="single" w:color="CCCCCC" w:sz="1"/>
              <w:right w:val="single" w:color="CCCCCC" w:sz="1"/>
            </w:tcBorders>
            <w:shd w:fill="D5F5E3" w:val="clear"/>
            <w:tcMar>
              <w:top w:type="dxa" w:w="80"/>
              <w:left w:type="dxa" w:w="160"/>
              <w:bottom w:type="dxa" w:w="80"/>
              <w:right w:type="dxa" w:w="120"/>
            </w:tcMar>
          </w:tcPr>
          <w:p>
            <w:r>
              <w:rPr>
                <w:b/>
                <w:bCs/>
                <w:color w:val="0E6B6B"/>
                <w:sz w:val="22"/>
                <w:szCs w:val="22"/>
              </w:rPr>
              <w:t xml:space="preserve">Non-SLT Health (Non-Life Techniques)</w:t>
            </w:r>
          </w:p>
          <w:p>
            <w:pPr>
              <w:spacing w:after="60" w:before="40"/>
            </w:pPr>
            <w:r>
              <w:rPr>
                <w:sz w:val="22"/>
                <w:szCs w:val="22"/>
              </w:rPr>
              <w:t xml:space="preserve">Treated like general insurance for valuation. Short-term, annually renewable.</w:t>
            </w:r>
          </w:p>
          <w:p>
            <w:r>
              <w:rPr>
                <w:b/>
                <w:bCs/>
                <w:sz w:val="21"/>
                <w:szCs w:val="21"/>
              </w:rPr>
              <w:t xml:space="preserve">Products:</w:t>
            </w:r>
          </w:p>
          <w:p>
            <w:pPr>
              <w:pStyle w:val="ListParagraph"/>
              <w:numPr>
                <w:ilvl w:val="0"/>
                <w:numId w:val="2"/>
              </w:numPr>
              <w:spacing w:after="40" w:before="40"/>
            </w:pPr>
            <w:r>
              <w:rPr>
                <w:b w:val="false"/>
                <w:bCs w:val="false"/>
                <w:sz w:val="22"/>
                <w:szCs w:val="22"/>
              </w:rPr>
              <w:t xml:space="preserve">Private Medical Insurance (PMI)</w:t>
            </w:r>
          </w:p>
          <w:p>
            <w:pPr>
              <w:pStyle w:val="ListParagraph"/>
              <w:numPr>
                <w:ilvl w:val="0"/>
                <w:numId w:val="2"/>
              </w:numPr>
              <w:spacing w:after="40" w:before="40"/>
            </w:pPr>
            <w:r>
              <w:rPr>
                <w:b w:val="false"/>
                <w:bCs w:val="false"/>
                <w:sz w:val="22"/>
                <w:szCs w:val="22"/>
              </w:rPr>
              <w:t xml:space="preserve">Dental insurance</w:t>
            </w:r>
          </w:p>
          <w:p>
            <w:pPr>
              <w:pStyle w:val="ListParagraph"/>
              <w:numPr>
                <w:ilvl w:val="0"/>
                <w:numId w:val="2"/>
              </w:numPr>
              <w:spacing w:after="40" w:before="40"/>
            </w:pPr>
            <w:r>
              <w:rPr>
                <w:b w:val="false"/>
                <w:bCs w:val="false"/>
                <w:sz w:val="22"/>
                <w:szCs w:val="22"/>
              </w:rPr>
              <w:t xml:space="preserve">Travel health insurance</w:t>
            </w:r>
          </w:p>
          <w:p>
            <w:pPr>
              <w:spacing w:after="60" w:before="40"/>
            </w:pPr>
            <w:r>
              <w:rPr>
                <w:sz w:val="22"/>
                <w:szCs w:val="22"/>
              </w:rPr>
              <w:t xml:space="preserve">SCR module: premium &amp; reserve risk, lapse risk (no long-term morbidity module).</w:t>
            </w:r>
          </w:p>
        </w:tc>
      </w:tr>
    </w:tbl>
    <w:p>
      <w:pPr>
        <w:spacing w:after="60" w:before="60"/>
      </w:pPr>
      <w:r>
        <w:t xml:space="preserve"/>
      </w:r>
    </w:p>
    <w:p>
      <w:pPr>
        <w:pStyle w:val="Heading2"/>
        <w:spacing w:after="80" w:before="240"/>
      </w:pPr>
      <w:r>
        <w:rPr>
          <w:b/>
          <w:bCs/>
          <w:color w:val="0E6B6B"/>
        </w:rPr>
        <w:t xml:space="preserve">3.5  Discount Rate Adjustments: Matching &amp; Volatility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6EAF8" w:val="clear"/>
            <w:tcMar>
              <w:top w:type="dxa" w:w="80"/>
              <w:left w:type="dxa" w:w="160"/>
              <w:bottom w:type="dxa" w:w="80"/>
              <w:right w:type="dxa" w:w="120"/>
            </w:tcMar>
          </w:tcPr>
          <w:p>
            <w:r>
              <w:rPr>
                <w:b/>
                <w:bCs/>
                <w:color w:val="1B3A6B"/>
                <w:sz w:val="22"/>
                <w:szCs w:val="22"/>
              </w:rPr>
              <w:t xml:space="preserve">MATCHING ADJUSTMENT (MA)</w:t>
            </w:r>
          </w:p>
          <w:p>
            <w:pPr>
              <w:spacing w:after="60" w:before="40"/>
            </w:pPr>
            <w:r>
              <w:rPr>
                <w:sz w:val="22"/>
                <w:szCs w:val="22"/>
              </w:rPr>
              <w:t xml:space="preserve">Adds an illiquidity premium to the risk-free discount rate. Reduces BEL significantly.</w:t>
            </w:r>
          </w:p>
          <w:p>
            <w:r>
              <w:rPr>
                <w:b/>
                <w:bCs/>
                <w:sz w:val="21"/>
                <w:szCs w:val="21"/>
              </w:rPr>
              <w:t xml:space="preserve">Requirements:</w:t>
            </w:r>
          </w:p>
          <w:p>
            <w:pPr>
              <w:pStyle w:val="ListParagraph"/>
              <w:numPr>
                <w:ilvl w:val="0"/>
                <w:numId w:val="2"/>
              </w:numPr>
              <w:spacing w:after="40" w:before="40"/>
            </w:pPr>
            <w:r>
              <w:rPr>
                <w:b w:val="false"/>
                <w:bCs w:val="false"/>
                <w:sz w:val="22"/>
                <w:szCs w:val="22"/>
              </w:rPr>
              <w:t xml:space="preserve">Only for long-term predictable liabilities (e.g. annuity-type, no surrender risk)</w:t>
            </w:r>
          </w:p>
          <w:p>
            <w:pPr>
              <w:pStyle w:val="ListParagraph"/>
              <w:numPr>
                <w:ilvl w:val="0"/>
                <w:numId w:val="2"/>
              </w:numPr>
              <w:spacing w:after="40" w:before="40"/>
            </w:pPr>
            <w:r>
              <w:rPr>
                <w:b w:val="false"/>
                <w:bCs w:val="false"/>
                <w:sz w:val="22"/>
                <w:szCs w:val="22"/>
              </w:rPr>
              <w:t xml:space="preserve">Insurer must hold matching assets to maturity — ring-fenced portfolio</w:t>
            </w:r>
          </w:p>
          <w:p>
            <w:pPr>
              <w:pStyle w:val="ListParagraph"/>
              <w:numPr>
                <w:ilvl w:val="0"/>
                <w:numId w:val="2"/>
              </w:numPr>
              <w:spacing w:after="40" w:before="40"/>
            </w:pPr>
            <w:r>
              <w:rPr>
                <w:b w:val="false"/>
                <w:bCs w:val="false"/>
                <w:sz w:val="22"/>
                <w:szCs w:val="22"/>
              </w:rPr>
              <w:t xml:space="preserve">Regulator approval required</w:t>
            </w:r>
          </w:p>
          <w:p>
            <w:pPr>
              <w:pStyle w:val="ListParagraph"/>
              <w:numPr>
                <w:ilvl w:val="0"/>
                <w:numId w:val="2"/>
              </w:numPr>
              <w:spacing w:after="40" w:before="40"/>
            </w:pPr>
            <w:r>
              <w:rPr>
                <w:b w:val="false"/>
                <w:bCs w:val="false"/>
                <w:sz w:val="22"/>
                <w:szCs w:val="22"/>
              </w:rPr>
              <w:t xml:space="preserve">Insurer-specific (based on OWN assets)</w:t>
            </w:r>
          </w:p>
          <w:p>
            <w:pPr>
              <w:pStyle w:val="ListParagraph"/>
              <w:numPr>
                <w:ilvl w:val="0"/>
                <w:numId w:val="2"/>
              </w:numPr>
              <w:spacing w:after="40" w:before="40"/>
            </w:pPr>
            <w:r>
              <w:rPr>
                <w:b w:val="false"/>
                <w:bCs w:val="false"/>
                <w:sz w:val="22"/>
                <w:szCs w:val="22"/>
              </w:rPr>
              <w:t xml:space="preserve">Only ONE of MA or VA can apply at a time</w:t>
            </w:r>
          </w:p>
          <w:p>
            <w:pPr>
              <w:spacing w:after="60" w:before="40"/>
            </w:pPr>
            <w:r>
              <w:rPr>
                <w:sz w:val="22"/>
                <w:szCs w:val="22"/>
              </w:rPr>
              <w:t xml:space="preserve">Purpose: insurer holds assets to maturity and so is not exposed to changing spreads. MA recognises this illiquidity premium.</w:t>
            </w:r>
          </w:p>
        </w:tc>
        <w:tc>
          <w:tcPr>
            <w:tcW w:type="dxa" w:w="4680"/>
            <w:tcBorders>
              <w:top w:val="single" w:color="CCCCCC" w:sz="1"/>
              <w:left w:val="single" w:color="CCCCCC" w:sz="1"/>
              <w:bottom w:val="single" w:color="CCCCCC" w:sz="1"/>
              <w:right w:val="single" w:color="CCCCCC" w:sz="1"/>
            </w:tcBorders>
            <w:shd w:fill="D5F5E3" w:val="clear"/>
            <w:tcMar>
              <w:top w:type="dxa" w:w="80"/>
              <w:left w:type="dxa" w:w="160"/>
              <w:bottom w:type="dxa" w:w="80"/>
              <w:right w:type="dxa" w:w="120"/>
            </w:tcMar>
          </w:tcPr>
          <w:p>
            <w:r>
              <w:rPr>
                <w:b/>
                <w:bCs/>
                <w:color w:val="0E6B6B"/>
                <w:sz w:val="22"/>
                <w:szCs w:val="22"/>
              </w:rPr>
              <w:t xml:space="preserve">VOLATILITY ADJUSTMENT (VA)</w:t>
            </w:r>
          </w:p>
          <w:p>
            <w:pPr>
              <w:spacing w:after="60" w:before="40"/>
            </w:pPr>
            <w:r>
              <w:rPr>
                <w:sz w:val="22"/>
                <w:szCs w:val="22"/>
              </w:rPr>
              <w:t xml:space="preserve">Adds a percentage of credit spread to the risk-free rate where MA is not available. Reduces forced-sale risk in market crises.</w:t>
            </w:r>
          </w:p>
          <w:p>
            <w:r>
              <w:rPr>
                <w:b/>
                <w:bCs/>
                <w:sz w:val="21"/>
                <w:szCs w:val="21"/>
              </w:rPr>
              <w:t xml:space="preserve">Requirements:</w:t>
            </w:r>
          </w:p>
          <w:p>
            <w:pPr>
              <w:pStyle w:val="ListParagraph"/>
              <w:numPr>
                <w:ilvl w:val="0"/>
                <w:numId w:val="2"/>
              </w:numPr>
              <w:spacing w:after="40" w:before="40"/>
            </w:pPr>
            <w:r>
              <w:rPr>
                <w:b w:val="false"/>
                <w:bCs w:val="false"/>
                <w:sz w:val="22"/>
                <w:szCs w:val="22"/>
              </w:rPr>
              <w:t xml:space="preserve">No ring-fenced portfolio required</w:t>
            </w:r>
          </w:p>
          <w:p>
            <w:pPr>
              <w:pStyle w:val="ListParagraph"/>
              <w:numPr>
                <w:ilvl w:val="0"/>
                <w:numId w:val="2"/>
              </w:numPr>
              <w:spacing w:after="40" w:before="40"/>
            </w:pPr>
            <w:r>
              <w:rPr>
                <w:b w:val="false"/>
                <w:bCs w:val="false"/>
                <w:sz w:val="22"/>
                <w:szCs w:val="22"/>
              </w:rPr>
              <w:t xml:space="preserve">No regulator approval — available to all eligible insurers</w:t>
            </w:r>
          </w:p>
          <w:p>
            <w:pPr>
              <w:pStyle w:val="ListParagraph"/>
              <w:numPr>
                <w:ilvl w:val="0"/>
                <w:numId w:val="2"/>
              </w:numPr>
              <w:spacing w:after="40" w:before="40"/>
            </w:pPr>
            <w:r>
              <w:rPr>
                <w:b w:val="false"/>
                <w:bCs w:val="false"/>
                <w:sz w:val="22"/>
                <w:szCs w:val="22"/>
              </w:rPr>
              <w:t xml:space="preserve">EIOPA publishes by currency/market — same for all insurers in that currency</w:t>
            </w:r>
          </w:p>
          <w:p>
            <w:pPr>
              <w:pStyle w:val="ListParagraph"/>
              <w:numPr>
                <w:ilvl w:val="0"/>
                <w:numId w:val="2"/>
              </w:numPr>
              <w:spacing w:after="40" w:before="40"/>
            </w:pPr>
            <w:r>
              <w:rPr>
                <w:b w:val="false"/>
                <w:bCs w:val="false"/>
                <w:sz w:val="22"/>
                <w:szCs w:val="22"/>
              </w:rPr>
              <w:t xml:space="preserve">Insurer must publish liquidity plan and conduct sensitivity analysis</w:t>
            </w:r>
          </w:p>
          <w:p>
            <w:pPr>
              <w:pStyle w:val="ListParagraph"/>
              <w:numPr>
                <w:ilvl w:val="0"/>
                <w:numId w:val="2"/>
              </w:numPr>
              <w:spacing w:after="40" w:before="40"/>
            </w:pPr>
            <w:r>
              <w:rPr>
                <w:b w:val="false"/>
                <w:bCs w:val="false"/>
                <w:sz w:val="22"/>
                <w:szCs w:val="22"/>
              </w:rPr>
              <w:t xml:space="preserve">Only ONE of MA or VA can apply at a time</w:t>
            </w:r>
          </w:p>
          <w:p>
            <w:pPr>
              <w:spacing w:after="60" w:before="40"/>
            </w:pPr>
            <w:r>
              <w:rPr>
                <w:sz w:val="22"/>
                <w:szCs w:val="22"/>
              </w:rPr>
              <w:t xml:space="preserve">Purpose: prevents insurers being forced to sell assets in a crisis when spreads temporarily widen.</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b/>
                <w:bCs/>
                <w:color w:val="FFFFFF"/>
                <w:sz w:val="20"/>
                <w:szCs w:val="20"/>
              </w:rPr>
              <w:t xml:space="preserve">KEY CONTRAST</w:t>
            </w:r>
          </w:p>
        </w:tc>
        <w:tc>
          <w:tcPr>
            <w:tcW w:type="dxa" w:w="8160"/>
            <w:tcBorders>
              <w:top w:val="single" w:color="CCCCCC" w:sz="1"/>
              <w:left w:val="single" w:color="CCCCCC" w:sz="1"/>
              <w:bottom w:val="single" w:color="CCCCCC" w:sz="1"/>
              <w:right w:val="single" w:color="CCCCCC" w:sz="1"/>
            </w:tcBorders>
            <w:shd w:fill="FEF9E7" w:val="clear"/>
            <w:tcMar>
              <w:top w:type="dxa" w:w="80"/>
              <w:left w:type="dxa" w:w="160"/>
              <w:bottom w:type="dxa" w:w="80"/>
              <w:right w:type="dxa" w:w="120"/>
            </w:tcMar>
          </w:tcPr>
          <w:p>
            <w:r>
              <w:rPr>
                <w:sz w:val="21"/>
                <w:szCs w:val="21"/>
              </w:rPr>
              <w:t xml:space="preserve">MA = insurer-specific, requires ring-fenced matching portfolio, regulator approval, no surrender risk. VA = currency/market-wide (same rate for all), no ring-fencing needed, no regulator approval. Both reduce BEL by raising the discount rate. Only one can apply at a time.</w:t>
            </w:r>
          </w:p>
        </w:tc>
      </w:tr>
    </w:tbl>
    <w:p>
      <w:pPr>
        <w:spacing w:after="60" w:before="60"/>
      </w:pPr>
      <w:r>
        <w:t xml:space="preserve"/>
      </w:r>
    </w:p>
    <w:p>
      <w:pPr>
        <w:pStyle w:val="Heading2"/>
        <w:spacing w:after="80" w:before="240"/>
      </w:pPr>
      <w:r>
        <w:rPr>
          <w:b/>
          <w:bCs/>
          <w:color w:val="0E6B6B"/>
        </w:rPr>
        <w:t xml:space="preserve">3.6  The Risk Margin (Cost-of-Capital Method)</w:t>
      </w:r>
    </w:p>
    <w:p>
      <w:pPr>
        <w:spacing w:after="60" w:before="40"/>
      </w:pPr>
      <w:r>
        <w:rPr>
          <w:sz w:val="22"/>
          <w:szCs w:val="22"/>
        </w:rPr>
        <w:t xml:space="preserve">The risk margin converts the BEL (best estimate) into a Transfer Value — what another insurer would charge to take on the liabilities.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b/>
                <w:bCs/>
                <w:color w:val="FFFFFF"/>
                <w:sz w:val="20"/>
                <w:szCs w:val="20"/>
              </w:rPr>
              <w:t xml:space="preserve">FORMULA</w:t>
            </w:r>
          </w:p>
        </w:tc>
        <w:tc>
          <w:tcPr>
            <w:tcW w:type="dxa" w:w="8160"/>
            <w:tcBorders>
              <w:top w:val="single" w:color="CCCCCC" w:sz="1"/>
              <w:left w:val="single" w:color="CCCCCC" w:sz="1"/>
              <w:bottom w:val="single" w:color="CCCCCC" w:sz="1"/>
              <w:right w:val="single" w:color="CCCCCC" w:sz="1"/>
            </w:tcBorders>
            <w:shd w:fill="D6EAF8" w:val="clear"/>
            <w:tcMar>
              <w:top w:type="dxa" w:w="80"/>
              <w:left w:type="dxa" w:w="160"/>
              <w:bottom w:type="dxa" w:w="80"/>
              <w:right w:type="dxa" w:w="120"/>
            </w:tcMar>
          </w:tcPr>
          <w:p>
            <w:r>
              <w:rPr>
                <w:sz w:val="21"/>
                <w:szCs w:val="21"/>
              </w:rPr>
              <w:t xml:space="preserve">Risk Margin = 6% p.a. × SUM over future years of [Projected SCR of non-hedgeable risks] × discount factor at risk-free rate</w:t>
            </w:r>
          </w:p>
        </w:tc>
      </w:tr>
    </w:tbl>
    <w:p>
      <w:pPr>
        <w:spacing w:after="60" w:before="60"/>
      </w:pPr>
      <w:r>
        <w:t xml:space="preserve"/>
      </w:r>
    </w:p>
    <w:p>
      <w:pPr>
        <w:spacing w:after="60" w:before="40"/>
      </w:pPr>
      <w:r>
        <w:rPr>
          <w:sz w:val="22"/>
          <w:szCs w:val="22"/>
        </w:rPr>
        <w:t xml:space="preserve">Non-hedgeable risks covered by the risk margin: insurance risks (morbidity, mortality, lapse), reinsurance credit risk, operational risk, residual market risk.</w:t>
      </w:r>
    </w:p>
    <w:p>
      <w:pPr>
        <w:spacing w:after="60" w:before="40"/>
      </w:pPr>
      <w:r>
        <w:rPr>
          <w:sz w:val="22"/>
          <w:szCs w:val="22"/>
        </w:rPr>
        <w:t xml:space="preserve">Hedgeable risks (market risks for which derivatives/assets exist) are NOT included in the risk margin.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b/>
                <w:bCs/>
                <w:color w:val="FFFFFF"/>
                <w:sz w:val="20"/>
                <w:szCs w:val="20"/>
              </w:rPr>
              <w:t xml:space="preserve">SIMPLIFIED APPROXIMATION</w:t>
            </w:r>
          </w:p>
        </w:tc>
        <w:tc>
          <w:tcPr>
            <w:tcW w:type="dxa" w:w="8160"/>
            <w:tcBorders>
              <w:top w:val="single" w:color="CCCCCC" w:sz="1"/>
              <w:left w:val="single" w:color="CCCCCC" w:sz="1"/>
              <w:bottom w:val="single" w:color="CCCCCC" w:sz="1"/>
              <w:right w:val="single" w:color="CCCCCC" w:sz="1"/>
            </w:tcBorders>
            <w:shd w:fill="D5F5E3" w:val="clear"/>
            <w:tcMar>
              <w:top w:type="dxa" w:w="80"/>
              <w:left w:type="dxa" w:w="160"/>
              <w:bottom w:type="dxa" w:w="80"/>
              <w:right w:type="dxa" w:w="120"/>
            </w:tcMar>
          </w:tcPr>
          <w:p>
            <w:r>
              <w:rPr>
                <w:sz w:val="21"/>
                <w:szCs w:val="21"/>
              </w:rPr>
              <w:t xml:space="preserve">The projection of future SCR is complex. Simplified approaches are allowed. A driver proportional to remaining liability is chosen (e.g. policy count for expense risk, sum-at-risk for morbidity risk). Risk margin ≈ 6% × initial non-hedgeable SCR × (sum of projected driver/initial driver × discount factors). This is what examiners test.</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b/>
                <w:bCs/>
                <w:color w:val="FFFFFF"/>
                <w:sz w:val="20"/>
                <w:szCs w:val="20"/>
              </w:rPr>
              <w:t xml:space="preserve">EXAM TIP</w:t>
            </w:r>
          </w:p>
        </w:tc>
        <w:tc>
          <w:tcPr>
            <w:tcW w:type="dxa" w:w="8160"/>
            <w:tcBorders>
              <w:top w:val="single" w:color="CCCCCC" w:sz="1"/>
              <w:left w:val="single" w:color="CCCCCC" w:sz="1"/>
              <w:bottom w:val="single" w:color="CCCCCC" w:sz="1"/>
              <w:right w:val="single" w:color="CCCCCC" w:sz="1"/>
            </w:tcBorders>
            <w:shd w:fill="FADBD8" w:val="clear"/>
            <w:tcMar>
              <w:top w:type="dxa" w:w="80"/>
              <w:left w:type="dxa" w:w="160"/>
              <w:bottom w:type="dxa" w:w="80"/>
              <w:right w:type="dxa" w:w="120"/>
            </w:tcMar>
          </w:tcPr>
          <w:p>
            <w:r>
              <w:rPr>
                <w:sz w:val="21"/>
                <w:szCs w:val="21"/>
              </w:rPr>
              <w:t xml:space="preserve">IAI Nov 2023 Q1v [12 marks]: Risk margin for unit-linked health product. Cover: (1) 6% cost-of-capital method. (2) Non-hedgeable risks specific to the product (expense, mortality/morbidity, operational, surrender). (3) Run-off projection of SCR for each future year. (4) Discount at risk-free rates. (5) Simplified driver approach. (6) Diversification with wider group. [Nov 2023 was a high-value question — study the full solution.] </w:t>
            </w:r>
          </w:p>
        </w:tc>
      </w:tr>
    </w:tbl>
    <w:p>
      <w:pPr>
        <w:spacing w:after="60" w:before="60"/>
      </w:pPr>
      <w:r>
        <w:t xml:space="preserve"/>
      </w:r>
    </w:p>
    <w:p>
      <w:pPr>
        <w:pStyle w:val="Heading2"/>
        <w:spacing w:after="80" w:before="240"/>
      </w:pPr>
      <w:r>
        <w:rPr>
          <w:b/>
          <w:bCs/>
          <w:color w:val="0E6B6B"/>
        </w:rPr>
        <w:t xml:space="preserve">3.7  Own Funds — Tiers and Capital Quality</w:t>
      </w:r>
    </w:p>
    <w:p>
      <w:pPr>
        <w:spacing w:after="60" w:before="40"/>
      </w:pPr>
      <w:r>
        <w:rPr>
          <w:sz w:val="22"/>
          <w:szCs w:val="22"/>
        </w:rPr>
        <w:t xml:space="preserve">'Own funds' = assets in excess of technical provisions + subordinated liabilities. Split into Basic and Ancillary; then tiered by quality.</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760"/>
        <w:gridCol w:w="5400"/>
      </w:tblGrid>
      <w:tr>
        <w:trPr>
          <w:tblHeader/>
        </w:trPr>
        <w:tc>
          <w:tcPr>
            <w:tcW w:type="dxa" w:w="1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80"/>
            </w:tcMar>
          </w:tcPr>
          <w:p>
            <w:r>
              <w:rPr>
                <w:b/>
                <w:bCs/>
                <w:color w:val="FFFFFF"/>
                <w:sz w:val="20"/>
                <w:szCs w:val="20"/>
              </w:rPr>
              <w:t xml:space="preserve">Tier</w:t>
            </w:r>
          </w:p>
        </w:tc>
        <w:tc>
          <w:tcPr>
            <w:tcW w:type="dxa" w:w="27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80"/>
            </w:tcMar>
          </w:tcPr>
          <w:p>
            <w:r>
              <w:rPr>
                <w:b/>
                <w:bCs/>
                <w:color w:val="FFFFFF"/>
                <w:sz w:val="20"/>
                <w:szCs w:val="20"/>
              </w:rPr>
              <w:t xml:space="preserve">Quality Characteristics</w:t>
            </w:r>
          </w:p>
        </w:tc>
        <w:tc>
          <w:tcPr>
            <w:tcW w:type="dxa" w:w="5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80"/>
            </w:tcMar>
          </w:tcPr>
          <w:p>
            <w:r>
              <w:rPr>
                <w:b/>
                <w:bCs/>
                <w:color w:val="FFFFFF"/>
                <w:sz w:val="20"/>
                <w:szCs w:val="20"/>
              </w:rPr>
              <w:t xml:space="preserve">Limit for SCR / MCR Coverage</w:t>
            </w:r>
          </w:p>
        </w:tc>
      </w:tr>
      <w:tr>
        <w:tc>
          <w:tcPr>
            <w:tcW w:type="dxa" w:w="1200"/>
            <w:tcBorders>
              <w:top w:val="single" w:color="CCCCCC" w:sz="1"/>
              <w:left w:val="single" w:color="CCCCCC" w:sz="1"/>
              <w:bottom w:val="single" w:color="CCCCCC" w:sz="1"/>
              <w:right w:val="single" w:color="CCCCCC" w:sz="1"/>
            </w:tcBorders>
            <w:shd w:fill="D5F5E3" w:val="clear"/>
            <w:tcMar>
              <w:top w:type="dxa" w:w="60"/>
              <w:left w:type="dxa" w:w="120"/>
              <w:bottom w:type="dxa" w:w="60"/>
              <w:right w:type="dxa" w:w="80"/>
            </w:tcMar>
          </w:tcPr>
          <w:p>
            <w:pPr>
              <w:jc w:val="center"/>
            </w:pPr>
            <w:r>
              <w:rPr>
                <w:b/>
                <w:bCs/>
                <w:sz w:val="21"/>
                <w:szCs w:val="21"/>
              </w:rPr>
              <w:t xml:space="preserve">Tier 1</w:t>
            </w:r>
          </w:p>
        </w:tc>
        <w:tc>
          <w:tcPr>
            <w:tcW w:type="dxa" w:w="2760"/>
            <w:tcBorders>
              <w:top w:val="single" w:color="CCCCCC" w:sz="1"/>
              <w:left w:val="single" w:color="CCCCCC" w:sz="1"/>
              <w:bottom w:val="single" w:color="CCCCCC" w:sz="1"/>
              <w:right w:val="single" w:color="CCCCCC" w:sz="1"/>
            </w:tcBorders>
            <w:shd w:fill="D5F5E3" w:val="clear"/>
            <w:tcMar>
              <w:top w:type="dxa" w:w="60"/>
              <w:left w:type="dxa" w:w="120"/>
              <w:bottom w:type="dxa" w:w="60"/>
              <w:right w:type="dxa" w:w="80"/>
            </w:tcMar>
          </w:tcPr>
          <w:p>
            <w:r>
              <w:rPr>
                <w:sz w:val="20"/>
                <w:szCs w:val="20"/>
              </w:rPr>
              <w:t xml:space="preserve">Highest quality: fully paid-up, permanently available, absorbs losses first. Example: paid-up share capital, retained earnings.</w:t>
            </w:r>
          </w:p>
        </w:tc>
        <w:tc>
          <w:tcPr>
            <w:tcW w:type="dxa" w:w="5400"/>
            <w:tcBorders>
              <w:top w:val="single" w:color="CCCCCC" w:sz="1"/>
              <w:left w:val="single" w:color="CCCCCC" w:sz="1"/>
              <w:bottom w:val="single" w:color="CCCCCC" w:sz="1"/>
              <w:right w:val="single" w:color="CCCCCC" w:sz="1"/>
            </w:tcBorders>
            <w:shd w:fill="D5F5E3" w:val="clear"/>
            <w:tcMar>
              <w:top w:type="dxa" w:w="60"/>
              <w:left w:type="dxa" w:w="120"/>
              <w:bottom w:type="dxa" w:w="60"/>
              <w:right w:type="dxa" w:w="80"/>
            </w:tcMar>
          </w:tcPr>
          <w:p>
            <w:r>
              <w:rPr>
                <w:sz w:val="20"/>
                <w:szCs w:val="20"/>
              </w:rPr>
              <w:t xml:space="preserve">SCR: must be ≥50% Tier 1. MCR: must be ≥80% Tier 1.</w:t>
            </w:r>
          </w:p>
        </w:tc>
      </w:tr>
      <w:tr>
        <w:tc>
          <w:tcPr>
            <w:tcW w:type="dxa" w:w="1200"/>
            <w:tcBorders>
              <w:top w:val="single" w:color="CCCCCC" w:sz="1"/>
              <w:left w:val="single" w:color="CCCCCC" w:sz="1"/>
              <w:bottom w:val="single" w:color="CCCCCC" w:sz="1"/>
              <w:right w:val="single" w:color="CCCCCC" w:sz="1"/>
            </w:tcBorders>
            <w:shd w:fill="FEF9E7" w:val="clear"/>
            <w:tcMar>
              <w:top w:type="dxa" w:w="60"/>
              <w:left w:type="dxa" w:w="120"/>
              <w:bottom w:type="dxa" w:w="60"/>
              <w:right w:type="dxa" w:w="80"/>
            </w:tcMar>
          </w:tcPr>
          <w:p>
            <w:pPr>
              <w:jc w:val="center"/>
            </w:pPr>
            <w:r>
              <w:rPr>
                <w:b/>
                <w:bCs/>
                <w:sz w:val="21"/>
                <w:szCs w:val="21"/>
              </w:rPr>
              <w:t xml:space="preserve">Tier 2</w:t>
            </w:r>
          </w:p>
        </w:tc>
        <w:tc>
          <w:tcPr>
            <w:tcW w:type="dxa" w:w="2760"/>
            <w:tcBorders>
              <w:top w:val="single" w:color="CCCCCC" w:sz="1"/>
              <w:left w:val="single" w:color="CCCCCC" w:sz="1"/>
              <w:bottom w:val="single" w:color="CCCCCC" w:sz="1"/>
              <w:right w:val="single" w:color="CCCCCC" w:sz="1"/>
            </w:tcBorders>
            <w:shd w:fill="FEF9E7" w:val="clear"/>
            <w:tcMar>
              <w:top w:type="dxa" w:w="60"/>
              <w:left w:type="dxa" w:w="120"/>
              <w:bottom w:type="dxa" w:w="60"/>
              <w:right w:type="dxa" w:w="80"/>
            </w:tcMar>
          </w:tcPr>
          <w:p>
            <w:r>
              <w:rPr>
                <w:sz w:val="20"/>
                <w:szCs w:val="20"/>
              </w:rPr>
              <w:t xml:space="preserve">Subordinated liabilities (callable by issuer under certain conditions). Can absorb losses but with restrictions.</w:t>
            </w:r>
          </w:p>
        </w:tc>
        <w:tc>
          <w:tcPr>
            <w:tcW w:type="dxa" w:w="5400"/>
            <w:tcBorders>
              <w:top w:val="single" w:color="CCCCCC" w:sz="1"/>
              <w:left w:val="single" w:color="CCCCCC" w:sz="1"/>
              <w:bottom w:val="single" w:color="CCCCCC" w:sz="1"/>
              <w:right w:val="single" w:color="CCCCCC" w:sz="1"/>
            </w:tcBorders>
            <w:shd w:fill="FEF9E7" w:val="clear"/>
            <w:tcMar>
              <w:top w:type="dxa" w:w="60"/>
              <w:left w:type="dxa" w:w="120"/>
              <w:bottom w:type="dxa" w:w="60"/>
              <w:right w:type="dxa" w:w="80"/>
            </w:tcMar>
          </w:tcPr>
          <w:p>
            <w:r>
              <w:rPr>
                <w:sz w:val="20"/>
                <w:szCs w:val="20"/>
              </w:rPr>
              <w:t xml:space="preserve">SCR: Tier 3 cannot exceed 15%. MCR: no Tier 3 allowed.</w:t>
            </w:r>
          </w:p>
        </w:tc>
      </w:tr>
      <w:tr>
        <w:tc>
          <w:tcPr>
            <w:tcW w:type="dxa" w:w="1200"/>
            <w:tcBorders>
              <w:top w:val="single" w:color="CCCCCC" w:sz="1"/>
              <w:left w:val="single" w:color="CCCCCC" w:sz="1"/>
              <w:bottom w:val="single" w:color="CCCCCC" w:sz="1"/>
              <w:right w:val="single" w:color="CCCCCC" w:sz="1"/>
            </w:tcBorders>
            <w:shd w:fill="FADBD8" w:val="clear"/>
            <w:tcMar>
              <w:top w:type="dxa" w:w="60"/>
              <w:left w:type="dxa" w:w="120"/>
              <w:bottom w:type="dxa" w:w="60"/>
              <w:right w:type="dxa" w:w="80"/>
            </w:tcMar>
          </w:tcPr>
          <w:p>
            <w:pPr>
              <w:jc w:val="center"/>
            </w:pPr>
            <w:r>
              <w:rPr>
                <w:b/>
                <w:bCs/>
                <w:sz w:val="21"/>
                <w:szCs w:val="21"/>
              </w:rPr>
              <w:t xml:space="preserve">Tier 3</w:t>
            </w:r>
          </w:p>
        </w:tc>
        <w:tc>
          <w:tcPr>
            <w:tcW w:type="dxa" w:w="2760"/>
            <w:tcBorders>
              <w:top w:val="single" w:color="CCCCCC" w:sz="1"/>
              <w:left w:val="single" w:color="CCCCCC" w:sz="1"/>
              <w:bottom w:val="single" w:color="CCCCCC" w:sz="1"/>
              <w:right w:val="single" w:color="CCCCCC" w:sz="1"/>
            </w:tcBorders>
            <w:shd w:fill="FADBD8" w:val="clear"/>
            <w:tcMar>
              <w:top w:type="dxa" w:w="60"/>
              <w:left w:type="dxa" w:w="120"/>
              <w:bottom w:type="dxa" w:w="60"/>
              <w:right w:type="dxa" w:w="80"/>
            </w:tcMar>
          </w:tcPr>
          <w:p>
            <w:r>
              <w:rPr>
                <w:sz w:val="20"/>
                <w:szCs w:val="20"/>
              </w:rPr>
              <w:t xml:space="preserve">Lowest quality: subordinated debt with more limited loss absorption. Restricted use.</w:t>
            </w:r>
          </w:p>
        </w:tc>
        <w:tc>
          <w:tcPr>
            <w:tcW w:type="dxa" w:w="5400"/>
            <w:tcBorders>
              <w:top w:val="single" w:color="CCCCCC" w:sz="1"/>
              <w:left w:val="single" w:color="CCCCCC" w:sz="1"/>
              <w:bottom w:val="single" w:color="CCCCCC" w:sz="1"/>
              <w:right w:val="single" w:color="CCCCCC" w:sz="1"/>
            </w:tcBorders>
            <w:shd w:fill="FADBD8" w:val="clear"/>
            <w:tcMar>
              <w:top w:type="dxa" w:w="60"/>
              <w:left w:type="dxa" w:w="120"/>
              <w:bottom w:type="dxa" w:w="60"/>
              <w:right w:type="dxa" w:w="80"/>
            </w:tcMar>
          </w:tcPr>
          <w:p>
            <w:r>
              <w:rPr>
                <w:sz w:val="20"/>
                <w:szCs w:val="20"/>
              </w:rPr>
              <w:t xml:space="preserve">SCR: &lt;15% Tier 3. MCR: NONE allowed.</w:t>
            </w:r>
          </w:p>
        </w:tc>
      </w:tr>
    </w:tbl>
    <w:p>
      <w:pPr>
        <w:spacing w:after="60" w:before="60"/>
      </w:pPr>
      <w:r>
        <w:t xml:space="preserve"/>
      </w:r>
    </w:p>
    <w:p>
      <w:r>
        <w:br w:type="page"/>
      </w:r>
    </w:p>
    <w:p>
      <w:pPr>
        <w:pStyle w:val="Heading1"/>
        <w:pBdr>
          <w:bottom w:val="single" w:color="1B3A6B" w:sz="6" w:space="4"/>
        </w:pBdr>
        <w:spacing w:after="120" w:before="360"/>
      </w:pPr>
      <w:r>
        <w:rPr>
          <w:b/>
          <w:bCs/>
          <w:color w:val="1B3A6B"/>
        </w:rPr>
        <w:t xml:space="preserve">BLOCK 4 — SCR, MCR &amp; CAPITAL QUALITY</w:t>
      </w:r>
    </w:p>
    <w:p>
      <w:pPr>
        <w:spacing w:after="60" w:before="60"/>
      </w:pPr>
      <w:r>
        <w:t xml:space="preserve"/>
      </w:r>
    </w:p>
    <w:p>
      <w:pPr>
        <w:pStyle w:val="Heading2"/>
        <w:spacing w:after="80" w:before="240"/>
      </w:pPr>
      <w:r>
        <w:rPr>
          <w:b/>
          <w:bCs/>
          <w:color w:val="0E6B6B"/>
        </w:rPr>
        <w:t xml:space="preserve">4.1  The Solvency Capital Requirement (SCR) — Concept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b/>
                <w:bCs/>
                <w:color w:val="FFFFFF"/>
                <w:sz w:val="20"/>
                <w:szCs w:val="20"/>
              </w:rPr>
              <w:t xml:space="preserve">DEFINITION</w:t>
            </w:r>
          </w:p>
        </w:tc>
        <w:tc>
          <w:tcPr>
            <w:tcW w:type="dxa" w:w="8160"/>
            <w:tcBorders>
              <w:top w:val="single" w:color="CCCCCC" w:sz="1"/>
              <w:left w:val="single" w:color="CCCCCC" w:sz="1"/>
              <w:bottom w:val="single" w:color="CCCCCC" w:sz="1"/>
              <w:right w:val="single" w:color="CCCCCC" w:sz="1"/>
            </w:tcBorders>
            <w:shd w:fill="D6EAF8" w:val="clear"/>
            <w:tcMar>
              <w:top w:type="dxa" w:w="80"/>
              <w:left w:type="dxa" w:w="160"/>
              <w:bottom w:type="dxa" w:w="80"/>
              <w:right w:type="dxa" w:w="120"/>
            </w:tcMar>
          </w:tcPr>
          <w:p>
            <w:r>
              <w:rPr>
                <w:sz w:val="21"/>
                <w:szCs w:val="21"/>
              </w:rPr>
              <w:t xml:space="preserve">The SCR is the Value-at-Risk of basic own funds at the 99.5% confidence level over one year. It is held IN ADDITION to technical provisions (TPs). If own funds fall below SCR, the supervisor must intervene.</w:t>
            </w:r>
          </w:p>
        </w:tc>
      </w:tr>
    </w:tbl>
    <w:p>
      <w:pPr>
        <w:spacing w:after="60" w:before="60"/>
      </w:pPr>
      <w:r>
        <w:t xml:space="preserve"/>
      </w:r>
    </w:p>
    <w:p>
      <w:pPr>
        <w:spacing w:after="60" w:before="40"/>
      </w:pPr>
      <w:r>
        <w:rPr>
          <w:sz w:val="22"/>
          <w:szCs w:val="22"/>
        </w:rPr>
        <w:t xml:space="preserve">Interpretation: The insurer must hold enough assets so that there is a 99.5% chance it can meet all obligations over the next year even after a 1-in-200-year adverse event.</w:t>
      </w:r>
    </w:p>
    <w:p>
      <w:pPr>
        <w:spacing w:after="60" w:before="40"/>
      </w:pPr>
      <w:r>
        <w:rPr>
          <w:sz w:val="22"/>
          <w:szCs w:val="22"/>
        </w:rPr>
        <w:t xml:space="preserve">The SCR is a going-concern concept — the insurer is assumed to continue writing new business.</w:t>
      </w:r>
    </w:p>
    <w:p>
      <w:pPr>
        <w:spacing w:after="60" w:before="60"/>
      </w:pPr>
      <w:r>
        <w:t xml:space="preserve"/>
      </w:r>
    </w:p>
    <w:p>
      <w:pPr>
        <w:pStyle w:val="Heading2"/>
        <w:spacing w:after="80" w:before="240"/>
      </w:pPr>
      <w:r>
        <w:rPr>
          <w:b/>
          <w:bCs/>
          <w:color w:val="0E6B6B"/>
        </w:rPr>
        <w:t xml:space="preserve">4.2  Standard Formula Structure — How the SCR is Built</w:t>
      </w:r>
    </w:p>
    <w:p>
      <w:pPr>
        <w:spacing w:after="60" w:before="40"/>
      </w:pPr>
      <w:r>
        <w:rPr>
          <w:sz w:val="22"/>
          <w:szCs w:val="22"/>
        </w:rPr>
        <w:t xml:space="preserve">The standard formula prescribes stress tests per risk module. Each module's SCR is calculated 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b/>
                <w:bCs/>
                <w:color w:val="FFFFFF"/>
                <w:sz w:val="20"/>
                <w:szCs w:val="20"/>
              </w:rPr>
              <w:t xml:space="preserve">MODULE FORMULA</w:t>
            </w:r>
          </w:p>
        </w:tc>
        <w:tc>
          <w:tcPr>
            <w:tcW w:type="dxa" w:w="8160"/>
            <w:tcBorders>
              <w:top w:val="single" w:color="CCCCCC" w:sz="1"/>
              <w:left w:val="single" w:color="CCCCCC" w:sz="1"/>
              <w:bottom w:val="single" w:color="CCCCCC" w:sz="1"/>
              <w:right w:val="single" w:color="CCCCCC" w:sz="1"/>
            </w:tcBorders>
            <w:shd w:fill="D5F5E3" w:val="clear"/>
            <w:tcMar>
              <w:top w:type="dxa" w:w="80"/>
              <w:left w:type="dxa" w:w="160"/>
              <w:bottom w:type="dxa" w:w="80"/>
              <w:right w:type="dxa" w:w="120"/>
            </w:tcMar>
          </w:tcPr>
          <w:p>
            <w:r>
              <w:rPr>
                <w:sz w:val="21"/>
                <w:szCs w:val="21"/>
              </w:rPr>
              <w:t xml:space="preserve">SCR_i = NAV(base) − NAV(stressed) where NAV = Net Asset Value = Assets − Liabilities, under the stressed scenario.</w:t>
            </w:r>
          </w:p>
        </w:tc>
      </w:tr>
    </w:tbl>
    <w:p>
      <w:pPr>
        <w:spacing w:after="60" w:before="60"/>
      </w:pPr>
      <w:r>
        <w:t xml:space="preserve"/>
      </w:r>
    </w:p>
    <w:p>
      <w:pPr>
        <w:spacing w:after="60" w:before="40"/>
      </w:pPr>
      <w:r>
        <w:rPr>
          <w:sz w:val="22"/>
          <w:szCs w:val="22"/>
        </w:rPr>
        <w:t xml:space="preserve">Modules are then aggregated using a prescribed correlation matrix to give the Basic SCR (BSCR):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b/>
                <w:bCs/>
                <w:color w:val="FFFFFF"/>
                <w:sz w:val="20"/>
                <w:szCs w:val="20"/>
              </w:rPr>
              <w:t xml:space="preserve">BSCR FORMULA</w:t>
            </w:r>
          </w:p>
        </w:tc>
        <w:tc>
          <w:tcPr>
            <w:tcW w:type="dxa" w:w="8160"/>
            <w:tcBorders>
              <w:top w:val="single" w:color="CCCCCC" w:sz="1"/>
              <w:left w:val="single" w:color="CCCCCC" w:sz="1"/>
              <w:bottom w:val="single" w:color="CCCCCC" w:sz="1"/>
              <w:right w:val="single" w:color="CCCCCC" w:sz="1"/>
            </w:tcBorders>
            <w:shd w:fill="D5F5E3" w:val="clear"/>
            <w:tcMar>
              <w:top w:type="dxa" w:w="80"/>
              <w:left w:type="dxa" w:w="160"/>
              <w:bottom w:type="dxa" w:w="80"/>
              <w:right w:type="dxa" w:w="120"/>
            </w:tcMar>
          </w:tcPr>
          <w:p>
            <w:r>
              <w:rPr>
                <w:sz w:val="21"/>
                <w:szCs w:val="21"/>
              </w:rPr>
              <w:t xml:space="preserve">BSCR = sqrt [ SUM over i,j of (Corr_ij × SCR_i × SCR_j) ]</w:t>
            </w:r>
          </w:p>
        </w:tc>
      </w:tr>
    </w:tbl>
    <w:p>
      <w:pPr>
        <w:spacing w:after="60" w:before="60"/>
      </w:pPr>
      <w:r>
        <w:t xml:space="preserve"/>
      </w:r>
    </w:p>
    <w:p>
      <w:pPr>
        <w:spacing w:after="60" w:before="40"/>
      </w:pPr>
      <w:r>
        <w:rPr>
          <w:sz w:val="22"/>
          <w:szCs w:val="22"/>
        </w:rPr>
        <w:t xml:space="preserve">Then add operational risk and loss-absorbing capacity adjustments: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b/>
                <w:bCs/>
                <w:color w:val="FFFFFF"/>
                <w:sz w:val="20"/>
                <w:szCs w:val="20"/>
              </w:rPr>
              <w:t xml:space="preserve">OVERALL SCR</w:t>
            </w:r>
          </w:p>
        </w:tc>
        <w:tc>
          <w:tcPr>
            <w:tcW w:type="dxa" w:w="8160"/>
            <w:tcBorders>
              <w:top w:val="single" w:color="CCCCCC" w:sz="1"/>
              <w:left w:val="single" w:color="CCCCCC" w:sz="1"/>
              <w:bottom w:val="single" w:color="CCCCCC" w:sz="1"/>
              <w:right w:val="single" w:color="CCCCCC" w:sz="1"/>
            </w:tcBorders>
            <w:shd w:fill="D6EAF8" w:val="clear"/>
            <w:tcMar>
              <w:top w:type="dxa" w:w="80"/>
              <w:left w:type="dxa" w:w="160"/>
              <w:bottom w:type="dxa" w:w="80"/>
              <w:right w:type="dxa" w:w="120"/>
            </w:tcMar>
          </w:tcPr>
          <w:p>
            <w:r>
              <w:rPr>
                <w:sz w:val="21"/>
                <w:szCs w:val="21"/>
              </w:rPr>
              <w:t xml:space="preserve">SCR = BSCR + SCR_operational − Adj (loss-absorbing capacity of TPs and deferred taxes)</w:t>
            </w:r>
          </w:p>
        </w:tc>
      </w:tr>
    </w:tbl>
    <w:p>
      <w:pPr>
        <w:spacing w:after="60" w:before="60"/>
      </w:pPr>
      <w:r>
        <w:t xml:space="preserve"/>
      </w:r>
    </w:p>
    <w:p>
      <w:pPr>
        <w:pStyle w:val="Heading2"/>
        <w:spacing w:after="80" w:before="240"/>
      </w:pPr>
      <w:r>
        <w:rPr>
          <w:b/>
          <w:bCs/>
          <w:color w:val="0E6B6B"/>
        </w:rPr>
        <w:t xml:space="preserve">4.3  Health Risk Modules — Critical for SA1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D6EAF8" w:val="clear"/>
            <w:tcMar>
              <w:top w:type="dxa" w:w="80"/>
              <w:left w:type="dxa" w:w="160"/>
              <w:bottom w:type="dxa" w:w="80"/>
              <w:right w:type="dxa" w:w="120"/>
            </w:tcMar>
          </w:tcPr>
          <w:p>
            <w:r>
              <w:rPr>
                <w:b/>
                <w:bCs/>
                <w:color w:val="1B3A6B"/>
                <w:sz w:val="22"/>
                <w:szCs w:val="22"/>
              </w:rPr>
              <w:t xml:space="preserve">SLT Health Risk</w:t>
            </w:r>
          </w:p>
          <w:p>
            <w:r>
              <w:rPr>
                <w:i/>
                <w:iCs/>
                <w:color w:val="1B3A6B"/>
                <w:sz w:val="19"/>
                <w:szCs w:val="19"/>
              </w:rPr>
              <w:t xml:space="preserve">(Life-like products: IP, CI, LTCI)</w:t>
            </w:r>
          </w:p>
          <w:p>
            <w:pPr>
              <w:spacing w:after="60" w:before="40"/>
            </w:pPr>
            <w:r>
              <w:rPr>
                <w:sz w:val="22"/>
                <w:szCs w:val="22"/>
              </w:rPr>
              <w:t xml:space="preserve">Sub-modules:</w:t>
            </w:r>
          </w:p>
          <w:p>
            <w:pPr>
              <w:pStyle w:val="ListParagraph"/>
              <w:numPr>
                <w:ilvl w:val="0"/>
                <w:numId w:val="2"/>
              </w:numPr>
              <w:spacing w:after="40" w:before="40"/>
            </w:pPr>
            <w:r>
              <w:rPr>
                <w:b w:val="false"/>
                <w:bCs w:val="false"/>
                <w:sz w:val="22"/>
                <w:szCs w:val="22"/>
              </w:rPr>
              <w:t xml:space="preserve">Disability / morbidity risk — higher claim inception or longer duration than expected</w:t>
            </w:r>
          </w:p>
          <w:p>
            <w:pPr>
              <w:pStyle w:val="ListParagraph"/>
              <w:numPr>
                <w:ilvl w:val="0"/>
                <w:numId w:val="2"/>
              </w:numPr>
              <w:spacing w:after="40" w:before="40"/>
            </w:pPr>
            <w:r>
              <w:rPr>
                <w:b w:val="false"/>
                <w:bCs w:val="false"/>
                <w:sz w:val="22"/>
                <w:szCs w:val="22"/>
              </w:rPr>
              <w:t xml:space="preserve">Mortality risk — higher death rates (SCI, mortality-heavy products)</w:t>
            </w:r>
          </w:p>
          <w:p>
            <w:pPr>
              <w:pStyle w:val="ListParagraph"/>
              <w:numPr>
                <w:ilvl w:val="0"/>
                <w:numId w:val="2"/>
              </w:numPr>
              <w:spacing w:after="40" w:before="40"/>
            </w:pPr>
            <w:r>
              <w:rPr>
                <w:b w:val="false"/>
                <w:bCs w:val="false"/>
                <w:sz w:val="22"/>
                <w:szCs w:val="22"/>
              </w:rPr>
              <w:t xml:space="preserve">Longevity risk — lower mortality for products with longevity exposure (LTCI annuities)</w:t>
            </w:r>
          </w:p>
          <w:p>
            <w:pPr>
              <w:pStyle w:val="ListParagraph"/>
              <w:numPr>
                <w:ilvl w:val="0"/>
                <w:numId w:val="2"/>
              </w:numPr>
              <w:spacing w:after="40" w:before="40"/>
            </w:pPr>
            <w:r>
              <w:rPr>
                <w:b w:val="false"/>
                <w:bCs w:val="false"/>
                <w:sz w:val="22"/>
                <w:szCs w:val="22"/>
              </w:rPr>
              <w:t xml:space="preserve">Lapse risk — adverse persistency (mass lapse scenario)</w:t>
            </w:r>
          </w:p>
          <w:p>
            <w:pPr>
              <w:pStyle w:val="ListParagraph"/>
              <w:numPr>
                <w:ilvl w:val="0"/>
                <w:numId w:val="2"/>
              </w:numPr>
              <w:spacing w:after="40" w:before="40"/>
            </w:pPr>
            <w:r>
              <w:rPr>
                <w:b w:val="false"/>
                <w:bCs w:val="false"/>
                <w:sz w:val="22"/>
                <w:szCs w:val="22"/>
              </w:rPr>
              <w:t xml:space="preserve">Expense risk — higher expenses than expected (including inflation)</w:t>
            </w:r>
          </w:p>
          <w:p>
            <w:pPr>
              <w:pStyle w:val="ListParagraph"/>
              <w:numPr>
                <w:ilvl w:val="0"/>
                <w:numId w:val="2"/>
              </w:numPr>
              <w:spacing w:after="40" w:before="40"/>
            </w:pPr>
            <w:r>
              <w:rPr>
                <w:b w:val="false"/>
                <w:bCs w:val="false"/>
                <w:sz w:val="22"/>
                <w:szCs w:val="22"/>
              </w:rPr>
              <w:t xml:space="preserve">Revision risk — forced revision of benefits by law or court order</w:t>
            </w:r>
          </w:p>
        </w:tc>
        <w:tc>
          <w:tcPr>
            <w:tcW w:type="dxa" w:w="3120"/>
            <w:tcBorders>
              <w:top w:val="single" w:color="CCCCCC" w:sz="1"/>
              <w:left w:val="single" w:color="CCCCCC" w:sz="1"/>
              <w:bottom w:val="single" w:color="CCCCCC" w:sz="1"/>
              <w:right w:val="single" w:color="CCCCCC" w:sz="1"/>
            </w:tcBorders>
            <w:shd w:fill="D5F5E3" w:val="clear"/>
            <w:tcMar>
              <w:top w:type="dxa" w:w="80"/>
              <w:left w:type="dxa" w:w="160"/>
              <w:bottom w:type="dxa" w:w="80"/>
              <w:right w:type="dxa" w:w="120"/>
            </w:tcMar>
          </w:tcPr>
          <w:p>
            <w:r>
              <w:rPr>
                <w:b/>
                <w:bCs/>
                <w:color w:val="0E6B6B"/>
                <w:sz w:val="22"/>
                <w:szCs w:val="22"/>
              </w:rPr>
              <w:t xml:space="preserve">Non-SLT Health Risk</w:t>
            </w:r>
          </w:p>
          <w:p>
            <w:r>
              <w:rPr>
                <w:i/>
                <w:iCs/>
                <w:color w:val="0E6B6B"/>
                <w:sz w:val="19"/>
                <w:szCs w:val="19"/>
              </w:rPr>
              <w:t xml:space="preserve">(Non-life-like: PMI)</w:t>
            </w:r>
          </w:p>
          <w:p>
            <w:pPr>
              <w:spacing w:after="60" w:before="40"/>
            </w:pPr>
            <w:r>
              <w:rPr>
                <w:sz w:val="22"/>
                <w:szCs w:val="22"/>
              </w:rPr>
              <w:t xml:space="preserve">Sub-modules:</w:t>
            </w:r>
          </w:p>
          <w:p>
            <w:pPr>
              <w:pStyle w:val="ListParagraph"/>
              <w:numPr>
                <w:ilvl w:val="0"/>
                <w:numId w:val="2"/>
              </w:numPr>
              <w:spacing w:after="40" w:before="40"/>
            </w:pPr>
            <w:r>
              <w:rPr>
                <w:b w:val="false"/>
                <w:bCs w:val="false"/>
                <w:sz w:val="22"/>
                <w:szCs w:val="22"/>
              </w:rPr>
              <w:t xml:space="preserve">Premium &amp; reserve risk — actual claims in premium period or run-off of reserves differs from expected</w:t>
            </w:r>
          </w:p>
          <w:p>
            <w:pPr>
              <w:pStyle w:val="ListParagraph"/>
              <w:numPr>
                <w:ilvl w:val="0"/>
                <w:numId w:val="2"/>
              </w:numPr>
              <w:spacing w:after="40" w:before="40"/>
            </w:pPr>
            <w:r>
              <w:rPr>
                <w:b w:val="false"/>
                <w:bCs w:val="false"/>
                <w:sz w:val="22"/>
                <w:szCs w:val="22"/>
              </w:rPr>
              <w:t xml:space="preserve">Lapse risk — mass lapse scenario for annually renewable business (less severe than for LT)</w:t>
            </w:r>
          </w:p>
          <w:p>
            <w:pPr>
              <w:spacing w:after="60" w:before="40"/>
            </w:pPr>
            <w:r>
              <w:rPr>
                <w:sz w:val="22"/>
                <w:szCs w:val="22"/>
              </w:rPr>
              <w:t xml:space="preserve">Note: no long-term morbidity module since PMI renews annually and can be repriced.</w:t>
            </w:r>
          </w:p>
          <w:p>
            <w:pPr>
              <w:spacing w:after="60" w:before="40"/>
            </w:pPr>
            <w:r>
              <w:rPr>
                <w:sz w:val="22"/>
                <w:szCs w:val="22"/>
              </w:rPr>
              <w:t xml:space="preserve">Formula: factor-based approach on premiums earned/written and on best estimate reserves.</w:t>
            </w:r>
          </w:p>
        </w:tc>
        <w:tc>
          <w:tcPr>
            <w:tcW w:type="dxa" w:w="3120"/>
            <w:tcBorders>
              <w:top w:val="single" w:color="CCCCCC" w:sz="1"/>
              <w:left w:val="single" w:color="CCCCCC" w:sz="1"/>
              <w:bottom w:val="single" w:color="CCCCCC" w:sz="1"/>
              <w:right w:val="single" w:color="CCCCCC" w:sz="1"/>
            </w:tcBorders>
            <w:shd w:fill="FEF9E7" w:val="clear"/>
            <w:tcMar>
              <w:top w:type="dxa" w:w="80"/>
              <w:left w:type="dxa" w:w="160"/>
              <w:bottom w:type="dxa" w:w="80"/>
              <w:right w:type="dxa" w:w="120"/>
            </w:tcMar>
          </w:tcPr>
          <w:p>
            <w:r>
              <w:rPr>
                <w:b/>
                <w:bCs/>
                <w:color w:val="B8860B"/>
                <w:sz w:val="22"/>
                <w:szCs w:val="22"/>
              </w:rPr>
              <w:t xml:space="preserve">CAT Health Risk</w:t>
            </w:r>
          </w:p>
          <w:p>
            <w:r>
              <w:rPr>
                <w:i/>
                <w:iCs/>
                <w:color w:val="B8860B"/>
                <w:sz w:val="19"/>
                <w:szCs w:val="19"/>
              </w:rPr>
              <w:t xml:space="preserve">(Catastrophe scenarios)</w:t>
            </w:r>
          </w:p>
          <w:p>
            <w:pPr>
              <w:spacing w:after="60" w:before="40"/>
            </w:pPr>
            <w:r>
              <w:rPr>
                <w:sz w:val="22"/>
                <w:szCs w:val="22"/>
              </w:rPr>
              <w:t xml:space="preserve">Sub-modules:</w:t>
            </w:r>
          </w:p>
          <w:p>
            <w:pPr>
              <w:pStyle w:val="ListParagraph"/>
              <w:numPr>
                <w:ilvl w:val="0"/>
                <w:numId w:val="2"/>
              </w:numPr>
              <w:spacing w:after="40" w:before="40"/>
            </w:pPr>
            <w:r>
              <w:rPr>
                <w:b w:val="false"/>
                <w:bCs w:val="false"/>
                <w:sz w:val="22"/>
                <w:szCs w:val="22"/>
              </w:rPr>
              <w:t xml:space="preserve">Mass accident — single mass accident scenario</w:t>
            </w:r>
          </w:p>
          <w:p>
            <w:pPr>
              <w:pStyle w:val="ListParagraph"/>
              <w:numPr>
                <w:ilvl w:val="0"/>
                <w:numId w:val="2"/>
              </w:numPr>
              <w:spacing w:after="40" w:before="40"/>
            </w:pPr>
            <w:r>
              <w:rPr>
                <w:b w:val="false"/>
                <w:bCs w:val="false"/>
                <w:sz w:val="22"/>
                <w:szCs w:val="22"/>
              </w:rPr>
              <w:t xml:space="preserve">Epidemic — concentration of claims from epidemic disease (COVID-19 type)</w:t>
            </w:r>
          </w:p>
          <w:p>
            <w:pPr>
              <w:pStyle w:val="ListParagraph"/>
              <w:numPr>
                <w:ilvl w:val="0"/>
                <w:numId w:val="2"/>
              </w:numPr>
              <w:spacing w:after="40" w:before="40"/>
            </w:pPr>
            <w:r>
              <w:rPr>
                <w:b w:val="false"/>
                <w:bCs w:val="false"/>
                <w:sz w:val="22"/>
                <w:szCs w:val="22"/>
              </w:rPr>
              <w:t xml:space="preserve">Pandemic — scenario for global outbreak</w:t>
            </w:r>
          </w:p>
          <w:p>
            <w:pPr>
              <w:pStyle w:val="ListParagraph"/>
              <w:numPr>
                <w:ilvl w:val="0"/>
                <w:numId w:val="2"/>
              </w:numPr>
              <w:spacing w:after="40" w:before="40"/>
            </w:pPr>
            <w:r>
              <w:rPr>
                <w:b w:val="false"/>
                <w:bCs w:val="false"/>
                <w:sz w:val="22"/>
                <w:szCs w:val="22"/>
              </w:rPr>
              <w:t xml:space="preserve">Climate change — increasing severe weather events</w:t>
            </w:r>
          </w:p>
          <w:p>
            <w:pPr>
              <w:pStyle w:val="ListParagraph"/>
              <w:numPr>
                <w:ilvl w:val="0"/>
                <w:numId w:val="2"/>
              </w:numPr>
              <w:spacing w:after="40" w:before="40"/>
            </w:pPr>
            <w:r>
              <w:rPr>
                <w:b w:val="false"/>
                <w:bCs w:val="false"/>
                <w:sz w:val="22"/>
                <w:szCs w:val="22"/>
              </w:rPr>
              <w:t xml:space="preserve">Antimicrobial resistance — emerging risk scenario</w:t>
            </w:r>
          </w:p>
          <w:p>
            <w:pPr>
              <w:spacing w:after="60" w:before="40"/>
            </w:pPr>
            <w:r>
              <w:rPr>
                <w:sz w:val="22"/>
                <w:szCs w:val="22"/>
              </w:rPr>
              <w:t xml:space="preserve">CAT is additive to SLT and Non-SLT modules, not correlated.</w:t>
            </w:r>
          </w:p>
        </w:tc>
      </w:tr>
    </w:tbl>
    <w:p>
      <w:pPr>
        <w:spacing w:after="60" w:before="60"/>
      </w:pPr>
      <w:r>
        <w:t xml:space="preserve"/>
      </w:r>
    </w:p>
    <w:p>
      <w:pPr>
        <w:pStyle w:val="Heading2"/>
        <w:spacing w:after="80" w:before="240"/>
      </w:pPr>
      <w:r>
        <w:rPr>
          <w:b/>
          <w:bCs/>
          <w:color w:val="0E6B6B"/>
        </w:rPr>
        <w:t xml:space="preserve">4.4  The Minimum Capital Requirement (MCR) — The Ultimate Threshold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ADBD8" w:val="clear"/>
            <w:tcMar>
              <w:top w:type="dxa" w:w="80"/>
              <w:left w:type="dxa" w:w="160"/>
              <w:bottom w:type="dxa" w:w="80"/>
              <w:right w:type="dxa" w:w="120"/>
            </w:tcMar>
          </w:tcPr>
          <w:p>
            <w:r>
              <w:rPr>
                <w:b/>
                <w:bCs/>
                <w:color w:val="C0392B"/>
                <w:sz w:val="22"/>
                <w:szCs w:val="22"/>
              </w:rPr>
              <w:t xml:space="preserve">MCR Definition</w:t>
            </w:r>
          </w:p>
          <w:p>
            <w:pPr>
              <w:spacing w:after="60" w:before="40"/>
            </w:pPr>
            <w:r>
              <w:rPr>
                <w:sz w:val="22"/>
                <w:szCs w:val="22"/>
              </w:rPr>
              <w:t xml:space="preserve">VaR of basic own funds at 85% confidence over 1 year. Simple linear factor formula (no modules).</w:t>
            </w:r>
          </w:p>
          <w:p>
            <w:pPr>
              <w:spacing w:after="60" w:before="40"/>
            </w:pPr>
            <w:r>
              <w:rPr>
                <w:sz w:val="22"/>
                <w:szCs w:val="22"/>
              </w:rPr>
              <w:t xml:space="preserve">The MCR is the ULTIMATE supervisory intervention point. If own funds fall below MCR, the supervisor will withdraw the insurer's authorisation.</w:t>
            </w:r>
          </w:p>
          <w:p>
            <w:r>
              <w:rPr>
                <w:b/>
                <w:bCs/>
                <w:sz w:val="21"/>
                <w:szCs w:val="21"/>
              </w:rPr>
              <w:t xml:space="preserve">Floor &amp; Cap:</w:t>
            </w:r>
          </w:p>
          <w:p>
            <w:pPr>
              <w:pStyle w:val="ListParagraph"/>
              <w:numPr>
                <w:ilvl w:val="0"/>
                <w:numId w:val="2"/>
              </w:numPr>
              <w:spacing w:after="40" w:before="40"/>
            </w:pPr>
            <w:r>
              <w:rPr>
                <w:b w:val="false"/>
                <w:bCs w:val="false"/>
                <w:sz w:val="22"/>
                <w:szCs w:val="22"/>
              </w:rPr>
              <w:t xml:space="preserve">MCR ≥ 25% × SCR (floor)</w:t>
            </w:r>
          </w:p>
          <w:p>
            <w:pPr>
              <w:pStyle w:val="ListParagraph"/>
              <w:numPr>
                <w:ilvl w:val="0"/>
                <w:numId w:val="2"/>
              </w:numPr>
              <w:spacing w:after="40" w:before="40"/>
            </w:pPr>
            <w:r>
              <w:rPr>
                <w:b w:val="false"/>
                <w:bCs w:val="false"/>
                <w:sz w:val="22"/>
                <w:szCs w:val="22"/>
              </w:rPr>
              <w:t xml:space="preserve">MCR ≤ 45% × SCR (cap)</w:t>
            </w:r>
          </w:p>
          <w:p>
            <w:pPr>
              <w:pStyle w:val="ListParagraph"/>
              <w:numPr>
                <w:ilvl w:val="0"/>
                <w:numId w:val="2"/>
              </w:numPr>
              <w:spacing w:after="40" w:before="40"/>
            </w:pPr>
            <w:r>
              <w:rPr>
                <w:b w:val="false"/>
                <w:bCs w:val="false"/>
                <w:sz w:val="22"/>
                <w:szCs w:val="22"/>
              </w:rPr>
              <w:t xml:space="preserve">Absolute minimum by class of business</w:t>
            </w:r>
          </w:p>
        </w:tc>
        <w:tc>
          <w:tcPr>
            <w:tcW w:type="dxa" w:w="4680"/>
            <w:tcBorders>
              <w:top w:val="single" w:color="CCCCCC" w:sz="1"/>
              <w:left w:val="single" w:color="CCCCCC" w:sz="1"/>
              <w:bottom w:val="single" w:color="CCCCCC" w:sz="1"/>
              <w:right w:val="single" w:color="CCCCCC" w:sz="1"/>
            </w:tcBorders>
            <w:shd w:fill="D6EAF8" w:val="clear"/>
            <w:tcMar>
              <w:top w:type="dxa" w:w="80"/>
              <w:left w:type="dxa" w:w="160"/>
              <w:bottom w:type="dxa" w:w="80"/>
              <w:right w:type="dxa" w:w="120"/>
            </w:tcMar>
          </w:tcPr>
          <w:p>
            <w:r>
              <w:rPr>
                <w:b/>
                <w:bCs/>
                <w:color w:val="0E6B6B"/>
                <w:sz w:val="22"/>
                <w:szCs w:val="22"/>
              </w:rPr>
              <w:t xml:space="preserve">MCR Linear Formula</w:t>
            </w:r>
          </w:p>
          <w:p>
            <w:pPr>
              <w:spacing w:after="60" w:before="40"/>
            </w:pPr>
            <w:r>
              <w:rPr>
                <w:sz w:val="22"/>
                <w:szCs w:val="22"/>
              </w:rPr>
              <w:t xml:space="preserve">For SLT health business: factors applied to Technical Provisions + capital at risk on death/disability benefits.</w:t>
            </w:r>
          </w:p>
          <w:p>
            <w:pPr>
              <w:spacing w:after="60" w:before="40"/>
            </w:pPr>
            <w:r>
              <w:rPr>
                <w:sz w:val="22"/>
                <w:szCs w:val="22"/>
              </w:rPr>
              <w:t xml:space="preserve">For Non-SLT health business: factors applied to Technical Provisions + written premiums.</w:t>
            </w:r>
          </w:p>
          <w:p>
            <w:r>
              <w:rPr>
                <w:b/>
                <w:bCs/>
                <w:sz w:val="21"/>
                <w:szCs w:val="21"/>
              </w:rPr>
              <w:t xml:space="preserve">Supervisory Ladder:</w:t>
            </w:r>
          </w:p>
          <w:p>
            <w:pPr>
              <w:pStyle w:val="ListParagraph"/>
              <w:numPr>
                <w:ilvl w:val="0"/>
                <w:numId w:val="2"/>
              </w:numPr>
              <w:spacing w:after="40" w:before="40"/>
            </w:pPr>
            <w:r>
              <w:rPr>
                <w:b w:val="false"/>
                <w:bCs w:val="false"/>
                <w:sz w:val="22"/>
                <w:szCs w:val="22"/>
              </w:rPr>
              <w:t xml:space="preserve">Own funds &gt; SCR: no intervention required</w:t>
            </w:r>
          </w:p>
          <w:p>
            <w:pPr>
              <w:pStyle w:val="ListParagraph"/>
              <w:numPr>
                <w:ilvl w:val="0"/>
                <w:numId w:val="2"/>
              </w:numPr>
              <w:spacing w:after="40" w:before="40"/>
            </w:pPr>
            <w:r>
              <w:rPr>
                <w:b w:val="false"/>
                <w:bCs w:val="false"/>
                <w:sz w:val="22"/>
                <w:szCs w:val="22"/>
              </w:rPr>
              <w:t xml:space="preserve">SCR breached: supervisor notified, recovery plan required within 6 months</w:t>
            </w:r>
          </w:p>
          <w:p>
            <w:pPr>
              <w:pStyle w:val="ListParagraph"/>
              <w:numPr>
                <w:ilvl w:val="0"/>
                <w:numId w:val="2"/>
              </w:numPr>
              <w:spacing w:after="40" w:before="40"/>
            </w:pPr>
            <w:r>
              <w:rPr>
                <w:b w:val="false"/>
                <w:bCs w:val="false"/>
                <w:sz w:val="22"/>
                <w:szCs w:val="22"/>
              </w:rPr>
              <w:t xml:space="preserve">MCR breached: authorisation withdrawn — insurer must wind up or be acquired</w:t>
            </w:r>
          </w:p>
        </w:tc>
      </w:tr>
    </w:tbl>
    <w:p>
      <w:pPr>
        <w:spacing w:after="60" w:before="60"/>
      </w:pPr>
      <w:r>
        <w:t xml:space="preserve"/>
      </w:r>
    </w:p>
    <w:p>
      <w:pPr>
        <w:pStyle w:val="Heading2"/>
        <w:spacing w:after="80" w:before="240"/>
      </w:pPr>
      <w:r>
        <w:rPr>
          <w:b/>
          <w:bCs/>
          <w:color w:val="0E6B6B"/>
        </w:rPr>
        <w:t xml:space="preserve">4.5  Internal Models vs Standard Formula — Decision Framework</w:t>
      </w:r>
    </w:p>
    <w:p>
      <w:pPr>
        <w:spacing w:after="60" w:before="40"/>
      </w:pPr>
      <w:r>
        <w:rPr>
          <w:sz w:val="22"/>
          <w:szCs w:val="22"/>
        </w:rPr>
        <w:t xml:space="preserve">This was a 12-mark question in IAI Nov 2023. Know the factors for and against.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F5E3" w:val="clear"/>
            <w:tcMar>
              <w:top w:type="dxa" w:w="80"/>
              <w:left w:type="dxa" w:w="160"/>
              <w:bottom w:type="dxa" w:w="80"/>
              <w:right w:type="dxa" w:w="120"/>
            </w:tcMar>
          </w:tcPr>
          <w:p>
            <w:r>
              <w:rPr>
                <w:b/>
                <w:bCs/>
                <w:color w:val="1A6B3C"/>
                <w:sz w:val="21"/>
                <w:szCs w:val="21"/>
              </w:rPr>
              <w:t xml:space="preserve">REASONS TO USE INTERNAL MODEL</w:t>
            </w:r>
          </w:p>
          <w:p>
            <w:pPr>
              <w:pStyle w:val="ListParagraph"/>
              <w:numPr>
                <w:ilvl w:val="0"/>
                <w:numId w:val="2"/>
              </w:numPr>
              <w:spacing w:after="40" w:before="40"/>
            </w:pPr>
            <w:r>
              <w:rPr>
                <w:b w:val="false"/>
                <w:bCs w:val="false"/>
                <w:sz w:val="22"/>
                <w:szCs w:val="22"/>
              </w:rPr>
              <w:t xml:space="preserve">Risk profile differs materially from standard formula assumptions — internal model gives more accurate capital</w:t>
            </w:r>
          </w:p>
          <w:p>
            <w:pPr>
              <w:pStyle w:val="ListParagraph"/>
              <w:numPr>
                <w:ilvl w:val="0"/>
                <w:numId w:val="2"/>
              </w:numPr>
              <w:spacing w:after="40" w:before="40"/>
            </w:pPr>
            <w:r>
              <w:rPr>
                <w:b w:val="false"/>
                <w:bCs w:val="false"/>
                <w:sz w:val="22"/>
                <w:szCs w:val="22"/>
              </w:rPr>
              <w:t xml:space="preserve">Company already uses stochastic models for risk management — lower incremental cost</w:t>
            </w:r>
          </w:p>
          <w:p>
            <w:pPr>
              <w:pStyle w:val="ListParagraph"/>
              <w:numPr>
                <w:ilvl w:val="0"/>
                <w:numId w:val="2"/>
              </w:numPr>
              <w:spacing w:after="40" w:before="40"/>
            </w:pPr>
            <w:r>
              <w:rPr>
                <w:b w:val="false"/>
                <w:bCs w:val="false"/>
                <w:sz w:val="22"/>
                <w:szCs w:val="22"/>
              </w:rPr>
              <w:t xml:space="preserve">May produce LOWER SCR than standard formula → competitive advantage on pricing</w:t>
            </w:r>
          </w:p>
          <w:p>
            <w:pPr>
              <w:pStyle w:val="ListParagraph"/>
              <w:numPr>
                <w:ilvl w:val="0"/>
                <w:numId w:val="2"/>
              </w:numPr>
              <w:spacing w:after="40" w:before="40"/>
            </w:pPr>
            <w:r>
              <w:rPr>
                <w:b w:val="false"/>
                <w:bCs w:val="false"/>
                <w:sz w:val="22"/>
                <w:szCs w:val="22"/>
              </w:rPr>
              <w:t xml:space="preserve">Better understanding of risks enables better risk management decisions</w:t>
            </w:r>
          </w:p>
          <w:p>
            <w:pPr>
              <w:pStyle w:val="ListParagraph"/>
              <w:numPr>
                <w:ilvl w:val="0"/>
                <w:numId w:val="2"/>
              </w:numPr>
              <w:spacing w:after="40" w:before="40"/>
            </w:pPr>
            <w:r>
              <w:rPr>
                <w:b w:val="false"/>
                <w:bCs w:val="false"/>
                <w:sz w:val="22"/>
                <w:szCs w:val="22"/>
              </w:rPr>
              <w:t xml:space="preserve">Competitive advantage: sophisticated firms can differentiate on capital efficiency</w:t>
            </w:r>
          </w:p>
          <w:p>
            <w:pPr>
              <w:pStyle w:val="ListParagraph"/>
              <w:numPr>
                <w:ilvl w:val="0"/>
                <w:numId w:val="2"/>
              </w:numPr>
              <w:spacing w:after="40" w:before="40"/>
            </w:pPr>
            <w:r>
              <w:rPr>
                <w:b w:val="false"/>
                <w:bCs w:val="false"/>
                <w:sz w:val="22"/>
                <w:szCs w:val="22"/>
              </w:rPr>
              <w:t xml:space="preserve">Required by supervisor if standard formula is inappropriate for the risk profile</w:t>
            </w:r>
          </w:p>
        </w:tc>
        <w:tc>
          <w:tcPr>
            <w:tcW w:type="dxa" w:w="4680"/>
            <w:tcBorders>
              <w:top w:val="single" w:color="CCCCCC" w:sz="1"/>
              <w:left w:val="single" w:color="CCCCCC" w:sz="1"/>
              <w:bottom w:val="single" w:color="CCCCCC" w:sz="1"/>
              <w:right w:val="single" w:color="CCCCCC" w:sz="1"/>
            </w:tcBorders>
            <w:shd w:fill="FADBD8" w:val="clear"/>
            <w:tcMar>
              <w:top w:type="dxa" w:w="80"/>
              <w:left w:type="dxa" w:w="160"/>
              <w:bottom w:type="dxa" w:w="80"/>
              <w:right w:type="dxa" w:w="120"/>
            </w:tcMar>
          </w:tcPr>
          <w:p>
            <w:r>
              <w:rPr>
                <w:b/>
                <w:bCs/>
                <w:color w:val="C0392B"/>
                <w:sz w:val="21"/>
                <w:szCs w:val="21"/>
              </w:rPr>
              <w:t xml:space="preserve">REASONS TO STAY ON STANDARD FORMULA</w:t>
            </w:r>
          </w:p>
          <w:p>
            <w:pPr>
              <w:pStyle w:val="ListParagraph"/>
              <w:numPr>
                <w:ilvl w:val="0"/>
                <w:numId w:val="2"/>
              </w:numPr>
              <w:spacing w:after="40" w:before="40"/>
            </w:pPr>
            <w:r>
              <w:rPr>
                <w:b w:val="false"/>
                <w:bCs w:val="false"/>
                <w:sz w:val="22"/>
                <w:szCs w:val="22"/>
              </w:rPr>
              <w:t xml:space="preserve">Standard formula is a good fit for the business — no benefit from internal model</w:t>
            </w:r>
          </w:p>
          <w:p>
            <w:pPr>
              <w:pStyle w:val="ListParagraph"/>
              <w:numPr>
                <w:ilvl w:val="0"/>
                <w:numId w:val="2"/>
              </w:numPr>
              <w:spacing w:after="40" w:before="40"/>
            </w:pPr>
            <w:r>
              <w:rPr>
                <w:b w:val="false"/>
                <w:bCs w:val="false"/>
                <w:sz w:val="22"/>
                <w:szCs w:val="22"/>
              </w:rPr>
              <w:t xml:space="preserve">Small company: lacks expertise and resources to build and maintain an internal model</w:t>
            </w:r>
          </w:p>
          <w:p>
            <w:pPr>
              <w:pStyle w:val="ListParagraph"/>
              <w:numPr>
                <w:ilvl w:val="0"/>
                <w:numId w:val="2"/>
              </w:numPr>
              <w:spacing w:after="40" w:before="40"/>
            </w:pPr>
            <w:r>
              <w:rPr>
                <w:b w:val="false"/>
                <w:bCs w:val="false"/>
                <w:sz w:val="22"/>
                <w:szCs w:val="22"/>
              </w:rPr>
              <w:t xml:space="preserve">IMAP (Internal Model Approval Process) is costly — extensive documentation, validation, ongoing maintenance</w:t>
            </w:r>
          </w:p>
          <w:p>
            <w:pPr>
              <w:pStyle w:val="ListParagraph"/>
              <w:numPr>
                <w:ilvl w:val="0"/>
                <w:numId w:val="2"/>
              </w:numPr>
              <w:spacing w:after="40" w:before="40"/>
            </w:pPr>
            <w:r>
              <w:rPr>
                <w:b w:val="false"/>
                <w:bCs w:val="false"/>
                <w:sz w:val="22"/>
                <w:szCs w:val="22"/>
              </w:rPr>
              <w:t xml:space="preserve">Cannot revert to standard formula once approved — regulatory lock-in</w:t>
            </w:r>
          </w:p>
          <w:p>
            <w:pPr>
              <w:pStyle w:val="ListParagraph"/>
              <w:numPr>
                <w:ilvl w:val="0"/>
                <w:numId w:val="2"/>
              </w:numPr>
              <w:spacing w:after="40" w:before="40"/>
            </w:pPr>
            <w:r>
              <w:rPr>
                <w:b w:val="false"/>
                <w:bCs w:val="false"/>
                <w:sz w:val="22"/>
                <w:szCs w:val="22"/>
              </w:rPr>
              <w:t xml:space="preserve">Senior management difficulty in understanding complex model — use test compliance harder</w:t>
            </w:r>
          </w:p>
          <w:p>
            <w:pPr>
              <w:pStyle w:val="ListParagraph"/>
              <w:numPr>
                <w:ilvl w:val="0"/>
                <w:numId w:val="2"/>
              </w:numPr>
              <w:spacing w:after="40" w:before="40"/>
            </w:pPr>
            <w:r>
              <w:rPr>
                <w:b w:val="false"/>
                <w:bCs w:val="false"/>
                <w:sz w:val="22"/>
                <w:szCs w:val="22"/>
              </w:rPr>
              <w:t xml:space="preserve">Opportunity cost: staff time could be spent on new business development</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b/>
                <w:bCs/>
                <w:color w:val="FFFFFF"/>
                <w:sz w:val="20"/>
                <w:szCs w:val="20"/>
              </w:rPr>
              <w:t xml:space="preserve">INTERNAL MODEL APPROVAL TESTS</w:t>
            </w:r>
          </w:p>
        </w:tc>
        <w:tc>
          <w:tcPr>
            <w:tcW w:type="dxa" w:w="8160"/>
            <w:tcBorders>
              <w:top w:val="single" w:color="CCCCCC" w:sz="1"/>
              <w:left w:val="single" w:color="CCCCCC" w:sz="1"/>
              <w:bottom w:val="single" w:color="CCCCCC" w:sz="1"/>
              <w:right w:val="single" w:color="CCCCCC" w:sz="1"/>
            </w:tcBorders>
            <w:shd w:fill="FEF9E7" w:val="clear"/>
            <w:tcMar>
              <w:top w:type="dxa" w:w="80"/>
              <w:left w:type="dxa" w:w="160"/>
              <w:bottom w:type="dxa" w:w="80"/>
              <w:right w:type="dxa" w:w="120"/>
            </w:tcMar>
          </w:tcPr>
          <w:p>
            <w:r>
              <w:rPr>
                <w:sz w:val="21"/>
                <w:szCs w:val="21"/>
              </w:rPr>
              <w:t xml:space="preserve">To gain regulatory approval, an internal model must pass six tests: (1) Use Test — management must genuinely use the model for decision-making. (2) Statistical Quality — sound statistical methods, appropriate for the risk profile. (3) Calibration — 99.5% VaR over 1 year. (4) P&amp;L Attribution — the model must explain actual profit and loss outcomes. (5) Validation — independent validation of inputs, results and assumptions. (6) Documentation — complete and auditable documentation of methods and assumptions.</w:t>
            </w:r>
          </w:p>
        </w:tc>
      </w:tr>
    </w:tbl>
    <w:p>
      <w:pPr>
        <w:spacing w:after="60" w:before="60"/>
      </w:pPr>
      <w:r>
        <w:t xml:space="preserve"/>
      </w:r>
    </w:p>
    <w:p>
      <w:r>
        <w:br w:type="page"/>
      </w:r>
    </w:p>
    <w:p>
      <w:pPr>
        <w:pStyle w:val="Heading1"/>
        <w:pBdr>
          <w:bottom w:val="single" w:color="1B3A6B" w:sz="6" w:space="4"/>
        </w:pBdr>
        <w:spacing w:after="120" w:before="360"/>
      </w:pPr>
      <w:r>
        <w:rPr>
          <w:b/>
          <w:bCs/>
          <w:color w:val="1B3A6B"/>
        </w:rPr>
        <w:t xml:space="preserve">BLOCK 5 — CAPITAL MANAGEMENT</w:t>
      </w:r>
    </w:p>
    <w:p>
      <w:pPr>
        <w:spacing w:after="60" w:before="40"/>
      </w:pPr>
      <w:r>
        <w:rPr>
          <w:sz w:val="22"/>
          <w:szCs w:val="22"/>
        </w:rPr>
        <w:t xml:space="preserve">Capital management goes beyond just holding sufficient capital. It is about optimising the relationship between capital, risk and economic value.</w:t>
      </w:r>
    </w:p>
    <w:p>
      <w:pPr>
        <w:spacing w:after="60" w:before="60"/>
      </w:pPr>
      <w:r>
        <w:t xml:space="preserve"/>
      </w:r>
    </w:p>
    <w:p>
      <w:pPr>
        <w:pStyle w:val="Heading2"/>
        <w:spacing w:after="80" w:before="240"/>
      </w:pPr>
      <w:r>
        <w:rPr>
          <w:b/>
          <w:bCs/>
          <w:color w:val="0E6B6B"/>
        </w:rPr>
        <w:t xml:space="preserve">5.1  Economic Capital — Stochastic Modelling and Stress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6EAF8" w:val="clear"/>
            <w:tcMar>
              <w:top w:type="dxa" w:w="80"/>
              <w:left w:type="dxa" w:w="160"/>
              <w:bottom w:type="dxa" w:w="80"/>
              <w:right w:type="dxa" w:w="120"/>
            </w:tcMar>
          </w:tcPr>
          <w:p>
            <w:r>
              <w:rPr>
                <w:b/>
                <w:bCs/>
                <w:color w:val="1B3A6B"/>
                <w:sz w:val="21"/>
                <w:szCs w:val="21"/>
              </w:rPr>
              <w:t xml:space="preserve">STOCHASTIC MODELLING</w:t>
            </w:r>
          </w:p>
          <w:p>
            <w:pPr>
              <w:spacing w:after="60" w:before="40"/>
            </w:pPr>
            <w:r>
              <w:rPr>
                <w:sz w:val="22"/>
                <w:szCs w:val="22"/>
              </w:rPr>
              <w:t xml:space="preserve">Realistic capital calculated across a large number of real-world economic scenarios.</w:t>
            </w:r>
          </w:p>
          <w:p>
            <w:pPr>
              <w:pStyle w:val="ListParagraph"/>
              <w:numPr>
                <w:ilvl w:val="0"/>
                <w:numId w:val="2"/>
              </w:numPr>
              <w:spacing w:after="40" w:before="40"/>
            </w:pPr>
            <w:r>
              <w:rPr>
                <w:b w:val="false"/>
                <w:bCs w:val="false"/>
                <w:sz w:val="22"/>
                <w:szCs w:val="22"/>
              </w:rPr>
              <w:t xml:space="preserve">Used for market and credit risks (distribution well understood)</w:t>
            </w:r>
          </w:p>
          <w:p>
            <w:pPr>
              <w:pStyle w:val="ListParagraph"/>
              <w:numPr>
                <w:ilvl w:val="0"/>
                <w:numId w:val="2"/>
              </w:numPr>
              <w:spacing w:after="40" w:before="40"/>
            </w:pPr>
            <w:r>
              <w:rPr>
                <w:b w:val="false"/>
                <w:bCs w:val="false"/>
                <w:sz w:val="22"/>
                <w:szCs w:val="22"/>
              </w:rPr>
              <w:t xml:space="preserve">Also used for insurance risks where distributions exist: stochastic morbidity models for CI, multi-state models for IP</w:t>
            </w:r>
          </w:p>
          <w:p>
            <w:pPr>
              <w:pStyle w:val="ListParagraph"/>
              <w:numPr>
                <w:ilvl w:val="0"/>
                <w:numId w:val="2"/>
              </w:numPr>
              <w:spacing w:after="40" w:before="40"/>
            </w:pPr>
            <w:r>
              <w:rPr>
                <w:b w:val="false"/>
                <w:bCs w:val="false"/>
                <w:sz w:val="22"/>
                <w:szCs w:val="22"/>
              </w:rPr>
              <w:t xml:space="preserve">UK mortality: stochastic mortality models increasingly used (e.g. for immediate needs annuities)</w:t>
            </w:r>
          </w:p>
          <w:p>
            <w:pPr>
              <w:pStyle w:val="ListParagraph"/>
              <w:numPr>
                <w:ilvl w:val="0"/>
                <w:numId w:val="2"/>
              </w:numPr>
              <w:spacing w:after="40" w:before="40"/>
            </w:pPr>
            <w:r>
              <w:rPr>
                <w:b w:val="false"/>
                <w:bCs w:val="false"/>
                <w:sz w:val="22"/>
                <w:szCs w:val="22"/>
              </w:rPr>
              <w:t xml:space="preserve">Advantage: captures full distribution of outcomes including tail events</w:t>
            </w:r>
          </w:p>
          <w:p>
            <w:pPr>
              <w:spacing w:after="60" w:before="40"/>
            </w:pPr>
            <w:r>
              <w:rPr>
                <w:sz w:val="22"/>
                <w:szCs w:val="22"/>
              </w:rPr>
              <w:t xml:space="preserve">Time horizon: 1 year (SII SCR basis) OR full run-off (non-hedgeable long-tailed risks). No single correct answer.</w:t>
            </w:r>
          </w:p>
        </w:tc>
        <w:tc>
          <w:tcPr>
            <w:tcW w:type="dxa" w:w="4680"/>
            <w:tcBorders>
              <w:top w:val="single" w:color="CCCCCC" w:sz="1"/>
              <w:left w:val="single" w:color="CCCCCC" w:sz="1"/>
              <w:bottom w:val="single" w:color="CCCCCC" w:sz="1"/>
              <w:right w:val="single" w:color="CCCCCC" w:sz="1"/>
            </w:tcBorders>
            <w:shd w:fill="D5F5E3" w:val="clear"/>
            <w:tcMar>
              <w:top w:type="dxa" w:w="80"/>
              <w:left w:type="dxa" w:w="160"/>
              <w:bottom w:type="dxa" w:w="80"/>
              <w:right w:type="dxa" w:w="120"/>
            </w:tcMar>
          </w:tcPr>
          <w:p>
            <w:r>
              <w:rPr>
                <w:b/>
                <w:bCs/>
                <w:color w:val="0E6B6B"/>
                <w:sz w:val="21"/>
                <w:szCs w:val="21"/>
              </w:rPr>
              <w:t xml:space="preserve">STRESS TESTING</w:t>
            </w:r>
          </w:p>
          <w:p>
            <w:pPr>
              <w:spacing w:after="60" w:before="40"/>
            </w:pPr>
            <w:r>
              <w:rPr>
                <w:sz w:val="22"/>
                <w:szCs w:val="22"/>
              </w:rPr>
              <w:t xml:space="preserve">Used where the distribution of a particular risk is less clearly understood.</w:t>
            </w:r>
          </w:p>
          <w:p>
            <w:pPr>
              <w:pStyle w:val="ListParagraph"/>
              <w:numPr>
                <w:ilvl w:val="0"/>
                <w:numId w:val="2"/>
              </w:numPr>
              <w:spacing w:after="40" w:before="40"/>
            </w:pPr>
            <w:r>
              <w:rPr>
                <w:b w:val="false"/>
                <w:bCs w:val="false"/>
                <w:sz w:val="22"/>
                <w:szCs w:val="22"/>
              </w:rPr>
              <w:t xml:space="preserve">Apply a defined set of stresses to realistic capital and measure the impact</w:t>
            </w:r>
          </w:p>
          <w:p>
            <w:pPr>
              <w:pStyle w:val="ListParagraph"/>
              <w:numPr>
                <w:ilvl w:val="0"/>
                <w:numId w:val="2"/>
              </w:numPr>
              <w:spacing w:after="40" w:before="40"/>
            </w:pPr>
            <w:r>
              <w:rPr>
                <w:b w:val="false"/>
                <w:bCs w:val="false"/>
                <w:sz w:val="22"/>
                <w:szCs w:val="22"/>
              </w:rPr>
              <w:t xml:space="preserve">REVERSE STRESS TESTING: start from a known adverse outcome (e.g. SCR breach) and work backwards to identify what combination of events could cause it</w:t>
            </w:r>
          </w:p>
          <w:p>
            <w:pPr>
              <w:pStyle w:val="ListParagraph"/>
              <w:numPr>
                <w:ilvl w:val="0"/>
                <w:numId w:val="2"/>
              </w:numPr>
              <w:spacing w:after="40" w:before="40"/>
            </w:pPr>
            <w:r>
              <w:rPr>
                <w:b w:val="false"/>
                <w:bCs w:val="false"/>
                <w:sz w:val="22"/>
                <w:szCs w:val="22"/>
              </w:rPr>
              <w:t xml:space="preserve">Useful for operational risk, liquidity risk, and other non-market risks</w:t>
            </w:r>
          </w:p>
          <w:p>
            <w:pPr>
              <w:pStyle w:val="ListParagraph"/>
              <w:numPr>
                <w:ilvl w:val="0"/>
                <w:numId w:val="2"/>
              </w:numPr>
              <w:spacing w:after="40" w:before="40"/>
            </w:pPr>
            <w:r>
              <w:rPr>
                <w:b w:val="false"/>
                <w:bCs w:val="false"/>
                <w:sz w:val="22"/>
                <w:szCs w:val="22"/>
              </w:rPr>
              <w:t xml:space="preserve">Advantage: simpler to implement; easier to communicate to senior management</w:t>
            </w:r>
          </w:p>
          <w:p>
            <w:pPr>
              <w:spacing w:after="60" w:before="40"/>
            </w:pPr>
            <w:r>
              <w:rPr>
                <w:sz w:val="22"/>
                <w:szCs w:val="22"/>
              </w:rPr>
              <w:t xml:space="preserve">Interdependencies between risks must be assessed to determine overall economic capital. Correlations matter especially in tail scenarios.</w:t>
            </w:r>
          </w:p>
        </w:tc>
      </w:tr>
    </w:tbl>
    <w:p>
      <w:pPr>
        <w:spacing w:after="60" w:before="60"/>
      </w:pPr>
      <w:r>
        <w:t xml:space="preserve"/>
      </w:r>
    </w:p>
    <w:p>
      <w:pPr>
        <w:pStyle w:val="Heading2"/>
        <w:spacing w:after="80" w:before="240"/>
      </w:pPr>
      <w:r>
        <w:rPr>
          <w:b/>
          <w:bCs/>
          <w:color w:val="0E6B6B"/>
        </w:rPr>
        <w:t xml:space="preserve">5.2  Proxy Models — Solving the Nested Calculations Problem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b/>
                <w:bCs/>
                <w:color w:val="FFFFFF"/>
                <w:sz w:val="20"/>
                <w:szCs w:val="20"/>
              </w:rPr>
              <w:t xml:space="preserve">THE PROBLEM</w:t>
            </w:r>
          </w:p>
        </w:tc>
        <w:tc>
          <w:tcPr>
            <w:tcW w:type="dxa" w:w="8160"/>
            <w:tcBorders>
              <w:top w:val="single" w:color="CCCCCC" w:sz="1"/>
              <w:left w:val="single" w:color="CCCCCC" w:sz="1"/>
              <w:bottom w:val="single" w:color="CCCCCC" w:sz="1"/>
              <w:right w:val="single" w:color="CCCCCC" w:sz="1"/>
            </w:tcBorders>
            <w:shd w:fill="FADBD8" w:val="clear"/>
            <w:tcMar>
              <w:top w:type="dxa" w:w="80"/>
              <w:left w:type="dxa" w:w="160"/>
              <w:bottom w:type="dxa" w:w="80"/>
              <w:right w:type="dxa" w:w="120"/>
            </w:tcMar>
          </w:tcPr>
          <w:p>
            <w:r>
              <w:rPr>
                <w:sz w:val="21"/>
                <w:szCs w:val="21"/>
              </w:rPr>
              <w:t xml:space="preserve">To calculate probability of insolvency stochastically requires nested calculations: inner simulations (market-consistent, to value liabilities at future dates) must run inside each step of outer real-world scenarios. Example: 10,000 outer × 10,000 inner = 100 million calculations — computationally infeasible. Short Solvency II reporting timescales compound this problem.</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760"/>
        <w:gridCol w:w="3400"/>
      </w:tblGrid>
      <w:tr>
        <w:trPr>
          <w:tblHeader/>
        </w:trPr>
        <w:tc>
          <w:tcPr>
            <w:tcW w:type="dxa" w:w="2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80"/>
            </w:tcMar>
          </w:tcPr>
          <w:p>
            <w:r>
              <w:rPr>
                <w:b/>
                <w:bCs/>
                <w:color w:val="FFFFFF"/>
                <w:sz w:val="20"/>
                <w:szCs w:val="20"/>
              </w:rPr>
              <w:t xml:space="preserve">Proxy Model Type</w:t>
            </w:r>
          </w:p>
        </w:tc>
        <w:tc>
          <w:tcPr>
            <w:tcW w:type="dxa" w:w="37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80"/>
            </w:tcMar>
          </w:tcPr>
          <w:p>
            <w:r>
              <w:rPr>
                <w:b/>
                <w:bCs/>
                <w:color w:val="FFFFFF"/>
                <w:sz w:val="20"/>
                <w:szCs w:val="20"/>
              </w:rPr>
              <w:t xml:space="preserve">How it works</w:t>
            </w:r>
          </w:p>
        </w:tc>
        <w:tc>
          <w:tcPr>
            <w:tcW w:type="dxa" w:w="3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80"/>
            </w:tcMar>
          </w:tcPr>
          <w:p>
            <w:r>
              <w:rPr>
                <w:b/>
                <w:bCs/>
                <w:color w:val="FFFFFF"/>
                <w:sz w:val="20"/>
                <w:szCs w:val="20"/>
              </w:rPr>
              <w:t xml:space="preserve">Key limitation</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80"/>
            </w:tcMar>
          </w:tcPr>
          <w:p>
            <w:r>
              <w:rPr>
                <w:b/>
                <w:bCs/>
                <w:sz w:val="21"/>
                <w:szCs w:val="21"/>
              </w:rPr>
              <w:t xml:space="preserve">Polynomial / Curve-Fitting</w:t>
            </w:r>
          </w:p>
        </w:tc>
        <w:tc>
          <w:tcPr>
            <w:tcW w:type="dxa" w:w="376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80"/>
            </w:tcMar>
          </w:tcPr>
          <w:p>
            <w:r>
              <w:rPr>
                <w:sz w:val="20"/>
                <w:szCs w:val="20"/>
              </w:rPr>
              <w:t xml:space="preserve">Fit a polynomial function to the heavy model output as a function of key risk factors (interest rates, equity index, inflation, morbidity, etc.). Typically 10-20 risk factors up to 4th-order terms.</w:t>
            </w:r>
          </w:p>
        </w:tc>
        <w:tc>
          <w:tcPr>
            <w:tcW w:type="dxa" w:w="34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80"/>
            </w:tcMar>
          </w:tcPr>
          <w:p>
            <w:r>
              <w:rPr>
                <w:sz w:val="20"/>
                <w:szCs w:val="20"/>
              </w:rPr>
              <w:t xml:space="preserve">Overfitting risk: too many parameters → poor out-of-sample performance. Must validate on out-of-sample scenarios.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b/>
                <w:bCs/>
                <w:sz w:val="21"/>
                <w:szCs w:val="21"/>
              </w:rPr>
              <w:t xml:space="preserve">Kriging</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sz w:val="20"/>
                <w:szCs w:val="20"/>
              </w:rPr>
              <w:t xml:space="preserve">Multi-dimensional interpolation modelled by Gaussian processes. Handles complex non-linear relationships that polynomials cannot capture.</w:t>
            </w:r>
          </w:p>
        </w:tc>
        <w:tc>
          <w:tcPr>
            <w:tcW w:type="dxa" w:w="3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sz w:val="20"/>
                <w:szCs w:val="20"/>
              </w:rPr>
              <w:t xml:space="preserve">More complex to implement and explain to senior management. Requires expertise in Gaussian process modelling.</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80"/>
            </w:tcMar>
          </w:tcPr>
          <w:p>
            <w:r>
              <w:rPr>
                <w:b/>
                <w:bCs/>
                <w:sz w:val="21"/>
                <w:szCs w:val="21"/>
              </w:rPr>
              <w:t xml:space="preserve">Replicating Portfolio</w:t>
            </w:r>
          </w:p>
        </w:tc>
        <w:tc>
          <w:tcPr>
            <w:tcW w:type="dxa" w:w="376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80"/>
            </w:tcMar>
          </w:tcPr>
          <w:p>
            <w:r>
              <w:rPr>
                <w:sz w:val="20"/>
                <w:szCs w:val="20"/>
              </w:rPr>
              <w:t xml:space="preserve">Assets selected to closely replicate the behaviour of the liabilities. The replicating assets are then modelled instead.</w:t>
            </w:r>
          </w:p>
        </w:tc>
        <w:tc>
          <w:tcPr>
            <w:tcW w:type="dxa" w:w="34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80"/>
            </w:tcMar>
          </w:tcPr>
          <w:p>
            <w:r>
              <w:rPr>
                <w:sz w:val="20"/>
                <w:szCs w:val="20"/>
              </w:rPr>
              <w:t xml:space="preserve">Becoming less popular. Difficult to find assets that replicate non-market risks (morbidity, longevity) sufficiently well.</w:t>
            </w:r>
          </w:p>
        </w:tc>
      </w:tr>
    </w:tbl>
    <w:p>
      <w:pPr>
        <w:spacing w:after="60" w:before="60"/>
      </w:pPr>
      <w:r>
        <w:t xml:space="preserve"/>
      </w:r>
    </w:p>
    <w:p>
      <w:pPr>
        <w:pStyle w:val="Heading2"/>
        <w:spacing w:after="80" w:before="240"/>
      </w:pPr>
      <w:r>
        <w:rPr>
          <w:b/>
          <w:bCs/>
          <w:color w:val="0E6B6B"/>
        </w:rPr>
        <w:t xml:space="preserve">5.3  Managing the Capital Position — Six Methods</w:t>
      </w:r>
    </w:p>
    <w:p>
      <w:pPr>
        <w:spacing w:after="60" w:before="40"/>
      </w:pPr>
      <w:r>
        <w:rPr>
          <w:sz w:val="22"/>
          <w:szCs w:val="22"/>
        </w:rPr>
        <w:t xml:space="preserve">Capital management splits into two broad categories: (A) Raising additional available capital; (B) Reducing required capital.</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6160"/>
      </w:tblGrid>
      <w:tr>
        <w:trPr>
          <w:tblHeader/>
        </w:trPr>
        <w:tc>
          <w:tcPr>
            <w:tcW w:type="dxa" w:w="1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80"/>
            </w:tcMar>
          </w:tcPr>
          <w:p>
            <w:r>
              <w:rPr>
                <w:b/>
                <w:bCs/>
                <w:color w:val="FFFFFF"/>
                <w:sz w:val="20"/>
                <w:szCs w:val="20"/>
              </w:rPr>
              <w:t xml:space="preserve">Method</w:t>
            </w:r>
          </w:p>
        </w:tc>
        <w:tc>
          <w:tcPr>
            <w:tcW w:type="dxa" w:w="1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80"/>
            </w:tcMar>
          </w:tcPr>
          <w:p>
            <w:r>
              <w:rPr>
                <w:b/>
                <w:bCs/>
                <w:color w:val="FFFFFF"/>
                <w:sz w:val="20"/>
                <w:szCs w:val="20"/>
              </w:rPr>
              <w:t xml:space="preserve">Category</w:t>
            </w:r>
          </w:p>
        </w:tc>
        <w:tc>
          <w:tcPr>
            <w:tcW w:type="dxa" w:w="61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80"/>
            </w:tcMar>
          </w:tcPr>
          <w:p>
            <w:r>
              <w:rPr>
                <w:b/>
                <w:bCs/>
                <w:color w:val="FFFFFF"/>
                <w:sz w:val="20"/>
                <w:szCs w:val="20"/>
              </w:rPr>
              <w:t xml:space="preserve">Detail &amp; Exam Points</w:t>
            </w:r>
          </w:p>
        </w:tc>
      </w:tr>
      <w:tr>
        <w:tc>
          <w:tcPr>
            <w:tcW w:type="dxa" w:w="1600"/>
            <w:tcBorders>
              <w:top w:val="single" w:color="CCCCCC" w:sz="1"/>
              <w:left w:val="single" w:color="CCCCCC" w:sz="1"/>
              <w:bottom w:val="single" w:color="CCCCCC" w:sz="1"/>
              <w:right w:val="single" w:color="CCCCCC" w:sz="1"/>
            </w:tcBorders>
            <w:shd w:fill="D6EAF8" w:val="clear"/>
            <w:tcMar>
              <w:top w:type="dxa" w:w="60"/>
              <w:left w:type="dxa" w:w="120"/>
              <w:bottom w:type="dxa" w:w="60"/>
              <w:right w:type="dxa" w:w="80"/>
            </w:tcMar>
          </w:tcPr>
          <w:p>
            <w:r>
              <w:rPr>
                <w:b/>
                <w:bCs/>
                <w:sz w:val="21"/>
                <w:szCs w:val="21"/>
              </w:rPr>
              <w:t xml:space="preserve">Equity</w:t>
            </w:r>
          </w:p>
        </w:tc>
        <w:tc>
          <w:tcPr>
            <w:tcW w:type="dxa" w:w="1600"/>
            <w:tcBorders>
              <w:top w:val="single" w:color="CCCCCC" w:sz="1"/>
              <w:left w:val="single" w:color="CCCCCC" w:sz="1"/>
              <w:bottom w:val="single" w:color="CCCCCC" w:sz="1"/>
              <w:right w:val="single" w:color="CCCCCC" w:sz="1"/>
            </w:tcBorders>
            <w:shd w:fill="D6EAF8" w:val="clear"/>
            <w:tcMar>
              <w:top w:type="dxa" w:w="60"/>
              <w:left w:type="dxa" w:w="120"/>
              <w:bottom w:type="dxa" w:w="60"/>
              <w:right w:type="dxa" w:w="80"/>
            </w:tcMar>
          </w:tcPr>
          <w:p>
            <w:pPr>
              <w:jc w:val="center"/>
            </w:pPr>
            <w:r>
              <w:rPr>
                <w:i/>
                <w:iCs/>
                <w:sz w:val="20"/>
                <w:szCs w:val="20"/>
              </w:rPr>
              <w:t xml:space="preserve">Raise capital</w:t>
            </w:r>
          </w:p>
        </w:tc>
        <w:tc>
          <w:tcPr>
            <w:tcW w:type="dxa" w:w="6160"/>
            <w:tcBorders>
              <w:top w:val="single" w:color="CCCCCC" w:sz="1"/>
              <w:left w:val="single" w:color="CCCCCC" w:sz="1"/>
              <w:bottom w:val="single" w:color="CCCCCC" w:sz="1"/>
              <w:right w:val="single" w:color="CCCCCC" w:sz="1"/>
            </w:tcBorders>
            <w:shd w:fill="D6EAF8" w:val="clear"/>
            <w:tcMar>
              <w:top w:type="dxa" w:w="60"/>
              <w:left w:type="dxa" w:w="120"/>
              <w:bottom w:type="dxa" w:w="60"/>
              <w:right w:type="dxa" w:w="80"/>
            </w:tcMar>
          </w:tcPr>
          <w:p>
            <w:r>
              <w:rPr>
                <w:sz w:val="20"/>
                <w:szCs w:val="20"/>
              </w:rPr>
              <w:t xml:space="preserve">Issue new shares (proprietary) or demutualise (mutual). Requires investor confidence and market conditions. Dilutes existing shareholders. Under Solvency II, held as Tier 1 own funds.</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b/>
                <w:bCs/>
                <w:sz w:val="21"/>
                <w:szCs w:val="21"/>
              </w:rPr>
              <w:t xml:space="preserve">Subordinated Loan Stock</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jc w:val="center"/>
            </w:pPr>
            <w:r>
              <w:rPr>
                <w:i/>
                <w:iCs/>
                <w:sz w:val="20"/>
                <w:szCs w:val="20"/>
              </w:rPr>
              <w:t xml:space="preserve">Raise capital</w:t>
            </w:r>
          </w:p>
        </w:tc>
        <w:tc>
          <w:tcPr>
            <w:tcW w:type="dxa" w:w="6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sz w:val="20"/>
                <w:szCs w:val="20"/>
              </w:rPr>
              <w:t xml:space="preserve">Issue subordinated debt in capital markets. Repayment only after senior creditors. Increases financial leverage. Under SII, can be counted as own funds (Tier 2 or Tier 3 depending on terms). Interest is tax-deductible.</w:t>
            </w:r>
          </w:p>
        </w:tc>
      </w:tr>
      <w:tr>
        <w:tc>
          <w:tcPr>
            <w:tcW w:type="dxa" w:w="1600"/>
            <w:tcBorders>
              <w:top w:val="single" w:color="CCCCCC" w:sz="1"/>
              <w:left w:val="single" w:color="CCCCCC" w:sz="1"/>
              <w:bottom w:val="single" w:color="CCCCCC" w:sz="1"/>
              <w:right w:val="single" w:color="CCCCCC" w:sz="1"/>
            </w:tcBorders>
            <w:shd w:fill="D6EAF8" w:val="clear"/>
            <w:tcMar>
              <w:top w:type="dxa" w:w="60"/>
              <w:left w:type="dxa" w:w="120"/>
              <w:bottom w:type="dxa" w:w="60"/>
              <w:right w:type="dxa" w:w="80"/>
            </w:tcMar>
          </w:tcPr>
          <w:p>
            <w:r>
              <w:rPr>
                <w:b/>
                <w:bCs/>
                <w:sz w:val="21"/>
                <w:szCs w:val="21"/>
              </w:rPr>
              <w:t xml:space="preserve">Securitisation</w:t>
            </w:r>
          </w:p>
        </w:tc>
        <w:tc>
          <w:tcPr>
            <w:tcW w:type="dxa" w:w="1600"/>
            <w:tcBorders>
              <w:top w:val="single" w:color="CCCCCC" w:sz="1"/>
              <w:left w:val="single" w:color="CCCCCC" w:sz="1"/>
              <w:bottom w:val="single" w:color="CCCCCC" w:sz="1"/>
              <w:right w:val="single" w:color="CCCCCC" w:sz="1"/>
            </w:tcBorders>
            <w:shd w:fill="D6EAF8" w:val="clear"/>
            <w:tcMar>
              <w:top w:type="dxa" w:w="60"/>
              <w:left w:type="dxa" w:w="120"/>
              <w:bottom w:type="dxa" w:w="60"/>
              <w:right w:type="dxa" w:w="80"/>
            </w:tcMar>
          </w:tcPr>
          <w:p>
            <w:pPr>
              <w:jc w:val="center"/>
            </w:pPr>
            <w:r>
              <w:rPr>
                <w:i/>
                <w:iCs/>
                <w:sz w:val="20"/>
                <w:szCs w:val="20"/>
              </w:rPr>
              <w:t xml:space="preserve">Raise capital</w:t>
            </w:r>
          </w:p>
        </w:tc>
        <w:tc>
          <w:tcPr>
            <w:tcW w:type="dxa" w:w="6160"/>
            <w:tcBorders>
              <w:top w:val="single" w:color="CCCCCC" w:sz="1"/>
              <w:left w:val="single" w:color="CCCCCC" w:sz="1"/>
              <w:bottom w:val="single" w:color="CCCCCC" w:sz="1"/>
              <w:right w:val="single" w:color="CCCCCC" w:sz="1"/>
            </w:tcBorders>
            <w:shd w:fill="D6EAF8" w:val="clear"/>
            <w:tcMar>
              <w:top w:type="dxa" w:w="60"/>
              <w:left w:type="dxa" w:w="120"/>
              <w:bottom w:type="dxa" w:w="60"/>
              <w:right w:type="dxa" w:w="80"/>
            </w:tcMar>
          </w:tcPr>
          <w:p>
            <w:r>
              <w:rPr>
                <w:sz w:val="20"/>
                <w:szCs w:val="20"/>
              </w:rPr>
              <w:t xml:space="preserve">Convert assets (e.g. EV of a block of business) into tradeable securities. Insurer receives upfront payment; repays from future surplus. Useful where regulatory balance sheet doesn't fully credit future profits. Reduced viability under SII (which already credits future premiums in BEL).</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b/>
                <w:bCs/>
                <w:sz w:val="21"/>
                <w:szCs w:val="21"/>
              </w:rPr>
              <w:t xml:space="preserve">Financial Reinsurance (FinRe)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jc w:val="center"/>
            </w:pPr>
            <w:r>
              <w:rPr>
                <w:i/>
                <w:iCs/>
                <w:sz w:val="20"/>
                <w:szCs w:val="20"/>
              </w:rPr>
              <w:t xml:space="preserve">Raise capital / reduce required</w:t>
            </w:r>
          </w:p>
        </w:tc>
        <w:tc>
          <w:tcPr>
            <w:tcW w:type="dxa" w:w="6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sz w:val="20"/>
                <w:szCs w:val="20"/>
              </w:rPr>
              <w:t xml:space="preserve">Reinsurer advances lump sum; repaid from future profit stream. Improves regulatory balance sheet without transferring real risk. RI review: SII restricts its use — genuine risk transfer required. Traditional RI reduces SCR by reducing insurance risk module.</w:t>
            </w:r>
          </w:p>
        </w:tc>
      </w:tr>
      <w:tr>
        <w:tc>
          <w:tcPr>
            <w:tcW w:type="dxa" w:w="1600"/>
            <w:tcBorders>
              <w:top w:val="single" w:color="CCCCCC" w:sz="1"/>
              <w:left w:val="single" w:color="CCCCCC" w:sz="1"/>
              <w:bottom w:val="single" w:color="CCCCCC" w:sz="1"/>
              <w:right w:val="single" w:color="CCCCCC" w:sz="1"/>
            </w:tcBorders>
            <w:shd w:fill="D6EAF8" w:val="clear"/>
            <w:tcMar>
              <w:top w:type="dxa" w:w="60"/>
              <w:left w:type="dxa" w:w="120"/>
              <w:bottom w:type="dxa" w:w="60"/>
              <w:right w:type="dxa" w:w="80"/>
            </w:tcMar>
          </w:tcPr>
          <w:p>
            <w:r>
              <w:rPr>
                <w:b/>
                <w:bCs/>
                <w:sz w:val="21"/>
                <w:szCs w:val="21"/>
              </w:rPr>
              <w:t xml:space="preserve">Derivatives</w:t>
            </w:r>
          </w:p>
        </w:tc>
        <w:tc>
          <w:tcPr>
            <w:tcW w:type="dxa" w:w="1600"/>
            <w:tcBorders>
              <w:top w:val="single" w:color="CCCCCC" w:sz="1"/>
              <w:left w:val="single" w:color="CCCCCC" w:sz="1"/>
              <w:bottom w:val="single" w:color="CCCCCC" w:sz="1"/>
              <w:right w:val="single" w:color="CCCCCC" w:sz="1"/>
            </w:tcBorders>
            <w:shd w:fill="D6EAF8" w:val="clear"/>
            <w:tcMar>
              <w:top w:type="dxa" w:w="60"/>
              <w:left w:type="dxa" w:w="120"/>
              <w:bottom w:type="dxa" w:w="60"/>
              <w:right w:type="dxa" w:w="80"/>
            </w:tcMar>
          </w:tcPr>
          <w:p>
            <w:pPr>
              <w:jc w:val="center"/>
            </w:pPr>
            <w:r>
              <w:rPr>
                <w:i/>
                <w:iCs/>
                <w:sz w:val="20"/>
                <w:szCs w:val="20"/>
              </w:rPr>
              <w:t xml:space="preserve">Reduce required capital</w:t>
            </w:r>
          </w:p>
        </w:tc>
        <w:tc>
          <w:tcPr>
            <w:tcW w:type="dxa" w:w="6160"/>
            <w:tcBorders>
              <w:top w:val="single" w:color="CCCCCC" w:sz="1"/>
              <w:left w:val="single" w:color="CCCCCC" w:sz="1"/>
              <w:bottom w:val="single" w:color="CCCCCC" w:sz="1"/>
              <w:right w:val="single" w:color="CCCCCC" w:sz="1"/>
            </w:tcBorders>
            <w:shd w:fill="D6EAF8" w:val="clear"/>
            <w:tcMar>
              <w:top w:type="dxa" w:w="60"/>
              <w:left w:type="dxa" w:w="120"/>
              <w:bottom w:type="dxa" w:w="60"/>
              <w:right w:type="dxa" w:w="80"/>
            </w:tcMar>
          </w:tcPr>
          <w:p>
            <w:r>
              <w:rPr>
                <w:sz w:val="20"/>
                <w:szCs w:val="20"/>
              </w:rPr>
              <w:t xml:space="preserve">Use put options to protect against equity portfolio falls. OTC derivatives for static hedge of embedded guarantees. Reduces SCR market risk module. Must satisfy 'prudent person principle'.</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b/>
                <w:bCs/>
                <w:sz w:val="21"/>
                <w:szCs w:val="21"/>
              </w:rPr>
              <w:t xml:space="preserve">Asset-Liability Management (ALM)</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jc w:val="center"/>
            </w:pPr>
            <w:r>
              <w:rPr>
                <w:i/>
                <w:iCs/>
                <w:sz w:val="20"/>
                <w:szCs w:val="20"/>
              </w:rPr>
              <w:t xml:space="preserve">Reduce required capital</w:t>
            </w:r>
          </w:p>
        </w:tc>
        <w:tc>
          <w:tcPr>
            <w:tcW w:type="dxa" w:w="6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sz w:val="20"/>
                <w:szCs w:val="20"/>
              </w:rPr>
              <w:t xml:space="preserve">Improve matching of asset cash flows to liability cash flows. Reduces SLT health interest rate and spread risk sub-modules. Can allow application for Matching Adjustment — significantly reduces BEL.</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b/>
                <w:bCs/>
                <w:color w:val="FFFFFF"/>
                <w:sz w:val="20"/>
                <w:szCs w:val="20"/>
              </w:rPr>
              <w:t xml:space="preserve">FINANCIAL REINSURANCE — EXAMINER FAVOURITE</w:t>
            </w:r>
          </w:p>
        </w:tc>
        <w:tc>
          <w:tcPr>
            <w:tcW w:type="dxa" w:w="8160"/>
            <w:tcBorders>
              <w:top w:val="single" w:color="CCCCCC" w:sz="1"/>
              <w:left w:val="single" w:color="CCCCCC" w:sz="1"/>
              <w:bottom w:val="single" w:color="CCCCCC" w:sz="1"/>
              <w:right w:val="single" w:color="CCCCCC" w:sz="1"/>
            </w:tcBorders>
            <w:shd w:fill="FADBD8" w:val="clear"/>
            <w:tcMar>
              <w:top w:type="dxa" w:w="80"/>
              <w:left w:type="dxa" w:w="160"/>
              <w:bottom w:type="dxa" w:w="80"/>
              <w:right w:type="dxa" w:w="120"/>
            </w:tcMar>
          </w:tcPr>
          <w:p>
            <w:r>
              <w:rPr>
                <w:sz w:val="21"/>
                <w:szCs w:val="21"/>
              </w:rPr>
              <w:t xml:space="preserve">When asked about FinRe suitability (e.g. IAI Mar 2022 Q2viii [7 marks]): Cover (1) Nature of the problem — is it a temporary or structural solvency issue? FinRe works for temporary strain (e.g. new business strain). (2) Acceptability to regulator — genuine risk transfer required under SII. (3) Cost vs benefit — FinRe is expensive; repayment from future profits. (4) Structures: Lump sum with repayment from RI profit; VIF monetisation; Quota share for RSM reduction. (5) Risk — if profits don't materialise, obligation to repay still stands.</w:t>
            </w:r>
          </w:p>
        </w:tc>
      </w:tr>
    </w:tbl>
    <w:p>
      <w:pPr>
        <w:spacing w:after="60" w:before="60"/>
      </w:pPr>
      <w:r>
        <w:t xml:space="preserve"/>
      </w:r>
    </w:p>
    <w:p>
      <w:pPr>
        <w:pStyle w:val="Heading2"/>
        <w:spacing w:after="80" w:before="240"/>
      </w:pPr>
      <w:r>
        <w:rPr>
          <w:b/>
          <w:bCs/>
          <w:color w:val="0E6B6B"/>
        </w:rPr>
        <w:t xml:space="preserve">5.4  Embedded Value — Concept and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b/>
                <w:bCs/>
                <w:color w:val="FFFFFF"/>
                <w:sz w:val="20"/>
                <w:szCs w:val="20"/>
              </w:rPr>
              <w:t xml:space="preserve">DEFINITION</w:t>
            </w:r>
          </w:p>
        </w:tc>
        <w:tc>
          <w:tcPr>
            <w:tcW w:type="dxa" w:w="8160"/>
            <w:tcBorders>
              <w:top w:val="single" w:color="CCCCCC" w:sz="1"/>
              <w:left w:val="single" w:color="CCCCCC" w:sz="1"/>
              <w:bottom w:val="single" w:color="CCCCCC" w:sz="1"/>
              <w:right w:val="single" w:color="CCCCCC" w:sz="1"/>
            </w:tcBorders>
            <w:shd w:fill="D6EAF8" w:val="clear"/>
            <w:tcMar>
              <w:top w:type="dxa" w:w="80"/>
              <w:left w:type="dxa" w:w="160"/>
              <w:bottom w:type="dxa" w:w="80"/>
              <w:right w:type="dxa" w:w="120"/>
            </w:tcMar>
          </w:tcPr>
          <w:p>
            <w:r>
              <w:rPr>
                <w:sz w:val="21"/>
                <w:szCs w:val="21"/>
              </w:rPr>
              <w:t xml:space="preserve">Embedded Value (EV) = Net Assets (free surplus + locked-in required capital) + Present Value of Future Profits (PVFP) on in-force business.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6EAF8" w:val="clear"/>
            <w:tcMar>
              <w:top w:type="dxa" w:w="80"/>
              <w:left w:type="dxa" w:w="160"/>
              <w:bottom w:type="dxa" w:w="80"/>
              <w:right w:type="dxa" w:w="120"/>
            </w:tcMar>
          </w:tcPr>
          <w:p>
            <w:r>
              <w:rPr>
                <w:b/>
                <w:bCs/>
                <w:color w:val="1B3A6B"/>
                <w:sz w:val="22"/>
                <w:szCs w:val="22"/>
              </w:rPr>
              <w:t xml:space="preserve">PVFP Calculation</w:t>
            </w:r>
          </w:p>
          <w:p>
            <w:pPr>
              <w:spacing w:after="60" w:before="40"/>
            </w:pPr>
            <w:r>
              <w:rPr>
                <w:sz w:val="22"/>
                <w:szCs w:val="22"/>
              </w:rPr>
              <w:t xml:space="preserve">EV basis is more realistic than reserving basis → margins release as profit over time.</w:t>
            </w:r>
          </w:p>
          <w:p>
            <w:pPr>
              <w:spacing w:after="60" w:before="40"/>
            </w:pPr>
            <w:r>
              <w:rPr>
                <w:sz w:val="22"/>
                <w:szCs w:val="22"/>
              </w:rPr>
              <w:t xml:space="preserve">Without-profits: PVFP = PV(premiums + investment income − claims − expenses + reserve releases)</w:t>
            </w:r>
          </w:p>
          <w:p>
            <w:pPr>
              <w:spacing w:after="60" w:before="40"/>
            </w:pPr>
            <w:r>
              <w:rPr>
                <w:sz w:val="22"/>
                <w:szCs w:val="22"/>
              </w:rPr>
              <w:t xml:space="preserve">Unit-linked: PVFP = PV(charges − expenses − excess death benefits + non-unit reserve releases)</w:t>
            </w:r>
          </w:p>
          <w:p>
            <w:pPr>
              <w:spacing w:after="60" w:before="40"/>
            </w:pPr>
            <w:r>
              <w:rPr>
                <w:sz w:val="22"/>
                <w:szCs w:val="22"/>
              </w:rPr>
              <w:t xml:space="preserve">Discount rate = Risk Discount Rate (RDR), set higher than risk-free to reflect uncertainty in future profits.</w:t>
            </w:r>
          </w:p>
          <w:p>
            <w:pPr>
              <w:spacing w:after="60" w:before="40"/>
            </w:pPr>
            <w:r>
              <w:rPr>
                <w:sz w:val="22"/>
                <w:szCs w:val="22"/>
              </w:rPr>
              <w:t xml:space="preserve">Locked-in capital: Required capital must be invested cautiously → expected return &lt; unconstrained return → lock-in discount applied.</w:t>
            </w:r>
          </w:p>
        </w:tc>
        <w:tc>
          <w:tcPr>
            <w:tcW w:type="dxa" w:w="4680"/>
            <w:tcBorders>
              <w:top w:val="single" w:color="CCCCCC" w:sz="1"/>
              <w:left w:val="single" w:color="CCCCCC" w:sz="1"/>
              <w:bottom w:val="single" w:color="CCCCCC" w:sz="1"/>
              <w:right w:val="single" w:color="CCCCCC" w:sz="1"/>
            </w:tcBorders>
            <w:shd w:fill="D5F5E3" w:val="clear"/>
            <w:tcMar>
              <w:top w:type="dxa" w:w="80"/>
              <w:left w:type="dxa" w:w="160"/>
              <w:bottom w:type="dxa" w:w="80"/>
              <w:right w:type="dxa" w:w="120"/>
            </w:tcMar>
          </w:tcPr>
          <w:p>
            <w:r>
              <w:rPr>
                <w:b/>
                <w:bCs/>
                <w:color w:val="0E6B6B"/>
                <w:sz w:val="22"/>
                <w:szCs w:val="22"/>
              </w:rPr>
              <w:t xml:space="preserve">Uses of EV</w:t>
            </w:r>
          </w:p>
          <w:p>
            <w:pPr>
              <w:pStyle w:val="ListParagraph"/>
              <w:numPr>
                <w:ilvl w:val="0"/>
                <w:numId w:val="2"/>
              </w:numPr>
              <w:spacing w:after="40" w:before="40"/>
            </w:pPr>
            <w:r>
              <w:rPr>
                <w:b w:val="false"/>
                <w:bCs w:val="false"/>
                <w:sz w:val="22"/>
                <w:szCs w:val="22"/>
              </w:rPr>
              <w:t xml:space="preserve">Internal management accounts — realistic measure of value</w:t>
            </w:r>
          </w:p>
          <w:p>
            <w:pPr>
              <w:pStyle w:val="ListParagraph"/>
              <w:numPr>
                <w:ilvl w:val="0"/>
                <w:numId w:val="2"/>
              </w:numPr>
              <w:spacing w:after="40" w:before="40"/>
            </w:pPr>
            <w:r>
              <w:rPr>
                <w:b w:val="false"/>
                <w:bCs w:val="false"/>
                <w:sz w:val="22"/>
                <w:szCs w:val="22"/>
              </w:rPr>
              <w:t xml:space="preserve">Published financial statements</w:t>
            </w:r>
          </w:p>
          <w:p>
            <w:pPr>
              <w:pStyle w:val="ListParagraph"/>
              <w:numPr>
                <w:ilvl w:val="0"/>
                <w:numId w:val="2"/>
              </w:numPr>
              <w:spacing w:after="40" w:before="40"/>
            </w:pPr>
            <w:r>
              <w:rPr>
                <w:b w:val="false"/>
                <w:bCs w:val="false"/>
                <w:sz w:val="22"/>
                <w:szCs w:val="22"/>
              </w:rPr>
              <w:t xml:space="preserve">M&amp;A — Appraisal Value = EV + Goodwill (PV of future new business profits)</w:t>
            </w:r>
          </w:p>
          <w:p>
            <w:pPr>
              <w:pStyle w:val="ListParagraph"/>
              <w:numPr>
                <w:ilvl w:val="0"/>
                <w:numId w:val="2"/>
              </w:numPr>
              <w:spacing w:after="40" w:before="40"/>
            </w:pPr>
            <w:r>
              <w:rPr>
                <w:b w:val="false"/>
                <w:bCs w:val="false"/>
                <w:sz w:val="22"/>
                <w:szCs w:val="22"/>
              </w:rPr>
              <w:t xml:space="preserve">EV Financing / FinRe — reinsurer advances loan repaid from EV stream</w:t>
            </w:r>
          </w:p>
          <w:p>
            <w:pPr>
              <w:pStyle w:val="ListParagraph"/>
              <w:numPr>
                <w:ilvl w:val="0"/>
                <w:numId w:val="2"/>
              </w:numPr>
              <w:spacing w:after="40" w:before="40"/>
            </w:pPr>
            <w:r>
              <w:rPr>
                <w:b w:val="false"/>
                <w:bCs w:val="false"/>
                <w:sz w:val="22"/>
                <w:szCs w:val="22"/>
              </w:rPr>
              <w:t xml:space="preserve">Staff bonuses — growth in EV used to assess performance</w:t>
            </w:r>
          </w:p>
          <w:p>
            <w:pPr>
              <w:spacing w:after="60" w:before="60"/>
            </w:pPr>
            <w:r>
              <w:t xml:space="preserve"/>
            </w:r>
          </w:p>
          <w:p>
            <w:r>
              <w:rPr>
                <w:b/>
                <w:bCs/>
                <w:sz w:val="21"/>
                <w:szCs w:val="21"/>
              </w:rPr>
              <w:t xml:space="preserve">EV vs Reserving: key insight</w:t>
            </w:r>
          </w:p>
          <w:p>
            <w:pPr>
              <w:spacing w:after="60" w:before="40"/>
            </w:pPr>
            <w:r>
              <w:rPr>
                <w:sz w:val="22"/>
                <w:szCs w:val="22"/>
              </w:rPr>
              <w:t xml:space="preserve">Reserving basis is prudent → creates implicit margins. EV releases these margins as profit. If both bases were identical, PVFP = 0 and EV = net assets.</w:t>
            </w:r>
          </w:p>
        </w:tc>
      </w:tr>
    </w:tbl>
    <w:p>
      <w:pPr>
        <w:spacing w:after="60" w:before="60"/>
      </w:pPr>
      <w:r>
        <w:t xml:space="preserve"/>
      </w:r>
    </w:p>
    <w:p>
      <w:r>
        <w:br w:type="page"/>
      </w:r>
    </w:p>
    <w:p>
      <w:pPr>
        <w:pStyle w:val="Heading1"/>
        <w:pBdr>
          <w:bottom w:val="single" w:color="1B3A6B" w:sz="6" w:space="4"/>
        </w:pBdr>
        <w:spacing w:after="120" w:before="360"/>
      </w:pPr>
      <w:r>
        <w:rPr>
          <w:b/>
          <w:bCs/>
          <w:color w:val="1B3A6B"/>
        </w:rPr>
        <w:t xml:space="preserve">BLOCK 6 — GLOBAL SOLVENCY FRAMEWORKS</w:t>
      </w:r>
    </w:p>
    <w:p>
      <w:pPr>
        <w:spacing w:after="60" w:before="40"/>
      </w:pPr>
      <w:r>
        <w:rPr>
          <w:sz w:val="22"/>
          <w:szCs w:val="22"/>
        </w:rPr>
        <w:t xml:space="preserve">SA1 tests knowledge of how different countries approach solvency regulation, and comparisons to Solvency II. India-specific content is especially important for IAI.</w:t>
      </w:r>
    </w:p>
    <w:p>
      <w:pPr>
        <w:spacing w:after="60" w:before="60"/>
      </w:pPr>
      <w:r>
        <w:t xml:space="preserve"/>
      </w:r>
    </w:p>
    <w:p>
      <w:pPr>
        <w:pStyle w:val="Heading2"/>
        <w:spacing w:after="80" w:before="240"/>
      </w:pPr>
      <w:r>
        <w:rPr>
          <w:b/>
          <w:bCs/>
          <w:color w:val="0E6B6B"/>
        </w:rPr>
        <w:t xml:space="preserve">6.1  India — IRDAI Solvency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b/>
                <w:bCs/>
                <w:color w:val="FFFFFF"/>
                <w:sz w:val="20"/>
                <w:szCs w:val="20"/>
              </w:rPr>
              <w:t xml:space="preserve">IAI EXAM NOTE</w:t>
            </w:r>
          </w:p>
        </w:tc>
        <w:tc>
          <w:tcPr>
            <w:tcW w:type="dxa" w:w="8160"/>
            <w:tcBorders>
              <w:top w:val="single" w:color="CCCCCC" w:sz="1"/>
              <w:left w:val="single" w:color="CCCCCC" w:sz="1"/>
              <w:bottom w:val="single" w:color="CCCCCC" w:sz="1"/>
              <w:right w:val="single" w:color="CCCCCC" w:sz="1"/>
            </w:tcBorders>
            <w:shd w:fill="FADBD8" w:val="clear"/>
            <w:tcMar>
              <w:top w:type="dxa" w:w="80"/>
              <w:left w:type="dxa" w:w="160"/>
              <w:bottom w:type="dxa" w:w="80"/>
              <w:right w:type="dxa" w:w="120"/>
            </w:tcMar>
          </w:tcPr>
          <w:p>
            <w:r>
              <w:rPr>
                <w:sz w:val="21"/>
                <w:szCs w:val="21"/>
              </w:rPr>
              <w:t xml:space="preserve">The IAI exam tests India-specific solvency rules directly. ASM/RSM mechanics, solvency ratio drivers and recovery plans are high-probability question topics. Most IAI papers 2016–2025 contain at least one India-specific solvency question.</w:t>
            </w:r>
          </w:p>
        </w:tc>
      </w:tr>
    </w:tbl>
    <w:p>
      <w:pPr>
        <w:spacing w:after="60" w:before="60"/>
      </w:pPr>
      <w:r>
        <w:t xml:space="preserve"/>
      </w:r>
    </w:p>
    <w:p>
      <w:pPr>
        <w:spacing w:after="60" w:before="40"/>
      </w:pPr>
      <w:r>
        <w:rPr>
          <w:sz w:val="22"/>
          <w:szCs w:val="22"/>
        </w:rPr>
        <w:t xml:space="preserve">India uses the IRDAI (Insurance Regulatory and Development Authority of India) framework. Health insurers are governed by IRDAI (Health Insurance) Regulations. Key features: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80"/>
            </w:tcMar>
          </w:tcPr>
          <w:p>
            <w:r>
              <w:rPr>
                <w:b/>
                <w:bCs/>
                <w:color w:val="FFFFFF"/>
                <w:sz w:val="20"/>
                <w:szCs w:val="20"/>
              </w:rPr>
              <w:t xml:space="preserve">Feature</w:t>
            </w:r>
          </w:p>
        </w:tc>
        <w:tc>
          <w:tcPr>
            <w:tcW w:type="dxa" w:w="69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80"/>
            </w:tcMar>
          </w:tcPr>
          <w:p>
            <w:r>
              <w:rPr>
                <w:b/>
                <w:bCs/>
                <w:color w:val="FFFFFF"/>
                <w:sz w:val="20"/>
                <w:szCs w:val="20"/>
              </w:rPr>
              <w:t xml:space="preserve">Detail</w:t>
            </w:r>
          </w:p>
        </w:tc>
      </w:tr>
      <w:tr>
        <w:tc>
          <w:tcPr>
            <w:tcW w:type="dxa" w:w="2400"/>
            <w:tcBorders>
              <w:top w:val="single" w:color="CCCCCC" w:sz="1"/>
              <w:left w:val="single" w:color="CCCCCC" w:sz="1"/>
              <w:bottom w:val="single" w:color="CCCCCC" w:sz="1"/>
              <w:right w:val="single" w:color="CCCCCC" w:sz="1"/>
            </w:tcBorders>
            <w:shd w:fill="D6EAF8" w:val="clear"/>
            <w:tcMar>
              <w:top w:type="dxa" w:w="60"/>
              <w:left w:type="dxa" w:w="120"/>
              <w:bottom w:type="dxa" w:w="60"/>
              <w:right w:type="dxa" w:w="80"/>
            </w:tcMar>
          </w:tcPr>
          <w:p>
            <w:r>
              <w:rPr>
                <w:b/>
                <w:bCs/>
                <w:sz w:val="21"/>
                <w:szCs w:val="21"/>
              </w:rPr>
              <w:t xml:space="preserve">ASM (Available Solvency Margin)</w:t>
            </w:r>
          </w:p>
        </w:tc>
        <w:tc>
          <w:tcPr>
            <w:tcW w:type="dxa" w:w="6960"/>
            <w:tcBorders>
              <w:top w:val="single" w:color="CCCCCC" w:sz="1"/>
              <w:left w:val="single" w:color="CCCCCC" w:sz="1"/>
              <w:bottom w:val="single" w:color="CCCCCC" w:sz="1"/>
              <w:right w:val="single" w:color="CCCCCC" w:sz="1"/>
            </w:tcBorders>
            <w:shd w:fill="D6EAF8" w:val="clear"/>
            <w:tcMar>
              <w:top w:type="dxa" w:w="60"/>
              <w:left w:type="dxa" w:w="120"/>
              <w:bottom w:type="dxa" w:w="60"/>
              <w:right w:type="dxa" w:w="80"/>
            </w:tcMar>
          </w:tcPr>
          <w:p>
            <w:r>
              <w:rPr>
                <w:sz w:val="20"/>
                <w:szCs w:val="20"/>
              </w:rPr>
              <w:t xml:space="preserve">Essentially the net assets of the insurer on the regulatory balance sheet. ASM = Assets (admissible) − Liabilities (reserves + other liabilities). Shareholder equity, reserves from past profits, and subordinated debt (within limits) contribute to ASM.</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b/>
                <w:bCs/>
                <w:sz w:val="21"/>
                <w:szCs w:val="21"/>
              </w:rPr>
              <w:t xml:space="preserve">RSM (Required Solvency Margin)</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sz w:val="20"/>
                <w:szCs w:val="20"/>
              </w:rPr>
              <w:t xml:space="preserve">The minimum capital required given the risk profile. Computed as a factor of net written premiums or net incurred claims (whichever is higher for non-life/health), similar in concept to RBC. Higher risk profile → higher RSM.</w:t>
            </w:r>
          </w:p>
        </w:tc>
      </w:tr>
      <w:tr>
        <w:tc>
          <w:tcPr>
            <w:tcW w:type="dxa" w:w="2400"/>
            <w:tcBorders>
              <w:top w:val="single" w:color="CCCCCC" w:sz="1"/>
              <w:left w:val="single" w:color="CCCCCC" w:sz="1"/>
              <w:bottom w:val="single" w:color="CCCCCC" w:sz="1"/>
              <w:right w:val="single" w:color="CCCCCC" w:sz="1"/>
            </w:tcBorders>
            <w:shd w:fill="D6EAF8" w:val="clear"/>
            <w:tcMar>
              <w:top w:type="dxa" w:w="60"/>
              <w:left w:type="dxa" w:w="120"/>
              <w:bottom w:type="dxa" w:w="60"/>
              <w:right w:type="dxa" w:w="80"/>
            </w:tcMar>
          </w:tcPr>
          <w:p>
            <w:r>
              <w:rPr>
                <w:b/>
                <w:bCs/>
                <w:sz w:val="21"/>
                <w:szCs w:val="21"/>
              </w:rPr>
              <w:t xml:space="preserve">Minimum Solvency Ratio</w:t>
            </w:r>
          </w:p>
        </w:tc>
        <w:tc>
          <w:tcPr>
            <w:tcW w:type="dxa" w:w="6960"/>
            <w:tcBorders>
              <w:top w:val="single" w:color="CCCCCC" w:sz="1"/>
              <w:left w:val="single" w:color="CCCCCC" w:sz="1"/>
              <w:bottom w:val="single" w:color="CCCCCC" w:sz="1"/>
              <w:right w:val="single" w:color="CCCCCC" w:sz="1"/>
            </w:tcBorders>
            <w:shd w:fill="D6EAF8" w:val="clear"/>
            <w:tcMar>
              <w:top w:type="dxa" w:w="60"/>
              <w:left w:type="dxa" w:w="120"/>
              <w:bottom w:type="dxa" w:w="60"/>
              <w:right w:type="dxa" w:w="80"/>
            </w:tcMar>
          </w:tcPr>
          <w:p>
            <w:r>
              <w:rPr>
                <w:sz w:val="20"/>
                <w:szCs w:val="20"/>
              </w:rPr>
              <w:t xml:space="preserve">IRDAI requires SR = ASM/RSM ≥ 150% at all times. If SR falls below 150%, regulatory action begins. If SR falls below 100%, insolvency.</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b/>
                <w:bCs/>
                <w:sz w:val="21"/>
                <w:szCs w:val="21"/>
              </w:rPr>
              <w:t xml:space="preserve">Appointed Actuary (AA)</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sz w:val="20"/>
                <w:szCs w:val="20"/>
              </w:rPr>
              <w:t xml:space="preserve">Statutory role in India. AA certifies adequacy of reserves and solvency every quarter. Key responsibility: signing the annual Actuarial Report. Any concern about solvency must be reported to the IRDAI.</w:t>
            </w:r>
          </w:p>
        </w:tc>
      </w:tr>
      <w:tr>
        <w:tc>
          <w:tcPr>
            <w:tcW w:type="dxa" w:w="2400"/>
            <w:tcBorders>
              <w:top w:val="single" w:color="CCCCCC" w:sz="1"/>
              <w:left w:val="single" w:color="CCCCCC" w:sz="1"/>
              <w:bottom w:val="single" w:color="CCCCCC" w:sz="1"/>
              <w:right w:val="single" w:color="CCCCCC" w:sz="1"/>
            </w:tcBorders>
            <w:shd w:fill="D6EAF8" w:val="clear"/>
            <w:tcMar>
              <w:top w:type="dxa" w:w="60"/>
              <w:left w:type="dxa" w:w="120"/>
              <w:bottom w:type="dxa" w:w="60"/>
              <w:right w:type="dxa" w:w="80"/>
            </w:tcMar>
          </w:tcPr>
          <w:p>
            <w:r>
              <w:rPr>
                <w:b/>
                <w:bCs/>
                <w:sz w:val="21"/>
                <w:szCs w:val="21"/>
              </w:rPr>
              <w:t xml:space="preserve">Solvency II-style reform</w:t>
            </w:r>
          </w:p>
        </w:tc>
        <w:tc>
          <w:tcPr>
            <w:tcW w:type="dxa" w:w="6960"/>
            <w:tcBorders>
              <w:top w:val="single" w:color="CCCCCC" w:sz="1"/>
              <w:left w:val="single" w:color="CCCCCC" w:sz="1"/>
              <w:bottom w:val="single" w:color="CCCCCC" w:sz="1"/>
              <w:right w:val="single" w:color="CCCCCC" w:sz="1"/>
            </w:tcBorders>
            <w:shd w:fill="D6EAF8" w:val="clear"/>
            <w:tcMar>
              <w:top w:type="dxa" w:w="60"/>
              <w:left w:type="dxa" w:w="120"/>
              <w:bottom w:type="dxa" w:w="60"/>
              <w:right w:type="dxa" w:w="80"/>
            </w:tcMar>
          </w:tcPr>
          <w:p>
            <w:r>
              <w:rPr>
                <w:sz w:val="20"/>
                <w:szCs w:val="20"/>
              </w:rPr>
              <w:t xml:space="preserve">IRDAI has been progressively moving toward a risk-based capital framework. IAI May 2024 Q2vii [7 marks] tested the introduction of Solvency II-style TPs (BEL + Risk Margin) for Indian health insurers.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b/>
                <w:bCs/>
                <w:sz w:val="21"/>
                <w:szCs w:val="21"/>
              </w:rPr>
              <w:t xml:space="preserve">Investment regulations</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sz w:val="20"/>
                <w:szCs w:val="20"/>
              </w:rPr>
              <w:t xml:space="preserve">IRDAI prescribes mandatory investment in government securities, approved investments, and limits on equity/real estate. These rules constrain the investment portfolio and affect ALM.</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b/>
                <w:bCs/>
                <w:color w:val="FFFFFF"/>
                <w:sz w:val="20"/>
                <w:szCs w:val="20"/>
              </w:rPr>
              <w:t xml:space="preserve">RECOVERY PLAN CONTENTS (IAI Mar 2022 Q2iv — 6 marks)</w:t>
            </w:r>
          </w:p>
        </w:tc>
        <w:tc>
          <w:tcPr>
            <w:tcW w:type="dxa" w:w="8160"/>
            <w:tcBorders>
              <w:top w:val="single" w:color="CCCCCC" w:sz="1"/>
              <w:left w:val="single" w:color="CCCCCC" w:sz="1"/>
              <w:bottom w:val="single" w:color="CCCCCC" w:sz="1"/>
              <w:right w:val="single" w:color="CCCCCC" w:sz="1"/>
            </w:tcBorders>
            <w:shd w:fill="FEF9E7" w:val="clear"/>
            <w:tcMar>
              <w:top w:type="dxa" w:w="80"/>
              <w:left w:type="dxa" w:w="160"/>
              <w:bottom w:type="dxa" w:w="80"/>
              <w:right w:type="dxa" w:w="120"/>
            </w:tcMar>
          </w:tcPr>
          <w:p>
            <w:r>
              <w:rPr>
                <w:sz w:val="21"/>
                <w:szCs w:val="21"/>
              </w:rPr>
              <w:t xml:space="preserve">When solvency ratio is borderline, the Appointed Actuary submits a recovery plan covering: (1) Summary of key causes (structural vs temporary). (2) Business plan projections showing impact on solvency over 3-5 years. (3) List of specific remedial actions with timelines and capital impact. (4) Certified solvency projections. (5) Regular monitoring and governance commitments. (6) Policyholder reasonable expectations (PRE) implications.</w:t>
            </w:r>
          </w:p>
        </w:tc>
      </w:tr>
    </w:tbl>
    <w:p>
      <w:pPr>
        <w:spacing w:after="60" w:before="60"/>
      </w:pPr>
      <w:r>
        <w:t xml:space="preserve"/>
      </w:r>
    </w:p>
    <w:p>
      <w:pPr>
        <w:pStyle w:val="Heading2"/>
        <w:spacing w:after="80" w:before="240"/>
      </w:pPr>
      <w:r>
        <w:rPr>
          <w:b/>
          <w:bCs/>
          <w:color w:val="0E6B6B"/>
        </w:rPr>
        <w:t xml:space="preserve">6.2  Solvency II Impact on Business Culture &amp; Strategy</w:t>
      </w:r>
    </w:p>
    <w:p>
      <w:pPr>
        <w:spacing w:after="60" w:before="40"/>
      </w:pPr>
      <w:r>
        <w:rPr>
          <w:sz w:val="22"/>
          <w:szCs w:val="22"/>
        </w:rPr>
        <w:t xml:space="preserve">Solvency II is not just a reporting framework — it is a risk management framework that affects virtually all business activities. This is regularly tested.</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6EAF8" w:val="clear"/>
            <w:tcMar>
              <w:top w:type="dxa" w:w="80"/>
              <w:left w:type="dxa" w:w="160"/>
              <w:bottom w:type="dxa" w:w="80"/>
              <w:right w:type="dxa" w:w="120"/>
            </w:tcMar>
          </w:tcPr>
          <w:p>
            <w:r>
              <w:rPr>
                <w:b/>
                <w:bCs/>
                <w:color w:val="1B3A6B"/>
                <w:sz w:val="22"/>
                <w:szCs w:val="22"/>
              </w:rPr>
              <w:t xml:space="preserve">Business Impacts</w:t>
            </w:r>
          </w:p>
          <w:p>
            <w:pPr>
              <w:pStyle w:val="ListParagraph"/>
              <w:numPr>
                <w:ilvl w:val="0"/>
                <w:numId w:val="2"/>
              </w:numPr>
              <w:spacing w:after="40" w:before="40"/>
            </w:pPr>
            <w:r>
              <w:rPr>
                <w:b w:val="false"/>
                <w:bCs w:val="false"/>
                <w:sz w:val="22"/>
                <w:szCs w:val="22"/>
              </w:rPr>
              <w:t xml:space="preserve">Risk management and capital allocation: risk-adjusted decisions</w:t>
            </w:r>
          </w:p>
          <w:p>
            <w:pPr>
              <w:pStyle w:val="ListParagraph"/>
              <w:numPr>
                <w:ilvl w:val="0"/>
                <w:numId w:val="2"/>
              </w:numPr>
              <w:spacing w:after="40" w:before="40"/>
            </w:pPr>
            <w:r>
              <w:rPr>
                <w:b w:val="false"/>
                <w:bCs w:val="false"/>
                <w:sz w:val="22"/>
                <w:szCs w:val="22"/>
              </w:rPr>
              <w:t xml:space="preserve">Product mix and design: some products less capital-efficient under SII (e.g. guarantees, options)</w:t>
            </w:r>
          </w:p>
          <w:p>
            <w:pPr>
              <w:pStyle w:val="ListParagraph"/>
              <w:numPr>
                <w:ilvl w:val="0"/>
                <w:numId w:val="2"/>
              </w:numPr>
              <w:spacing w:after="40" w:before="40"/>
            </w:pPr>
            <w:r>
              <w:rPr>
                <w:b w:val="false"/>
                <w:bCs w:val="false"/>
                <w:sz w:val="22"/>
                <w:szCs w:val="22"/>
              </w:rPr>
              <w:t xml:space="preserve">Asset mix: some assets attract lower SCR (e.g. matching assets) → investment strategy changes</w:t>
            </w:r>
          </w:p>
          <w:p>
            <w:pPr>
              <w:pStyle w:val="ListParagraph"/>
              <w:numPr>
                <w:ilvl w:val="0"/>
                <w:numId w:val="2"/>
              </w:numPr>
              <w:spacing w:after="40" w:before="40"/>
            </w:pPr>
            <w:r>
              <w:rPr>
                <w:b w:val="false"/>
                <w:bCs w:val="false"/>
                <w:sz w:val="22"/>
                <w:szCs w:val="22"/>
              </w:rPr>
              <w:t xml:space="preserve">Corporate structure: M&amp;A influenced by diversification benefits across SCR modules</w:t>
            </w:r>
          </w:p>
          <w:p>
            <w:pPr>
              <w:pStyle w:val="ListParagraph"/>
              <w:numPr>
                <w:ilvl w:val="0"/>
                <w:numId w:val="2"/>
              </w:numPr>
              <w:spacing w:after="40" w:before="40"/>
            </w:pPr>
            <w:r>
              <w:rPr>
                <w:b w:val="false"/>
                <w:bCs w:val="false"/>
                <w:sz w:val="22"/>
                <w:szCs w:val="22"/>
              </w:rPr>
              <w:t xml:space="preserve">Management information: aligned to SII metrics — board and senior management fully engaged</w:t>
            </w:r>
          </w:p>
          <w:p>
            <w:pPr>
              <w:pStyle w:val="ListParagraph"/>
              <w:numPr>
                <w:ilvl w:val="0"/>
                <w:numId w:val="2"/>
              </w:numPr>
              <w:spacing w:after="40" w:before="40"/>
            </w:pPr>
            <w:r>
              <w:rPr>
                <w:b w:val="false"/>
                <w:bCs w:val="false"/>
                <w:sz w:val="22"/>
                <w:szCs w:val="22"/>
              </w:rPr>
              <w:t xml:space="preserve">External disclosures: SFCR is public — affects market perception and reputational risk</w:t>
            </w:r>
          </w:p>
        </w:tc>
        <w:tc>
          <w:tcPr>
            <w:tcW w:type="dxa" w:w="4680"/>
            <w:tcBorders>
              <w:top w:val="single" w:color="CCCCCC" w:sz="1"/>
              <w:left w:val="single" w:color="CCCCCC" w:sz="1"/>
              <w:bottom w:val="single" w:color="CCCCCC" w:sz="1"/>
              <w:right w:val="single" w:color="CCCCCC" w:sz="1"/>
            </w:tcBorders>
            <w:shd w:fill="D5F5E3" w:val="clear"/>
            <w:tcMar>
              <w:top w:type="dxa" w:w="80"/>
              <w:left w:type="dxa" w:w="160"/>
              <w:bottom w:type="dxa" w:w="80"/>
              <w:right w:type="dxa" w:w="120"/>
            </w:tcMar>
          </w:tcPr>
          <w:p>
            <w:r>
              <w:rPr>
                <w:b/>
                <w:bCs/>
                <w:color w:val="0E6B6B"/>
                <w:sz w:val="22"/>
                <w:szCs w:val="22"/>
              </w:rPr>
              <w:t xml:space="preserve">Group Supervision</w:t>
            </w:r>
          </w:p>
          <w:p>
            <w:pPr>
              <w:spacing w:after="60" w:before="40"/>
            </w:pPr>
            <w:r>
              <w:rPr>
                <w:sz w:val="22"/>
                <w:szCs w:val="22"/>
              </w:rPr>
              <w:t xml:space="preserve">Each insurance GROUP must cover its group SCR and group solvency floor.</w:t>
            </w:r>
          </w:p>
          <w:p>
            <w:pPr>
              <w:spacing w:after="60" w:before="40"/>
            </w:pPr>
            <w:r>
              <w:rPr>
                <w:sz w:val="22"/>
                <w:szCs w:val="22"/>
              </w:rPr>
              <w:t xml:space="preserve">Each SUBSIDIARY must cover its own SCR and MCR.</w:t>
            </w:r>
          </w:p>
          <w:p>
            <w:pPr>
              <w:spacing w:after="60" w:before="40"/>
            </w:pPr>
            <w:r>
              <w:rPr>
                <w:sz w:val="22"/>
                <w:szCs w:val="22"/>
              </w:rPr>
              <w:t xml:space="preserve">Group supervisor is in the home country (EEA); co-operates with local supervisors.</w:t>
            </w:r>
          </w:p>
          <w:p>
            <w:pPr>
              <w:spacing w:after="60" w:before="40"/>
            </w:pPr>
            <w:r>
              <w:rPr>
                <w:sz w:val="22"/>
                <w:szCs w:val="22"/>
              </w:rPr>
              <w:t xml:space="preserve">Double-leverage problem: same capital cannot count twice (once at group level and once at subsidiary level).</w:t>
            </w:r>
          </w:p>
          <w:p>
            <w:pPr>
              <w:spacing w:after="60" w:before="40"/>
            </w:pPr>
            <w:r>
              <w:rPr>
                <w:sz w:val="22"/>
                <w:szCs w:val="22"/>
              </w:rPr>
              <w:t xml:space="preserve">For non-EEA (third-country) subsidiaries: third-country equivalence rules apply. Full equivalence: Bermuda &amp; Switzerland. Provisional: USA, Japan, Australia.</w:t>
            </w:r>
          </w:p>
        </w:tc>
      </w:tr>
    </w:tbl>
    <w:p>
      <w:pPr>
        <w:spacing w:after="60" w:before="60"/>
      </w:pPr>
      <w:r>
        <w:t xml:space="preserve"/>
      </w:r>
    </w:p>
    <w:p>
      <w:pPr>
        <w:pStyle w:val="Heading2"/>
        <w:spacing w:after="80" w:before="240"/>
      </w:pPr>
      <w:r>
        <w:rPr>
          <w:b/>
          <w:bCs/>
          <w:color w:val="0E6B6B"/>
        </w:rPr>
        <w:t xml:space="preserve">6.3  Global Comparison — Solvency Frameworks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2200"/>
        <w:gridCol w:w="1680"/>
        <w:gridCol w:w="1880"/>
      </w:tblGrid>
      <w:tr>
        <w:trPr>
          <w:tblHeader/>
        </w:trPr>
        <w:tc>
          <w:tcPr>
            <w:tcW w:type="dxa" w:w="1400"/>
            <w:tcBorders>
              <w:top w:val="single" w:color="CCCCCC" w:sz="1"/>
              <w:left w:val="single" w:color="CCCCCC" w:sz="1"/>
              <w:bottom w:val="single" w:color="CCCCCC" w:sz="1"/>
              <w:right w:val="single" w:color="CCCCCC" w:sz="1"/>
            </w:tcBorders>
            <w:shd w:fill="1B3A6B" w:val="clear"/>
            <w:tcMar>
              <w:top w:type="dxa" w:w="80"/>
              <w:left w:type="dxa" w:w="80"/>
              <w:bottom w:type="dxa" w:w="80"/>
              <w:right w:type="dxa" w:w="80"/>
            </w:tcMar>
          </w:tcPr>
          <w:p>
            <w:r>
              <w:rPr>
                <w:b/>
                <w:bCs/>
                <w:color w:val="FFFFFF"/>
                <w:sz w:val="19"/>
                <w:szCs w:val="19"/>
              </w:rPr>
              <w:t xml:space="preserve">Country</w:t>
            </w:r>
          </w:p>
        </w:tc>
        <w:tc>
          <w:tcPr>
            <w:tcW w:type="dxa" w:w="2200"/>
            <w:tcBorders>
              <w:top w:val="single" w:color="CCCCCC" w:sz="1"/>
              <w:left w:val="single" w:color="CCCCCC" w:sz="1"/>
              <w:bottom w:val="single" w:color="CCCCCC" w:sz="1"/>
              <w:right w:val="single" w:color="CCCCCC" w:sz="1"/>
            </w:tcBorders>
            <w:shd w:fill="1B3A6B" w:val="clear"/>
            <w:tcMar>
              <w:top w:type="dxa" w:w="80"/>
              <w:left w:type="dxa" w:w="80"/>
              <w:bottom w:type="dxa" w:w="80"/>
              <w:right w:type="dxa" w:w="80"/>
            </w:tcMar>
          </w:tcPr>
          <w:p>
            <w:r>
              <w:rPr>
                <w:b/>
                <w:bCs/>
                <w:color w:val="FFFFFF"/>
                <w:sz w:val="19"/>
                <w:szCs w:val="19"/>
              </w:rPr>
              <w:t xml:space="preserve">Capital Standard</w:t>
            </w:r>
          </w:p>
        </w:tc>
        <w:tc>
          <w:tcPr>
            <w:tcW w:type="dxa" w:w="2200"/>
            <w:tcBorders>
              <w:top w:val="single" w:color="CCCCCC" w:sz="1"/>
              <w:left w:val="single" w:color="CCCCCC" w:sz="1"/>
              <w:bottom w:val="single" w:color="CCCCCC" w:sz="1"/>
              <w:right w:val="single" w:color="CCCCCC" w:sz="1"/>
            </w:tcBorders>
            <w:shd w:fill="1B3A6B" w:val="clear"/>
            <w:tcMar>
              <w:top w:type="dxa" w:w="80"/>
              <w:left w:type="dxa" w:w="80"/>
              <w:bottom w:type="dxa" w:w="80"/>
              <w:right w:type="dxa" w:w="80"/>
            </w:tcMar>
          </w:tcPr>
          <w:p>
            <w:r>
              <w:rPr>
                <w:b/>
                <w:bCs/>
                <w:color w:val="FFFFFF"/>
                <w:sz w:val="19"/>
                <w:szCs w:val="19"/>
              </w:rPr>
              <w:t xml:space="preserve">Reserving Approach</w:t>
            </w:r>
          </w:p>
        </w:tc>
        <w:tc>
          <w:tcPr>
            <w:tcW w:type="dxa" w:w="1680"/>
            <w:tcBorders>
              <w:top w:val="single" w:color="CCCCCC" w:sz="1"/>
              <w:left w:val="single" w:color="CCCCCC" w:sz="1"/>
              <w:bottom w:val="single" w:color="CCCCCC" w:sz="1"/>
              <w:right w:val="single" w:color="CCCCCC" w:sz="1"/>
            </w:tcBorders>
            <w:shd w:fill="1B3A6B" w:val="clear"/>
            <w:tcMar>
              <w:top w:type="dxa" w:w="80"/>
              <w:left w:type="dxa" w:w="80"/>
              <w:bottom w:type="dxa" w:w="80"/>
              <w:right w:type="dxa" w:w="80"/>
            </w:tcMar>
          </w:tcPr>
          <w:p>
            <w:r>
              <w:rPr>
                <w:b/>
                <w:bCs/>
                <w:color w:val="FFFFFF"/>
                <w:sz w:val="19"/>
                <w:szCs w:val="19"/>
              </w:rPr>
              <w:t xml:space="preserve">ORSA</w:t>
            </w:r>
          </w:p>
        </w:tc>
        <w:tc>
          <w:tcPr>
            <w:tcW w:type="dxa" w:w="1880"/>
            <w:tcBorders>
              <w:top w:val="single" w:color="CCCCCC" w:sz="1"/>
              <w:left w:val="single" w:color="CCCCCC" w:sz="1"/>
              <w:bottom w:val="single" w:color="CCCCCC" w:sz="1"/>
              <w:right w:val="single" w:color="CCCCCC" w:sz="1"/>
            </w:tcBorders>
            <w:shd w:fill="1B3A6B" w:val="clear"/>
            <w:tcMar>
              <w:top w:type="dxa" w:w="80"/>
              <w:left w:type="dxa" w:w="80"/>
              <w:bottom w:type="dxa" w:w="80"/>
              <w:right w:type="dxa" w:w="80"/>
            </w:tcMar>
          </w:tcPr>
          <w:p>
            <w:r>
              <w:rPr>
                <w:b/>
                <w:bCs/>
                <w:color w:val="FFFFFF"/>
                <w:sz w:val="19"/>
                <w:szCs w:val="19"/>
              </w:rPr>
              <w:t xml:space="preserve">Key Difference to SII</w:t>
            </w:r>
          </w:p>
        </w:tc>
      </w:tr>
      <w:tr>
        <w:tc>
          <w:tcPr>
            <w:tcW w:type="dxa" w:w="1400"/>
            <w:tcBorders>
              <w:top w:val="single" w:color="CCCCCC" w:sz="1"/>
              <w:left w:val="single" w:color="CCCCCC" w:sz="1"/>
              <w:bottom w:val="single" w:color="CCCCCC" w:sz="1"/>
              <w:right w:val="single" w:color="CCCCCC" w:sz="1"/>
            </w:tcBorders>
            <w:shd w:fill="D6EAF8" w:val="clear"/>
            <w:tcMar>
              <w:top w:type="dxa" w:w="60"/>
              <w:left w:type="dxa" w:w="80"/>
              <w:bottom w:type="dxa" w:w="60"/>
              <w:right w:type="dxa" w:w="80"/>
            </w:tcMar>
          </w:tcPr>
          <w:p>
            <w:r>
              <w:rPr>
                <w:b/>
                <w:bCs/>
                <w:sz w:val="19"/>
                <w:szCs w:val="19"/>
              </w:rPr>
              <w:t xml:space="preserve">EU / SII</w:t>
            </w:r>
          </w:p>
        </w:tc>
        <w:tc>
          <w:tcPr>
            <w:tcW w:type="dxa" w:w="2200"/>
            <w:tcBorders>
              <w:top w:val="single" w:color="CCCCCC" w:sz="1"/>
              <w:left w:val="single" w:color="CCCCCC" w:sz="1"/>
              <w:bottom w:val="single" w:color="CCCCCC" w:sz="1"/>
              <w:right w:val="single" w:color="CCCCCC" w:sz="1"/>
            </w:tcBorders>
            <w:shd w:fill="D6EAF8" w:val="clear"/>
            <w:tcMar>
              <w:top w:type="dxa" w:w="60"/>
              <w:left w:type="dxa" w:w="80"/>
              <w:bottom w:type="dxa" w:w="60"/>
              <w:right w:type="dxa" w:w="80"/>
            </w:tcMar>
          </w:tcPr>
          <w:p>
            <w:r>
              <w:rPr>
                <w:sz w:val="19"/>
                <w:szCs w:val="19"/>
              </w:rPr>
              <w:t xml:space="preserve">SCR 99.5% VaR 1yr</w:t>
            </w:r>
          </w:p>
        </w:tc>
        <w:tc>
          <w:tcPr>
            <w:tcW w:type="dxa" w:w="2200"/>
            <w:tcBorders>
              <w:top w:val="single" w:color="CCCCCC" w:sz="1"/>
              <w:left w:val="single" w:color="CCCCCC" w:sz="1"/>
              <w:bottom w:val="single" w:color="CCCCCC" w:sz="1"/>
              <w:right w:val="single" w:color="CCCCCC" w:sz="1"/>
            </w:tcBorders>
            <w:shd w:fill="D6EAF8" w:val="clear"/>
            <w:tcMar>
              <w:top w:type="dxa" w:w="60"/>
              <w:left w:type="dxa" w:w="80"/>
              <w:bottom w:type="dxa" w:w="60"/>
              <w:right w:type="dxa" w:w="80"/>
            </w:tcMar>
          </w:tcPr>
          <w:p>
            <w:r>
              <w:rPr>
                <w:sz w:val="19"/>
                <w:szCs w:val="19"/>
              </w:rPr>
              <w:t xml:space="preserve">BEL + Risk Margin; market-consistent</w:t>
            </w:r>
          </w:p>
        </w:tc>
        <w:tc>
          <w:tcPr>
            <w:tcW w:type="dxa" w:w="1680"/>
            <w:tcBorders>
              <w:top w:val="single" w:color="CCCCCC" w:sz="1"/>
              <w:left w:val="single" w:color="CCCCCC" w:sz="1"/>
              <w:bottom w:val="single" w:color="CCCCCC" w:sz="1"/>
              <w:right w:val="single" w:color="CCCCCC" w:sz="1"/>
            </w:tcBorders>
            <w:shd w:fill="D6EAF8" w:val="clear"/>
            <w:tcMar>
              <w:top w:type="dxa" w:w="60"/>
              <w:left w:type="dxa" w:w="80"/>
              <w:bottom w:type="dxa" w:w="60"/>
              <w:right w:type="dxa" w:w="80"/>
            </w:tcMar>
          </w:tcPr>
          <w:p>
            <w:r>
              <w:rPr>
                <w:sz w:val="19"/>
                <w:szCs w:val="19"/>
              </w:rPr>
              <w:t xml:space="preserve">ORSA mandatory</w:t>
            </w:r>
          </w:p>
        </w:tc>
        <w:tc>
          <w:tcPr>
            <w:tcW w:type="dxa" w:w="1880"/>
            <w:tcBorders>
              <w:top w:val="single" w:color="CCCCCC" w:sz="1"/>
              <w:left w:val="single" w:color="CCCCCC" w:sz="1"/>
              <w:bottom w:val="single" w:color="CCCCCC" w:sz="1"/>
              <w:right w:val="single" w:color="CCCCCC" w:sz="1"/>
            </w:tcBorders>
            <w:shd w:fill="D6EAF8" w:val="clear"/>
            <w:tcMar>
              <w:top w:type="dxa" w:w="60"/>
              <w:left w:type="dxa" w:w="80"/>
              <w:bottom w:type="dxa" w:w="60"/>
              <w:right w:type="dxa" w:w="80"/>
            </w:tcMar>
          </w:tcPr>
          <w:p>
            <w:r>
              <w:rPr>
                <w:sz w:val="19"/>
                <w:szCs w:val="19"/>
              </w:rPr>
              <w:t xml:space="preserve">Benchmark</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b/>
                <w:bCs/>
                <w:sz w:val="19"/>
                <w:szCs w:val="19"/>
              </w:rPr>
              <w:t xml:space="preserve">UK (post-Brexit)</w:t>
            </w:r>
          </w:p>
        </w:tc>
        <w:tc>
          <w:tcPr>
            <w:tcW w:type="dxa" w:w="22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sz w:val="19"/>
                <w:szCs w:val="19"/>
              </w:rPr>
              <w:t xml:space="preserve">SII-aligned; reform under discussion</w:t>
            </w:r>
          </w:p>
        </w:tc>
        <w:tc>
          <w:tcPr>
            <w:tcW w:type="dxa" w:w="22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sz w:val="19"/>
                <w:szCs w:val="19"/>
              </w:rPr>
              <w:t xml:space="preserve">SII at exit; potential reductions</w:t>
            </w:r>
          </w:p>
        </w:tc>
        <w:tc>
          <w:tcPr>
            <w:tcW w:type="dxa" w:w="168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sz w:val="19"/>
                <w:szCs w:val="19"/>
              </w:rPr>
              <w:t xml:space="preserve">ORSA mandatory</w:t>
            </w:r>
          </w:p>
        </w:tc>
        <w:tc>
          <w:tcPr>
            <w:tcW w:type="dxa" w:w="188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sz w:val="19"/>
                <w:szCs w:val="19"/>
              </w:rPr>
              <w:t xml:space="preserve">PRA may reduce capital requirements post-Brexit</w:t>
            </w:r>
          </w:p>
        </w:tc>
      </w:tr>
      <w:tr>
        <w:tc>
          <w:tcPr>
            <w:tcW w:type="dxa" w:w="1400"/>
            <w:tcBorders>
              <w:top w:val="single" w:color="CCCCCC" w:sz="1"/>
              <w:left w:val="single" w:color="CCCCCC" w:sz="1"/>
              <w:bottom w:val="single" w:color="CCCCCC" w:sz="1"/>
              <w:right w:val="single" w:color="CCCCCC" w:sz="1"/>
            </w:tcBorders>
            <w:shd w:fill="D6EAF8" w:val="clear"/>
            <w:tcMar>
              <w:top w:type="dxa" w:w="60"/>
              <w:left w:type="dxa" w:w="80"/>
              <w:bottom w:type="dxa" w:w="60"/>
              <w:right w:type="dxa" w:w="80"/>
            </w:tcMar>
          </w:tcPr>
          <w:p>
            <w:r>
              <w:rPr>
                <w:b/>
                <w:bCs/>
                <w:sz w:val="19"/>
                <w:szCs w:val="19"/>
              </w:rPr>
              <w:t xml:space="preserve">India (IRDAI)</w:t>
            </w:r>
          </w:p>
        </w:tc>
        <w:tc>
          <w:tcPr>
            <w:tcW w:type="dxa" w:w="2200"/>
            <w:tcBorders>
              <w:top w:val="single" w:color="CCCCCC" w:sz="1"/>
              <w:left w:val="single" w:color="CCCCCC" w:sz="1"/>
              <w:bottom w:val="single" w:color="CCCCCC" w:sz="1"/>
              <w:right w:val="single" w:color="CCCCCC" w:sz="1"/>
            </w:tcBorders>
            <w:shd w:fill="D6EAF8" w:val="clear"/>
            <w:tcMar>
              <w:top w:type="dxa" w:w="60"/>
              <w:left w:type="dxa" w:w="80"/>
              <w:bottom w:type="dxa" w:w="60"/>
              <w:right w:type="dxa" w:w="80"/>
            </w:tcMar>
          </w:tcPr>
          <w:p>
            <w:r>
              <w:rPr>
                <w:sz w:val="19"/>
                <w:szCs w:val="19"/>
              </w:rPr>
              <w:t xml:space="preserve">ASM ≥ 150% RSM; RBC reform underway</w:t>
            </w:r>
          </w:p>
        </w:tc>
        <w:tc>
          <w:tcPr>
            <w:tcW w:type="dxa" w:w="2200"/>
            <w:tcBorders>
              <w:top w:val="single" w:color="CCCCCC" w:sz="1"/>
              <w:left w:val="single" w:color="CCCCCC" w:sz="1"/>
              <w:bottom w:val="single" w:color="CCCCCC" w:sz="1"/>
              <w:right w:val="single" w:color="CCCCCC" w:sz="1"/>
            </w:tcBorders>
            <w:shd w:fill="D6EAF8" w:val="clear"/>
            <w:tcMar>
              <w:top w:type="dxa" w:w="60"/>
              <w:left w:type="dxa" w:w="80"/>
              <w:bottom w:type="dxa" w:w="60"/>
              <w:right w:type="dxa" w:w="80"/>
            </w:tcMar>
          </w:tcPr>
          <w:p>
            <w:r>
              <w:rPr>
                <w:sz w:val="19"/>
                <w:szCs w:val="19"/>
              </w:rPr>
              <w:t xml:space="preserve">Regulatory formula; SII-style reform in progress</w:t>
            </w:r>
          </w:p>
        </w:tc>
        <w:tc>
          <w:tcPr>
            <w:tcW w:type="dxa" w:w="1680"/>
            <w:tcBorders>
              <w:top w:val="single" w:color="CCCCCC" w:sz="1"/>
              <w:left w:val="single" w:color="CCCCCC" w:sz="1"/>
              <w:bottom w:val="single" w:color="CCCCCC" w:sz="1"/>
              <w:right w:val="single" w:color="CCCCCC" w:sz="1"/>
            </w:tcBorders>
            <w:shd w:fill="D6EAF8" w:val="clear"/>
            <w:tcMar>
              <w:top w:type="dxa" w:w="60"/>
              <w:left w:type="dxa" w:w="80"/>
              <w:bottom w:type="dxa" w:w="60"/>
              <w:right w:type="dxa" w:w="80"/>
            </w:tcMar>
          </w:tcPr>
          <w:p>
            <w:r>
              <w:rPr>
                <w:sz w:val="19"/>
                <w:szCs w:val="19"/>
              </w:rPr>
              <w:t xml:space="preserve">Not mandatory yet; AA certification required</w:t>
            </w:r>
          </w:p>
        </w:tc>
        <w:tc>
          <w:tcPr>
            <w:tcW w:type="dxa" w:w="1880"/>
            <w:tcBorders>
              <w:top w:val="single" w:color="CCCCCC" w:sz="1"/>
              <w:left w:val="single" w:color="CCCCCC" w:sz="1"/>
              <w:bottom w:val="single" w:color="CCCCCC" w:sz="1"/>
              <w:right w:val="single" w:color="CCCCCC" w:sz="1"/>
            </w:tcBorders>
            <w:shd w:fill="D6EAF8" w:val="clear"/>
            <w:tcMar>
              <w:top w:type="dxa" w:w="60"/>
              <w:left w:type="dxa" w:w="80"/>
              <w:bottom w:type="dxa" w:w="60"/>
              <w:right w:type="dxa" w:w="80"/>
            </w:tcMar>
          </w:tcPr>
          <w:p>
            <w:r>
              <w:rPr>
                <w:sz w:val="19"/>
                <w:szCs w:val="19"/>
              </w:rPr>
              <w:t xml:space="preserve">Assets at accounting value (not mark-to-market); formula-based reserves</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b/>
                <w:bCs/>
                <w:sz w:val="19"/>
                <w:szCs w:val="19"/>
              </w:rPr>
              <w:t xml:space="preserve">USA</w:t>
            </w:r>
          </w:p>
        </w:tc>
        <w:tc>
          <w:tcPr>
            <w:tcW w:type="dxa" w:w="22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sz w:val="19"/>
                <w:szCs w:val="19"/>
              </w:rPr>
              <w:t xml:space="preserve">RBC standard formula (≈ MCR)</w:t>
            </w:r>
          </w:p>
        </w:tc>
        <w:tc>
          <w:tcPr>
            <w:tcW w:type="dxa" w:w="22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sz w:val="19"/>
                <w:szCs w:val="19"/>
              </w:rPr>
              <w:t xml:space="preserve">PBR from 2017 (hold highest of 3 methods)</w:t>
            </w:r>
          </w:p>
        </w:tc>
        <w:tc>
          <w:tcPr>
            <w:tcW w:type="dxa" w:w="168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sz w:val="19"/>
                <w:szCs w:val="19"/>
              </w:rPr>
              <w:t xml:space="preserve">ORSA annual (IAIS ICP 16)</w:t>
            </w:r>
          </w:p>
        </w:tc>
        <w:tc>
          <w:tcPr>
            <w:tcW w:type="dxa" w:w="188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sz w:val="19"/>
                <w:szCs w:val="19"/>
              </w:rPr>
              <w:t xml:space="preserve">RBC identifies weakly capitalised only; less firm-specific than SCR</w:t>
            </w:r>
          </w:p>
        </w:tc>
      </w:tr>
      <w:tr>
        <w:tc>
          <w:tcPr>
            <w:tcW w:type="dxa" w:w="1400"/>
            <w:tcBorders>
              <w:top w:val="single" w:color="CCCCCC" w:sz="1"/>
              <w:left w:val="single" w:color="CCCCCC" w:sz="1"/>
              <w:bottom w:val="single" w:color="CCCCCC" w:sz="1"/>
              <w:right w:val="single" w:color="CCCCCC" w:sz="1"/>
            </w:tcBorders>
            <w:shd w:fill="D6EAF8" w:val="clear"/>
            <w:tcMar>
              <w:top w:type="dxa" w:w="60"/>
              <w:left w:type="dxa" w:w="80"/>
              <w:bottom w:type="dxa" w:w="60"/>
              <w:right w:type="dxa" w:w="80"/>
            </w:tcMar>
          </w:tcPr>
          <w:p>
            <w:r>
              <w:rPr>
                <w:b/>
                <w:bCs/>
                <w:sz w:val="19"/>
                <w:szCs w:val="19"/>
              </w:rPr>
              <w:t xml:space="preserve">China C-ROSS</w:t>
            </w:r>
          </w:p>
        </w:tc>
        <w:tc>
          <w:tcPr>
            <w:tcW w:type="dxa" w:w="2200"/>
            <w:tcBorders>
              <w:top w:val="single" w:color="CCCCCC" w:sz="1"/>
              <w:left w:val="single" w:color="CCCCCC" w:sz="1"/>
              <w:bottom w:val="single" w:color="CCCCCC" w:sz="1"/>
              <w:right w:val="single" w:color="CCCCCC" w:sz="1"/>
            </w:tcBorders>
            <w:shd w:fill="D6EAF8" w:val="clear"/>
            <w:tcMar>
              <w:top w:type="dxa" w:w="60"/>
              <w:left w:type="dxa" w:w="80"/>
              <w:bottom w:type="dxa" w:w="60"/>
              <w:right w:type="dxa" w:w="80"/>
            </w:tcMar>
          </w:tcPr>
          <w:p>
            <w:r>
              <w:rPr>
                <w:sz w:val="19"/>
                <w:szCs w:val="19"/>
              </w:rPr>
              <w:t xml:space="preserve">3-pillar; insurance/market/credit risks</w:t>
            </w:r>
          </w:p>
        </w:tc>
        <w:tc>
          <w:tcPr>
            <w:tcW w:type="dxa" w:w="2200"/>
            <w:tcBorders>
              <w:top w:val="single" w:color="CCCCCC" w:sz="1"/>
              <w:left w:val="single" w:color="CCCCCC" w:sz="1"/>
              <w:bottom w:val="single" w:color="CCCCCC" w:sz="1"/>
              <w:right w:val="single" w:color="CCCCCC" w:sz="1"/>
            </w:tcBorders>
            <w:shd w:fill="D6EAF8" w:val="clear"/>
            <w:tcMar>
              <w:top w:type="dxa" w:w="60"/>
              <w:left w:type="dxa" w:w="80"/>
              <w:bottom w:type="dxa" w:w="60"/>
              <w:right w:type="dxa" w:w="80"/>
            </w:tcMar>
          </w:tcPr>
          <w:p>
            <w:r>
              <w:rPr>
                <w:sz w:val="19"/>
                <w:szCs w:val="19"/>
              </w:rPr>
              <w:t xml:space="preserve">GAAP accounting value (not MtM)</w:t>
            </w:r>
          </w:p>
        </w:tc>
        <w:tc>
          <w:tcPr>
            <w:tcW w:type="dxa" w:w="1680"/>
            <w:tcBorders>
              <w:top w:val="single" w:color="CCCCCC" w:sz="1"/>
              <w:left w:val="single" w:color="CCCCCC" w:sz="1"/>
              <w:bottom w:val="single" w:color="CCCCCC" w:sz="1"/>
              <w:right w:val="single" w:color="CCCCCC" w:sz="1"/>
            </w:tcBorders>
            <w:shd w:fill="D6EAF8" w:val="clear"/>
            <w:tcMar>
              <w:top w:type="dxa" w:w="60"/>
              <w:left w:type="dxa" w:w="80"/>
              <w:bottom w:type="dxa" w:w="60"/>
              <w:right w:type="dxa" w:w="80"/>
            </w:tcMar>
          </w:tcPr>
          <w:p>
            <w:r>
              <w:rPr>
                <w:sz w:val="19"/>
                <w:szCs w:val="19"/>
              </w:rPr>
              <w:t xml:space="preserve">Pillar II rating + ORSA equivalent</w:t>
            </w:r>
          </w:p>
        </w:tc>
        <w:tc>
          <w:tcPr>
            <w:tcW w:type="dxa" w:w="1880"/>
            <w:tcBorders>
              <w:top w:val="single" w:color="CCCCCC" w:sz="1"/>
              <w:left w:val="single" w:color="CCCCCC" w:sz="1"/>
              <w:bottom w:val="single" w:color="CCCCCC" w:sz="1"/>
              <w:right w:val="single" w:color="CCCCCC" w:sz="1"/>
            </w:tcBorders>
            <w:shd w:fill="D6EAF8" w:val="clear"/>
            <w:tcMar>
              <w:top w:type="dxa" w:w="60"/>
              <w:left w:type="dxa" w:w="80"/>
              <w:bottom w:type="dxa" w:w="60"/>
              <w:right w:type="dxa" w:w="80"/>
            </w:tcMar>
          </w:tcPr>
          <w:p>
            <w:r>
              <w:rPr>
                <w:sz w:val="19"/>
                <w:szCs w:val="19"/>
              </w:rPr>
              <w:t xml:space="preserve">No internal models; GAAP assets (not market value); discount rate differs</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b/>
                <w:bCs/>
                <w:sz w:val="19"/>
                <w:szCs w:val="19"/>
              </w:rPr>
              <w:t xml:space="preserve">Australia LAGIC</w:t>
            </w:r>
          </w:p>
        </w:tc>
        <w:tc>
          <w:tcPr>
            <w:tcW w:type="dxa" w:w="22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sz w:val="19"/>
                <w:szCs w:val="19"/>
              </w:rPr>
              <w:t xml:space="preserve">PCA: 99.5% VaR 1yr (≈ SCR)</w:t>
            </w:r>
          </w:p>
        </w:tc>
        <w:tc>
          <w:tcPr>
            <w:tcW w:type="dxa" w:w="22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sz w:val="19"/>
                <w:szCs w:val="19"/>
              </w:rPr>
              <w:t xml:space="preserve">3-pillar; standard method or IM</w:t>
            </w:r>
          </w:p>
        </w:tc>
        <w:tc>
          <w:tcPr>
            <w:tcW w:type="dxa" w:w="168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sz w:val="19"/>
                <w:szCs w:val="19"/>
              </w:rPr>
              <w:t xml:space="preserve">Individual capital adequacy assessment (≈ ORSA)</w:t>
            </w:r>
          </w:p>
        </w:tc>
        <w:tc>
          <w:tcPr>
            <w:tcW w:type="dxa" w:w="188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sz w:val="19"/>
                <w:szCs w:val="19"/>
              </w:rPr>
              <w:t xml:space="preserve">Provisional SII equivalence (10yr periods); APRA can adjust capital</w:t>
            </w:r>
          </w:p>
        </w:tc>
      </w:tr>
      <w:tr>
        <w:tc>
          <w:tcPr>
            <w:tcW w:type="dxa" w:w="1400"/>
            <w:tcBorders>
              <w:top w:val="single" w:color="CCCCCC" w:sz="1"/>
              <w:left w:val="single" w:color="CCCCCC" w:sz="1"/>
              <w:bottom w:val="single" w:color="CCCCCC" w:sz="1"/>
              <w:right w:val="single" w:color="CCCCCC" w:sz="1"/>
            </w:tcBorders>
            <w:shd w:fill="D6EAF8" w:val="clear"/>
            <w:tcMar>
              <w:top w:type="dxa" w:w="60"/>
              <w:left w:type="dxa" w:w="80"/>
              <w:bottom w:type="dxa" w:w="60"/>
              <w:right w:type="dxa" w:w="80"/>
            </w:tcMar>
          </w:tcPr>
          <w:p>
            <w:r>
              <w:rPr>
                <w:b/>
                <w:bCs/>
                <w:sz w:val="19"/>
                <w:szCs w:val="19"/>
              </w:rPr>
              <w:t xml:space="preserve">South Africa SAM</w:t>
            </w:r>
          </w:p>
        </w:tc>
        <w:tc>
          <w:tcPr>
            <w:tcW w:type="dxa" w:w="2200"/>
            <w:tcBorders>
              <w:top w:val="single" w:color="CCCCCC" w:sz="1"/>
              <w:left w:val="single" w:color="CCCCCC" w:sz="1"/>
              <w:bottom w:val="single" w:color="CCCCCC" w:sz="1"/>
              <w:right w:val="single" w:color="CCCCCC" w:sz="1"/>
            </w:tcBorders>
            <w:shd w:fill="D6EAF8" w:val="clear"/>
            <w:tcMar>
              <w:top w:type="dxa" w:w="60"/>
              <w:left w:type="dxa" w:w="80"/>
              <w:bottom w:type="dxa" w:w="60"/>
              <w:right w:type="dxa" w:w="80"/>
            </w:tcMar>
          </w:tcPr>
          <w:p>
            <w:r>
              <w:rPr>
                <w:sz w:val="19"/>
                <w:szCs w:val="19"/>
              </w:rPr>
              <w:t xml:space="preserve">99.5% 1-in-200yr loss (≈ SCR)</w:t>
            </w:r>
          </w:p>
        </w:tc>
        <w:tc>
          <w:tcPr>
            <w:tcW w:type="dxa" w:w="2200"/>
            <w:tcBorders>
              <w:top w:val="single" w:color="CCCCCC" w:sz="1"/>
              <w:left w:val="single" w:color="CCCCCC" w:sz="1"/>
              <w:bottom w:val="single" w:color="CCCCCC" w:sz="1"/>
              <w:right w:val="single" w:color="CCCCCC" w:sz="1"/>
            </w:tcBorders>
            <w:shd w:fill="D6EAF8" w:val="clear"/>
            <w:tcMar>
              <w:top w:type="dxa" w:w="60"/>
              <w:left w:type="dxa" w:w="80"/>
              <w:bottom w:type="dxa" w:w="60"/>
              <w:right w:type="dxa" w:w="80"/>
            </w:tcMar>
          </w:tcPr>
          <w:p>
            <w:r>
              <w:rPr>
                <w:sz w:val="19"/>
                <w:szCs w:val="19"/>
              </w:rPr>
              <w:t xml:space="preserve">SA adaptations to SII; SAM balance sheet</w:t>
            </w:r>
          </w:p>
        </w:tc>
        <w:tc>
          <w:tcPr>
            <w:tcW w:type="dxa" w:w="1680"/>
            <w:tcBorders>
              <w:top w:val="single" w:color="CCCCCC" w:sz="1"/>
              <w:left w:val="single" w:color="CCCCCC" w:sz="1"/>
              <w:bottom w:val="single" w:color="CCCCCC" w:sz="1"/>
              <w:right w:val="single" w:color="CCCCCC" w:sz="1"/>
            </w:tcBorders>
            <w:shd w:fill="D6EAF8" w:val="clear"/>
            <w:tcMar>
              <w:top w:type="dxa" w:w="60"/>
              <w:left w:type="dxa" w:w="80"/>
              <w:bottom w:type="dxa" w:w="60"/>
              <w:right w:type="dxa" w:w="80"/>
            </w:tcMar>
          </w:tcPr>
          <w:p>
            <w:r>
              <w:rPr>
                <w:sz w:val="19"/>
                <w:szCs w:val="19"/>
              </w:rPr>
              <w:t xml:space="preserve">Pillar II requirement</w:t>
            </w:r>
          </w:p>
        </w:tc>
        <w:tc>
          <w:tcPr>
            <w:tcW w:type="dxa" w:w="1880"/>
            <w:tcBorders>
              <w:top w:val="single" w:color="CCCCCC" w:sz="1"/>
              <w:left w:val="single" w:color="CCCCCC" w:sz="1"/>
              <w:bottom w:val="single" w:color="CCCCCC" w:sz="1"/>
              <w:right w:val="single" w:color="CCCCCC" w:sz="1"/>
            </w:tcBorders>
            <w:shd w:fill="D6EAF8" w:val="clear"/>
            <w:tcMar>
              <w:top w:type="dxa" w:w="60"/>
              <w:left w:type="dxa" w:w="80"/>
              <w:bottom w:type="dxa" w:w="60"/>
              <w:right w:type="dxa" w:w="80"/>
            </w:tcMar>
          </w:tcPr>
          <w:p>
            <w:r>
              <w:rPr>
                <w:sz w:val="19"/>
                <w:szCs w:val="19"/>
              </w:rPr>
              <w:t xml:space="preserve">SA risk-free rates; microinsurance reduced MCR for financial inclusion</w:t>
            </w:r>
          </w:p>
        </w:tc>
      </w:tr>
    </w:tbl>
    <w:p>
      <w:pPr>
        <w:spacing w:after="60" w:before="60"/>
      </w:pPr>
      <w:r>
        <w:t xml:space="preserve"/>
      </w:r>
    </w:p>
    <w:p>
      <w:r>
        <w:br w:type="page"/>
      </w:r>
    </w:p>
    <w:p>
      <w:pPr>
        <w:pStyle w:val="Heading1"/>
        <w:pBdr>
          <w:bottom w:val="single" w:color="1B3A6B" w:sz="6" w:space="4"/>
        </w:pBdr>
        <w:spacing w:after="120" w:before="360"/>
      </w:pPr>
      <w:r>
        <w:rPr>
          <w:b/>
          <w:bCs/>
          <w:color w:val="1B3A6B"/>
        </w:rPr>
        <w:t xml:space="preserve">BLOCK 7 — EXAM TECHNIQUE &amp; PAST PAPER GUIDE</w:t>
      </w:r>
    </w:p>
    <w:p>
      <w:pPr>
        <w:spacing w:after="60" w:before="60"/>
      </w:pPr>
      <w:r>
        <w:t xml:space="preserve"/>
      </w:r>
    </w:p>
    <w:p>
      <w:pPr>
        <w:pStyle w:val="Heading2"/>
        <w:spacing w:after="80" w:before="240"/>
      </w:pPr>
      <w:r>
        <w:rPr>
          <w:b/>
          <w:bCs/>
          <w:color w:val="0E6B6B"/>
        </w:rPr>
        <w:t xml:space="preserve">7.1  Capital &amp; Solvency Question Frequency (IAI 2016–2025)</w:t>
      </w:r>
    </w:p>
    <w:p>
      <w:pPr>
        <w:spacing w:after="60" w:before="40"/>
      </w:pPr>
      <w:r>
        <w:rPr>
          <w:sz w:val="22"/>
          <w:szCs w:val="22"/>
        </w:rPr>
        <w:t xml:space="preserve">Capital &amp; Solvency questions appear in virtually every IAI SA1 paper. The theme is cross-cutting — most multi-topic questions include at least one solvency sub-part.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rPr>
          <w:tblHeader/>
        </w:trPr>
        <w:tc>
          <w:tcPr>
            <w:tcW w:type="dxa" w:w="2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80"/>
            </w:tcMar>
          </w:tcPr>
          <w:p>
            <w:r>
              <w:rPr>
                <w:b/>
                <w:bCs/>
                <w:color w:val="FFFFFF"/>
                <w:sz w:val="20"/>
                <w:szCs w:val="20"/>
              </w:rPr>
              <w:t xml:space="preserve">Paper</w:t>
            </w:r>
          </w:p>
        </w:tc>
        <w:tc>
          <w:tcPr>
            <w:tcW w:type="dxa" w:w="1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80"/>
            </w:tcMar>
          </w:tcPr>
          <w:p>
            <w:r>
              <w:rPr>
                <w:b/>
                <w:bCs/>
                <w:color w:val="FFFFFF"/>
                <w:sz w:val="20"/>
                <w:szCs w:val="20"/>
              </w:rPr>
              <w:t xml:space="preserve">Marks</w:t>
            </w:r>
          </w:p>
        </w:tc>
        <w:tc>
          <w:tcPr>
            <w:tcW w:type="dxa" w:w="53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80"/>
            </w:tcMar>
          </w:tcPr>
          <w:p>
            <w:r>
              <w:rPr>
                <w:b/>
                <w:bCs/>
                <w:color w:val="FFFFFF"/>
                <w:sz w:val="20"/>
                <w:szCs w:val="20"/>
              </w:rPr>
              <w:t xml:space="preserve">Core Solvency/Capital Content</w:t>
            </w:r>
          </w:p>
        </w:tc>
      </w:tr>
      <w:tr>
        <w:tc>
          <w:tcPr>
            <w:tcW w:type="dxa" w:w="2200"/>
            <w:tcBorders>
              <w:top w:val="single" w:color="CCCCCC" w:sz="1"/>
              <w:left w:val="single" w:color="CCCCCC" w:sz="1"/>
              <w:bottom w:val="single" w:color="CCCCCC" w:sz="1"/>
              <w:right w:val="single" w:color="CCCCCC" w:sz="1"/>
            </w:tcBorders>
            <w:shd w:fill="FEF9E7" w:val="clear"/>
            <w:tcMar>
              <w:top w:type="dxa" w:w="60"/>
              <w:left w:type="dxa" w:w="120"/>
              <w:bottom w:type="dxa" w:w="60"/>
              <w:right w:type="dxa" w:w="80"/>
            </w:tcMar>
          </w:tcPr>
          <w:p>
            <w:r>
              <w:rPr>
                <w:b/>
                <w:bCs/>
                <w:sz w:val="20"/>
                <w:szCs w:val="20"/>
              </w:rPr>
              <w:t xml:space="preserve">Apr 2019 Q2</w:t>
            </w:r>
          </w:p>
        </w:tc>
        <w:tc>
          <w:tcPr>
            <w:tcW w:type="dxa" w:w="1800"/>
            <w:tcBorders>
              <w:top w:val="single" w:color="CCCCCC" w:sz="1"/>
              <w:left w:val="single" w:color="CCCCCC" w:sz="1"/>
              <w:bottom w:val="single" w:color="CCCCCC" w:sz="1"/>
              <w:right w:val="single" w:color="CCCCCC" w:sz="1"/>
            </w:tcBorders>
            <w:shd w:fill="FEF9E7" w:val="clear"/>
            <w:tcMar>
              <w:top w:type="dxa" w:w="60"/>
              <w:left w:type="dxa" w:w="120"/>
              <w:bottom w:type="dxa" w:w="60"/>
              <w:right w:type="dxa" w:w="80"/>
            </w:tcMar>
          </w:tcPr>
          <w:p>
            <w:pPr>
              <w:jc w:val="center"/>
            </w:pPr>
            <w:r>
              <w:rPr>
                <w:b/>
                <w:bCs/>
                <w:color w:val="1B3A6B"/>
                <w:sz w:val="20"/>
                <w:szCs w:val="20"/>
              </w:rPr>
              <w:t xml:space="preserve">45</w:t>
            </w:r>
          </w:p>
        </w:tc>
        <w:tc>
          <w:tcPr>
            <w:tcW w:type="dxa" w:w="5360"/>
            <w:tcBorders>
              <w:top w:val="single" w:color="CCCCCC" w:sz="1"/>
              <w:left w:val="single" w:color="CCCCCC" w:sz="1"/>
              <w:bottom w:val="single" w:color="CCCCCC" w:sz="1"/>
              <w:right w:val="single" w:color="CCCCCC" w:sz="1"/>
            </w:tcBorders>
            <w:shd w:fill="FEF9E7" w:val="clear"/>
            <w:tcMar>
              <w:top w:type="dxa" w:w="60"/>
              <w:left w:type="dxa" w:w="120"/>
              <w:bottom w:type="dxa" w:w="60"/>
              <w:right w:type="dxa" w:w="80"/>
            </w:tcMar>
          </w:tcPr>
          <w:p>
            <w:r>
              <w:rPr>
                <w:sz w:val="20"/>
                <w:szCs w:val="20"/>
              </w:rPr>
              <w:t xml:space="preserve">Independent review of SII Technical Provisions and SCR for a PMI insurer — areas, data required, methodology review. High breadth question.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b/>
                <w:bCs/>
                <w:sz w:val="20"/>
                <w:szCs w:val="20"/>
              </w:rPr>
              <w:t xml:space="preserve">Apr 2020 Q1</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jc w:val="center"/>
            </w:pPr>
            <w:r>
              <w:rPr>
                <w:b/>
                <w:bCs/>
                <w:color w:val="1B3A6B"/>
                <w:sz w:val="20"/>
                <w:szCs w:val="20"/>
              </w:rPr>
              <w:t xml:space="preserve">48</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sz w:val="20"/>
                <w:szCs w:val="20"/>
              </w:rPr>
              <w:t xml:space="preserve">SII three pillars; group reporting; third-country equivalence. Multi-part, highly structured.</w:t>
            </w:r>
          </w:p>
        </w:tc>
      </w:tr>
      <w:tr>
        <w:tc>
          <w:tcPr>
            <w:tcW w:type="dxa" w:w="2200"/>
            <w:tcBorders>
              <w:top w:val="single" w:color="CCCCCC" w:sz="1"/>
              <w:left w:val="single" w:color="CCCCCC" w:sz="1"/>
              <w:bottom w:val="single" w:color="CCCCCC" w:sz="1"/>
              <w:right w:val="single" w:color="CCCCCC" w:sz="1"/>
            </w:tcBorders>
            <w:shd w:fill="FEF9E7" w:val="clear"/>
            <w:tcMar>
              <w:top w:type="dxa" w:w="60"/>
              <w:left w:type="dxa" w:w="120"/>
              <w:bottom w:type="dxa" w:w="60"/>
              <w:right w:type="dxa" w:w="80"/>
            </w:tcMar>
          </w:tcPr>
          <w:p>
            <w:r>
              <w:rPr>
                <w:b/>
                <w:bCs/>
                <w:sz w:val="20"/>
                <w:szCs w:val="20"/>
              </w:rPr>
              <w:t xml:space="preserve">Sept 2021 Q2i-ii</w:t>
            </w:r>
          </w:p>
        </w:tc>
        <w:tc>
          <w:tcPr>
            <w:tcW w:type="dxa" w:w="1800"/>
            <w:tcBorders>
              <w:top w:val="single" w:color="CCCCCC" w:sz="1"/>
              <w:left w:val="single" w:color="CCCCCC" w:sz="1"/>
              <w:bottom w:val="single" w:color="CCCCCC" w:sz="1"/>
              <w:right w:val="single" w:color="CCCCCC" w:sz="1"/>
            </w:tcBorders>
            <w:shd w:fill="FEF9E7" w:val="clear"/>
            <w:tcMar>
              <w:top w:type="dxa" w:w="60"/>
              <w:left w:type="dxa" w:w="120"/>
              <w:bottom w:type="dxa" w:w="60"/>
              <w:right w:type="dxa" w:w="80"/>
            </w:tcMar>
          </w:tcPr>
          <w:p>
            <w:pPr>
              <w:jc w:val="center"/>
            </w:pPr>
            <w:r>
              <w:rPr>
                <w:b/>
                <w:bCs/>
                <w:color w:val="1B3A6B"/>
                <w:sz w:val="20"/>
                <w:szCs w:val="20"/>
              </w:rPr>
              <w:t xml:space="preserve">33</w:t>
            </w:r>
          </w:p>
        </w:tc>
        <w:tc>
          <w:tcPr>
            <w:tcW w:type="dxa" w:w="5360"/>
            <w:tcBorders>
              <w:top w:val="single" w:color="CCCCCC" w:sz="1"/>
              <w:left w:val="single" w:color="CCCCCC" w:sz="1"/>
              <w:bottom w:val="single" w:color="CCCCCC" w:sz="1"/>
              <w:right w:val="single" w:color="CCCCCC" w:sz="1"/>
            </w:tcBorders>
            <w:shd w:fill="FEF9E7" w:val="clear"/>
            <w:tcMar>
              <w:top w:type="dxa" w:w="60"/>
              <w:left w:type="dxa" w:w="120"/>
              <w:bottom w:type="dxa" w:w="60"/>
              <w:right w:type="dxa" w:w="80"/>
            </w:tcMar>
          </w:tcPr>
          <w:p>
            <w:r>
              <w:rPr>
                <w:sz w:val="20"/>
                <w:szCs w:val="20"/>
              </w:rPr>
              <w:t xml:space="preserve">Investment income under SII by asset class; Full valuation of SII assets + BEL + Risk Margin. Classic technical question.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b/>
                <w:bCs/>
                <w:sz w:val="20"/>
                <w:szCs w:val="20"/>
              </w:rPr>
              <w:t xml:space="preserve">Mar 2022 Q2i-viii</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jc w:val="center"/>
            </w:pPr>
            <w:r>
              <w:rPr>
                <w:b/>
                <w:bCs/>
                <w:color w:val="1B3A6B"/>
                <w:sz w:val="20"/>
                <w:szCs w:val="20"/>
              </w:rPr>
              <w:t xml:space="preserve">53</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sz w:val="20"/>
                <w:szCs w:val="20"/>
              </w:rPr>
              <w:t xml:space="preserve">Solvency ratio definition and drivers; implications of borderline SR; investigation and recovery plan; financial reinsurance suitability; expense analysis.</w:t>
            </w:r>
          </w:p>
        </w:tc>
      </w:tr>
      <w:tr>
        <w:tc>
          <w:tcPr>
            <w:tcW w:type="dxa" w:w="2200"/>
            <w:tcBorders>
              <w:top w:val="single" w:color="CCCCCC" w:sz="1"/>
              <w:left w:val="single" w:color="CCCCCC" w:sz="1"/>
              <w:bottom w:val="single" w:color="CCCCCC" w:sz="1"/>
              <w:right w:val="single" w:color="CCCCCC" w:sz="1"/>
            </w:tcBorders>
            <w:shd w:fill="FEF9E7" w:val="clear"/>
            <w:tcMar>
              <w:top w:type="dxa" w:w="60"/>
              <w:left w:type="dxa" w:w="120"/>
              <w:bottom w:type="dxa" w:w="60"/>
              <w:right w:type="dxa" w:w="80"/>
            </w:tcMar>
          </w:tcPr>
          <w:p>
            <w:r>
              <w:rPr>
                <w:b/>
                <w:bCs/>
                <w:sz w:val="20"/>
                <w:szCs w:val="20"/>
              </w:rPr>
              <w:t xml:space="preserve">Jul 2022 Q1iv-v</w:t>
            </w:r>
          </w:p>
        </w:tc>
        <w:tc>
          <w:tcPr>
            <w:tcW w:type="dxa" w:w="1800"/>
            <w:tcBorders>
              <w:top w:val="single" w:color="CCCCCC" w:sz="1"/>
              <w:left w:val="single" w:color="CCCCCC" w:sz="1"/>
              <w:bottom w:val="single" w:color="CCCCCC" w:sz="1"/>
              <w:right w:val="single" w:color="CCCCCC" w:sz="1"/>
            </w:tcBorders>
            <w:shd w:fill="FEF9E7" w:val="clear"/>
            <w:tcMar>
              <w:top w:type="dxa" w:w="60"/>
              <w:left w:type="dxa" w:w="120"/>
              <w:bottom w:type="dxa" w:w="60"/>
              <w:right w:type="dxa" w:w="80"/>
            </w:tcMar>
          </w:tcPr>
          <w:p>
            <w:pPr>
              <w:jc w:val="center"/>
            </w:pPr>
            <w:r>
              <w:rPr>
                <w:b/>
                <w:bCs/>
                <w:color w:val="1B3A6B"/>
                <w:sz w:val="20"/>
                <w:szCs w:val="20"/>
              </w:rPr>
              <w:t xml:space="preserve">8</w:t>
            </w:r>
          </w:p>
        </w:tc>
        <w:tc>
          <w:tcPr>
            <w:tcW w:type="dxa" w:w="5360"/>
            <w:tcBorders>
              <w:top w:val="single" w:color="CCCCCC" w:sz="1"/>
              <w:left w:val="single" w:color="CCCCCC" w:sz="1"/>
              <w:bottom w:val="single" w:color="CCCCCC" w:sz="1"/>
              <w:right w:val="single" w:color="CCCCCC" w:sz="1"/>
            </w:tcBorders>
            <w:shd w:fill="FEF9E7" w:val="clear"/>
            <w:tcMar>
              <w:top w:type="dxa" w:w="60"/>
              <w:left w:type="dxa" w:w="120"/>
              <w:bottom w:type="dxa" w:w="60"/>
              <w:right w:type="dxa" w:w="80"/>
            </w:tcMar>
          </w:tcPr>
          <w:p>
            <w:r>
              <w:rPr>
                <w:sz w:val="20"/>
                <w:szCs w:val="20"/>
              </w:rPr>
              <w:t xml:space="preserve">Derive solvency ratio change formula; compute SR movement for multiple events. Numerical — rare in SA1.</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b/>
                <w:bCs/>
                <w:sz w:val="20"/>
                <w:szCs w:val="20"/>
              </w:rPr>
              <w:t xml:space="preserve">Nov 2023 Q1v-vii</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jc w:val="center"/>
            </w:pPr>
            <w:r>
              <w:rPr>
                <w:b/>
                <w:bCs/>
                <w:color w:val="1B3A6B"/>
                <w:sz w:val="20"/>
                <w:szCs w:val="20"/>
              </w:rPr>
              <w:t xml:space="preserve">34</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sz w:val="20"/>
                <w:szCs w:val="20"/>
              </w:rPr>
              <w:t xml:space="preserve">Risk margin calculation; standard formula vs internal model; SII technical provisions (BEL + MA + VA + RM). High-mark, high-detail.</w:t>
            </w:r>
          </w:p>
        </w:tc>
      </w:tr>
      <w:tr>
        <w:tc>
          <w:tcPr>
            <w:tcW w:type="dxa" w:w="2200"/>
            <w:tcBorders>
              <w:top w:val="single" w:color="CCCCCC" w:sz="1"/>
              <w:left w:val="single" w:color="CCCCCC" w:sz="1"/>
              <w:bottom w:val="single" w:color="CCCCCC" w:sz="1"/>
              <w:right w:val="single" w:color="CCCCCC" w:sz="1"/>
            </w:tcBorders>
            <w:shd w:fill="FEF9E7" w:val="clear"/>
            <w:tcMar>
              <w:top w:type="dxa" w:w="60"/>
              <w:left w:type="dxa" w:w="120"/>
              <w:bottom w:type="dxa" w:w="60"/>
              <w:right w:type="dxa" w:w="80"/>
            </w:tcMar>
          </w:tcPr>
          <w:p>
            <w:r>
              <w:rPr>
                <w:b/>
                <w:bCs/>
                <w:sz w:val="20"/>
                <w:szCs w:val="20"/>
              </w:rPr>
              <w:t xml:space="preserve">May 2024 Q2vii</w:t>
            </w:r>
          </w:p>
        </w:tc>
        <w:tc>
          <w:tcPr>
            <w:tcW w:type="dxa" w:w="1800"/>
            <w:tcBorders>
              <w:top w:val="single" w:color="CCCCCC" w:sz="1"/>
              <w:left w:val="single" w:color="CCCCCC" w:sz="1"/>
              <w:bottom w:val="single" w:color="CCCCCC" w:sz="1"/>
              <w:right w:val="single" w:color="CCCCCC" w:sz="1"/>
            </w:tcBorders>
            <w:shd w:fill="FEF9E7" w:val="clear"/>
            <w:tcMar>
              <w:top w:type="dxa" w:w="60"/>
              <w:left w:type="dxa" w:w="120"/>
              <w:bottom w:type="dxa" w:w="60"/>
              <w:right w:type="dxa" w:w="80"/>
            </w:tcMar>
          </w:tcPr>
          <w:p>
            <w:pPr>
              <w:jc w:val="center"/>
            </w:pPr>
            <w:r>
              <w:rPr>
                <w:b/>
                <w:bCs/>
                <w:color w:val="1B3A6B"/>
                <w:sz w:val="20"/>
                <w:szCs w:val="20"/>
              </w:rPr>
              <w:t xml:space="preserve">7</w:t>
            </w:r>
          </w:p>
        </w:tc>
        <w:tc>
          <w:tcPr>
            <w:tcW w:type="dxa" w:w="5360"/>
            <w:tcBorders>
              <w:top w:val="single" w:color="CCCCCC" w:sz="1"/>
              <w:left w:val="single" w:color="CCCCCC" w:sz="1"/>
              <w:bottom w:val="single" w:color="CCCCCC" w:sz="1"/>
              <w:right w:val="single" w:color="CCCCCC" w:sz="1"/>
            </w:tcBorders>
            <w:shd w:fill="FEF9E7" w:val="clear"/>
            <w:tcMar>
              <w:top w:type="dxa" w:w="60"/>
              <w:left w:type="dxa" w:w="120"/>
              <w:bottom w:type="dxa" w:w="60"/>
              <w:right w:type="dxa" w:w="80"/>
            </w:tcMar>
          </w:tcPr>
          <w:p>
            <w:r>
              <w:rPr>
                <w:sz w:val="20"/>
                <w:szCs w:val="20"/>
              </w:rPr>
              <w:t xml:space="preserve">Impact of SII-style regulations on an Indian health insurer (BEL + Risk Margin introduction).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b/>
                <w:bCs/>
                <w:sz w:val="20"/>
                <w:szCs w:val="20"/>
              </w:rPr>
              <w:t xml:space="preserve">Nov 2024 Q1b-c</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jc w:val="center"/>
            </w:pPr>
            <w:r>
              <w:rPr>
                <w:b/>
                <w:bCs/>
                <w:color w:val="1B3A6B"/>
                <w:sz w:val="20"/>
                <w:szCs w:val="20"/>
              </w:rPr>
              <w:t xml:space="preserve">25</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sz w:val="20"/>
                <w:szCs w:val="20"/>
              </w:rPr>
              <w:t xml:space="preserve">Capital adequacy framework for a chronic disease product; reserve types and solvency impacts.</w:t>
            </w:r>
          </w:p>
        </w:tc>
      </w:tr>
      <w:tr>
        <w:tc>
          <w:tcPr>
            <w:tcW w:type="dxa" w:w="2200"/>
            <w:tcBorders>
              <w:top w:val="single" w:color="CCCCCC" w:sz="1"/>
              <w:left w:val="single" w:color="CCCCCC" w:sz="1"/>
              <w:bottom w:val="single" w:color="CCCCCC" w:sz="1"/>
              <w:right w:val="single" w:color="CCCCCC" w:sz="1"/>
            </w:tcBorders>
            <w:shd w:fill="FEF9E7" w:val="clear"/>
            <w:tcMar>
              <w:top w:type="dxa" w:w="60"/>
              <w:left w:type="dxa" w:w="120"/>
              <w:bottom w:type="dxa" w:w="60"/>
              <w:right w:type="dxa" w:w="80"/>
            </w:tcMar>
          </w:tcPr>
          <w:p>
            <w:r>
              <w:rPr>
                <w:b/>
                <w:bCs/>
                <w:sz w:val="20"/>
                <w:szCs w:val="20"/>
              </w:rPr>
              <w:t xml:space="preserve">Sept 2025 Q1</w:t>
            </w:r>
          </w:p>
        </w:tc>
        <w:tc>
          <w:tcPr>
            <w:tcW w:type="dxa" w:w="1800"/>
            <w:tcBorders>
              <w:top w:val="single" w:color="CCCCCC" w:sz="1"/>
              <w:left w:val="single" w:color="CCCCCC" w:sz="1"/>
              <w:bottom w:val="single" w:color="CCCCCC" w:sz="1"/>
              <w:right w:val="single" w:color="CCCCCC" w:sz="1"/>
            </w:tcBorders>
            <w:shd w:fill="FEF9E7" w:val="clear"/>
            <w:tcMar>
              <w:top w:type="dxa" w:w="60"/>
              <w:left w:type="dxa" w:w="120"/>
              <w:bottom w:type="dxa" w:w="60"/>
              <w:right w:type="dxa" w:w="80"/>
            </w:tcMar>
          </w:tcPr>
          <w:p>
            <w:pPr>
              <w:jc w:val="center"/>
            </w:pPr>
            <w:r>
              <w:rPr>
                <w:b/>
                <w:bCs/>
                <w:color w:val="1B3A6B"/>
                <w:sz w:val="20"/>
                <w:szCs w:val="20"/>
              </w:rPr>
              <w:t xml:space="preserve">28</w:t>
            </w:r>
          </w:p>
        </w:tc>
        <w:tc>
          <w:tcPr>
            <w:tcW w:type="dxa" w:w="5360"/>
            <w:tcBorders>
              <w:top w:val="single" w:color="CCCCCC" w:sz="1"/>
              <w:left w:val="single" w:color="CCCCCC" w:sz="1"/>
              <w:bottom w:val="single" w:color="CCCCCC" w:sz="1"/>
              <w:right w:val="single" w:color="CCCCCC" w:sz="1"/>
            </w:tcBorders>
            <w:shd w:fill="FEF9E7" w:val="clear"/>
            <w:tcMar>
              <w:top w:type="dxa" w:w="60"/>
              <w:left w:type="dxa" w:w="120"/>
              <w:bottom w:type="dxa" w:w="60"/>
              <w:right w:type="dxa" w:w="80"/>
            </w:tcMar>
          </w:tcPr>
          <w:p>
            <w:r>
              <w:rPr>
                <w:sz w:val="20"/>
                <w:szCs w:val="20"/>
              </w:rPr>
              <w:t xml:space="preserve">PMI solvency — reserve basis, BEL, experience investigations.</w:t>
            </w:r>
          </w:p>
        </w:tc>
      </w:tr>
    </w:tbl>
    <w:p>
      <w:pPr>
        <w:spacing w:after="60" w:before="60"/>
      </w:pPr>
      <w:r>
        <w:t xml:space="preserve"/>
      </w:r>
    </w:p>
    <w:p>
      <w:pPr>
        <w:pStyle w:val="Heading2"/>
        <w:spacing w:after="80" w:before="240"/>
      </w:pPr>
      <w:r>
        <w:rPr>
          <w:b/>
          <w:bCs/>
          <w:color w:val="0E6B6B"/>
        </w:rPr>
        <w:t xml:space="preserve">7.2  Common Answer Structures — What Gets Marks</w:t>
      </w:r>
    </w:p>
    <w:p>
      <w:pPr>
        <w:spacing w:after="60" w:before="40"/>
      </w:pPr>
      <w:r>
        <w:rPr>
          <w:sz w:val="22"/>
          <w:szCs w:val="22"/>
        </w:rPr>
        <w:t xml:space="preserve">The examiner rewards structured, layered answers. Use these templates:</w:t>
      </w:r>
    </w:p>
    <w:p>
      <w:pPr>
        <w:spacing w:after="60" w:before="60"/>
      </w:pPr>
      <w:r>
        <w:t xml:space="preserve"/>
      </w:r>
    </w:p>
    <w:p>
      <w:pPr>
        <w:pStyle w:val="Heading3"/>
        <w:spacing w:after="60" w:before="180"/>
      </w:pPr>
      <w:r>
        <w:rPr>
          <w:b/>
          <w:bCs/>
          <w:color w:val="B8860B"/>
        </w:rPr>
        <w:t xml:space="preserve">Q-type: 'Describe how TPs / BEL / Risk Margin is calculated under SII'</w:t>
      </w:r>
    </w:p>
    <w:p>
      <w:pPr>
        <w:pStyle w:val="ListParagraph"/>
        <w:numPr>
          <w:ilvl w:val="0"/>
          <w:numId w:val="2"/>
        </w:numPr>
        <w:spacing w:after="40" w:before="40"/>
      </w:pPr>
      <w:r>
        <w:rPr>
          <w:b w:val="false"/>
          <w:bCs w:val="false"/>
          <w:sz w:val="22"/>
          <w:szCs w:val="22"/>
        </w:rPr>
        <w:t xml:space="preserve">1. Overall approach: market-consistent, transfer value concept</w:t>
      </w:r>
    </w:p>
    <w:p>
      <w:pPr>
        <w:pStyle w:val="ListParagraph"/>
        <w:numPr>
          <w:ilvl w:val="0"/>
          <w:numId w:val="2"/>
        </w:numPr>
        <w:spacing w:after="40" w:before="40"/>
      </w:pPr>
      <w:r>
        <w:rPr>
          <w:b w:val="false"/>
          <w:bCs w:val="false"/>
          <w:sz w:val="22"/>
          <w:szCs w:val="22"/>
        </w:rPr>
        <w:t xml:space="preserve">2. BEL: cashflows (in and out), assumptions (best estimate, no margins), discounting (risk-free curve, EIOPA)</w:t>
      </w:r>
    </w:p>
    <w:p>
      <w:pPr>
        <w:pStyle w:val="ListParagraph"/>
        <w:numPr>
          <w:ilvl w:val="0"/>
          <w:numId w:val="2"/>
        </w:numPr>
        <w:spacing w:after="40" w:before="40"/>
      </w:pPr>
      <w:r>
        <w:rPr>
          <w:b w:val="false"/>
          <w:bCs w:val="false"/>
          <w:sz w:val="22"/>
          <w:szCs w:val="22"/>
        </w:rPr>
        <w:t xml:space="preserve">3. Contract boundary (LT vs ST)</w:t>
      </w:r>
    </w:p>
    <w:p>
      <w:pPr>
        <w:pStyle w:val="ListParagraph"/>
        <w:numPr>
          <w:ilvl w:val="0"/>
          <w:numId w:val="2"/>
        </w:numPr>
        <w:spacing w:after="40" w:before="40"/>
      </w:pPr>
      <w:r>
        <w:rPr>
          <w:b w:val="false"/>
          <w:bCs w:val="false"/>
          <w:sz w:val="22"/>
          <w:szCs w:val="22"/>
        </w:rPr>
        <w:t xml:space="preserve">4. Discount rate adjustments: Matching Adjustment (conditions) or Volatility Adjustment (conditions). Only one applies.</w:t>
      </w:r>
    </w:p>
    <w:p>
      <w:pPr>
        <w:pStyle w:val="ListParagraph"/>
        <w:numPr>
          <w:ilvl w:val="0"/>
          <w:numId w:val="2"/>
        </w:numPr>
        <w:spacing w:after="40" w:before="40"/>
      </w:pPr>
      <w:r>
        <w:rPr>
          <w:b w:val="false"/>
          <w:bCs w:val="false"/>
          <w:sz w:val="22"/>
          <w:szCs w:val="22"/>
        </w:rPr>
        <w:t xml:space="preserve">5. Risk Margin: cost-of-capital method, 6%, non-hedgeable risks, run-off projection, discounted at risk-free</w:t>
      </w:r>
    </w:p>
    <w:p>
      <w:pPr>
        <w:pStyle w:val="ListParagraph"/>
        <w:numPr>
          <w:ilvl w:val="0"/>
          <w:numId w:val="2"/>
        </w:numPr>
        <w:spacing w:after="40" w:before="40"/>
      </w:pPr>
      <w:r>
        <w:rPr>
          <w:b w:val="false"/>
          <w:bCs w:val="false"/>
          <w:sz w:val="22"/>
          <w:szCs w:val="22"/>
        </w:rPr>
        <w:t xml:space="preserve">6. Own funds: TPs deducted from assets → own funds = excess</w:t>
      </w:r>
    </w:p>
    <w:p>
      <w:pPr>
        <w:spacing w:after="60" w:before="60"/>
      </w:pPr>
      <w:r>
        <w:t xml:space="preserve"/>
      </w:r>
    </w:p>
    <w:p>
      <w:pPr>
        <w:pStyle w:val="Heading3"/>
        <w:spacing w:after="60" w:before="180"/>
      </w:pPr>
      <w:r>
        <w:rPr>
          <w:b/>
          <w:bCs/>
          <w:color w:val="B8860B"/>
        </w:rPr>
        <w:t xml:space="preserve">Q-type: 'Discuss causes and remedies for a borderline solvency position'</w:t>
      </w:r>
    </w:p>
    <w:p>
      <w:pPr>
        <w:pStyle w:val="ListParagraph"/>
        <w:numPr>
          <w:ilvl w:val="0"/>
          <w:numId w:val="2"/>
        </w:numPr>
        <w:spacing w:after="40" w:before="40"/>
      </w:pPr>
      <w:r>
        <w:rPr>
          <w:b w:val="false"/>
          <w:bCs w:val="false"/>
          <w:sz w:val="22"/>
          <w:szCs w:val="22"/>
        </w:rPr>
        <w:t xml:space="preserve">CAUSES — investigate both sides: ASM (assets) and RSM (liabilities/risk profile)</w:t>
      </w:r>
    </w:p>
    <w:p>
      <w:pPr>
        <w:pStyle w:val="ListParagraph"/>
        <w:numPr>
          <w:ilvl w:val="0"/>
          <w:numId w:val="2"/>
        </w:numPr>
        <w:spacing w:after="40" w:before="40"/>
      </w:pPr>
      <w:r>
        <w:rPr>
          <w:b w:val="false"/>
          <w:bCs w:val="false"/>
          <w:sz w:val="22"/>
          <w:szCs w:val="22"/>
        </w:rPr>
        <w:t xml:space="preserve">ASM side: admissibility of assets; unrealised investment losses; large claims depleting surplus; dividend policy</w:t>
      </w:r>
    </w:p>
    <w:p>
      <w:pPr>
        <w:pStyle w:val="ListParagraph"/>
        <w:numPr>
          <w:ilvl w:val="0"/>
          <w:numId w:val="2"/>
        </w:numPr>
        <w:spacing w:after="40" w:before="40"/>
      </w:pPr>
      <w:r>
        <w:rPr>
          <w:b w:val="false"/>
          <w:bCs w:val="false"/>
          <w:sz w:val="22"/>
          <w:szCs w:val="22"/>
        </w:rPr>
        <w:t xml:space="preserve">RSM side: increased risk profile from new products; worse morbidity than expected; model or basis change increasing reserves</w:t>
      </w:r>
    </w:p>
    <w:p>
      <w:pPr>
        <w:pStyle w:val="ListParagraph"/>
        <w:numPr>
          <w:ilvl w:val="0"/>
          <w:numId w:val="2"/>
        </w:numPr>
        <w:spacing w:after="40" w:before="40"/>
      </w:pPr>
      <w:r>
        <w:rPr>
          <w:b w:val="false"/>
          <w:bCs w:val="false"/>
          <w:sz w:val="22"/>
          <w:szCs w:val="22"/>
        </w:rPr>
        <w:t xml:space="preserve">REMEDIES — match each cause with an action: capital injection; reduce dividends; improve reinsurance; change investment strategy; repricing; ALM improvement; financial reinsurance</w:t>
      </w:r>
    </w:p>
    <w:p>
      <w:pPr>
        <w:pStyle w:val="ListParagraph"/>
        <w:numPr>
          <w:ilvl w:val="0"/>
          <w:numId w:val="2"/>
        </w:numPr>
        <w:spacing w:after="40" w:before="40"/>
      </w:pPr>
      <w:r>
        <w:rPr>
          <w:b w:val="false"/>
          <w:bCs w:val="false"/>
          <w:sz w:val="22"/>
          <w:szCs w:val="22"/>
        </w:rPr>
        <w:t xml:space="preserve">REGULATORY: file recovery plan with Appointed Actuary certification; regular monitoring commitments</w:t>
      </w:r>
    </w:p>
    <w:p>
      <w:pPr>
        <w:spacing w:after="60" w:before="60"/>
      </w:pPr>
      <w:r>
        <w:t xml:space="preserve"/>
      </w:r>
    </w:p>
    <w:p>
      <w:pPr>
        <w:pStyle w:val="Heading3"/>
        <w:spacing w:after="60" w:before="180"/>
      </w:pPr>
      <w:r>
        <w:rPr>
          <w:b/>
          <w:bCs/>
          <w:color w:val="B8860B"/>
        </w:rPr>
        <w:t xml:space="preserve">Q-type: 'Suggest reasons why expense management is important for solvency'</w:t>
      </w:r>
    </w:p>
    <w:p>
      <w:pPr>
        <w:pStyle w:val="ListParagraph"/>
        <w:numPr>
          <w:ilvl w:val="0"/>
          <w:numId w:val="2"/>
        </w:numPr>
        <w:spacing w:after="40" w:before="40"/>
      </w:pPr>
      <w:r>
        <w:rPr>
          <w:b w:val="false"/>
          <w:bCs w:val="false"/>
          <w:sz w:val="22"/>
          <w:szCs w:val="22"/>
        </w:rPr>
        <w:t xml:space="preserve">Expenses reduce available capital directly (outflow)</w:t>
      </w:r>
    </w:p>
    <w:p>
      <w:pPr>
        <w:pStyle w:val="ListParagraph"/>
        <w:numPr>
          <w:ilvl w:val="0"/>
          <w:numId w:val="2"/>
        </w:numPr>
        <w:spacing w:after="40" w:before="40"/>
      </w:pPr>
      <w:r>
        <w:rPr>
          <w:b w:val="false"/>
          <w:bCs w:val="false"/>
          <w:sz w:val="22"/>
          <w:szCs w:val="22"/>
        </w:rPr>
        <w:t xml:space="preserve">Risk-based capital frameworks include expense risk in required capital (e.g. SLT expense sub-module)</w:t>
      </w:r>
    </w:p>
    <w:p>
      <w:pPr>
        <w:pStyle w:val="ListParagraph"/>
        <w:numPr>
          <w:ilvl w:val="0"/>
          <w:numId w:val="2"/>
        </w:numPr>
        <w:spacing w:after="40" w:before="40"/>
      </w:pPr>
      <w:r>
        <w:rPr>
          <w:b w:val="false"/>
          <w:bCs w:val="false"/>
          <w:sz w:val="22"/>
          <w:szCs w:val="22"/>
        </w:rPr>
        <w:t xml:space="preserve">Expense overruns are particularly damaging for small/young insurers (no economies of scale)</w:t>
      </w:r>
    </w:p>
    <w:p>
      <w:pPr>
        <w:pStyle w:val="ListParagraph"/>
        <w:numPr>
          <w:ilvl w:val="0"/>
          <w:numId w:val="2"/>
        </w:numPr>
        <w:spacing w:after="40" w:before="40"/>
      </w:pPr>
      <w:r>
        <w:rPr>
          <w:b w:val="false"/>
          <w:bCs w:val="false"/>
          <w:sz w:val="22"/>
          <w:szCs w:val="22"/>
        </w:rPr>
        <w:t xml:space="preserve">Expense inflation erodes margins in pricing basis → need higher reserves over time</w:t>
      </w:r>
    </w:p>
    <w:p>
      <w:pPr>
        <w:spacing w:after="60" w:before="60"/>
      </w:pPr>
      <w:r>
        <w:t xml:space="preserve"/>
      </w:r>
    </w:p>
    <w:p>
      <w:pPr>
        <w:pStyle w:val="Heading2"/>
        <w:spacing w:after="80" w:before="240"/>
      </w:pPr>
      <w:r>
        <w:rPr>
          <w:b/>
          <w:bCs/>
          <w:color w:val="0E6B6B"/>
        </w:rPr>
        <w:t xml:space="preserve">7.3  Mnemonics for Capital Topics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6EAF8" w:val="clear"/>
            <w:tcMar>
              <w:top w:type="dxa" w:w="80"/>
              <w:left w:type="dxa" w:w="160"/>
              <w:bottom w:type="dxa" w:w="80"/>
              <w:right w:type="dxa" w:w="120"/>
            </w:tcMar>
          </w:tcPr>
          <w:p>
            <w:r>
              <w:rPr>
                <w:b/>
                <w:bCs/>
                <w:color w:val="1B3A6B"/>
                <w:sz w:val="21"/>
                <w:szCs w:val="21"/>
              </w:rPr>
              <w:t xml:space="preserve">SCR Module Memory Aid: 'MICE-CAT-OP'</w:t>
            </w:r>
          </w:p>
          <w:p>
            <w:pPr>
              <w:pStyle w:val="ListParagraph"/>
              <w:numPr>
                <w:ilvl w:val="0"/>
                <w:numId w:val="2"/>
              </w:numPr>
              <w:spacing w:after="40" w:before="40"/>
            </w:pPr>
            <w:r>
              <w:rPr>
                <w:b w:val="false"/>
                <w:bCs w:val="false"/>
                <w:sz w:val="22"/>
                <w:szCs w:val="22"/>
              </w:rPr>
              <w:t xml:space="preserve">M — Market risk (interest rate, equity, property, spread, currency, concentration)</w:t>
            </w:r>
          </w:p>
          <w:p>
            <w:pPr>
              <w:pStyle w:val="ListParagraph"/>
              <w:numPr>
                <w:ilvl w:val="0"/>
                <w:numId w:val="2"/>
              </w:numPr>
              <w:spacing w:after="40" w:before="40"/>
            </w:pPr>
            <w:r>
              <w:rPr>
                <w:b w:val="false"/>
                <w:bCs w:val="false"/>
                <w:sz w:val="22"/>
                <w:szCs w:val="22"/>
              </w:rPr>
              <w:t xml:space="preserve">I — Intangible asset risk</w:t>
            </w:r>
          </w:p>
          <w:p>
            <w:pPr>
              <w:pStyle w:val="ListParagraph"/>
              <w:numPr>
                <w:ilvl w:val="0"/>
                <w:numId w:val="2"/>
              </w:numPr>
              <w:spacing w:after="40" w:before="40"/>
            </w:pPr>
            <w:r>
              <w:rPr>
                <w:b w:val="false"/>
                <w:bCs w:val="false"/>
                <w:sz w:val="22"/>
                <w:szCs w:val="22"/>
              </w:rPr>
              <w:t xml:space="preserve">C — Counterparty default risk</w:t>
            </w:r>
          </w:p>
          <w:p>
            <w:pPr>
              <w:pStyle w:val="ListParagraph"/>
              <w:numPr>
                <w:ilvl w:val="0"/>
                <w:numId w:val="2"/>
              </w:numPr>
              <w:spacing w:after="40" w:before="40"/>
            </w:pPr>
            <w:r>
              <w:rPr>
                <w:b w:val="false"/>
                <w:bCs w:val="false"/>
                <w:sz w:val="22"/>
                <w:szCs w:val="22"/>
              </w:rPr>
              <w:t xml:space="preserve">E — (health) insurance risk: SLT + Non-SLT</w:t>
            </w:r>
          </w:p>
          <w:p>
            <w:pPr>
              <w:pStyle w:val="ListParagraph"/>
              <w:numPr>
                <w:ilvl w:val="0"/>
                <w:numId w:val="2"/>
              </w:numPr>
              <w:spacing w:after="40" w:before="40"/>
            </w:pPr>
            <w:r>
              <w:rPr>
                <w:b w:val="false"/>
                <w:bCs w:val="false"/>
                <w:sz w:val="22"/>
                <w:szCs w:val="22"/>
              </w:rPr>
              <w:t xml:space="preserve">CAT — Catastrophe health risk (epidemic, pandemic, mass accident)</w:t>
            </w:r>
          </w:p>
          <w:p>
            <w:pPr>
              <w:pStyle w:val="ListParagraph"/>
              <w:numPr>
                <w:ilvl w:val="0"/>
                <w:numId w:val="2"/>
              </w:numPr>
              <w:spacing w:after="40" w:before="40"/>
            </w:pPr>
            <w:r>
              <w:rPr>
                <w:b w:val="false"/>
                <w:bCs w:val="false"/>
                <w:sz w:val="22"/>
                <w:szCs w:val="22"/>
              </w:rPr>
              <w:t xml:space="preserve">OP — Operational risk</w:t>
            </w:r>
          </w:p>
          <w:p>
            <w:pPr>
              <w:spacing w:after="60" w:before="60"/>
            </w:pPr>
            <w:r>
              <w:t xml:space="preserve"/>
            </w:r>
          </w:p>
          <w:p>
            <w:r>
              <w:rPr>
                <w:b/>
                <w:bCs/>
                <w:color w:val="1B3A6B"/>
                <w:sz w:val="21"/>
                <w:szCs w:val="21"/>
              </w:rPr>
              <w:t xml:space="preserve">SLT Health Sub-Modules: 'DM-LLER'</w:t>
            </w:r>
          </w:p>
          <w:p>
            <w:pPr>
              <w:pStyle w:val="ListParagraph"/>
              <w:numPr>
                <w:ilvl w:val="0"/>
                <w:numId w:val="2"/>
              </w:numPr>
              <w:spacing w:after="40" w:before="40"/>
            </w:pPr>
            <w:r>
              <w:rPr>
                <w:b w:val="false"/>
                <w:bCs w:val="false"/>
                <w:sz w:val="22"/>
                <w:szCs w:val="22"/>
              </w:rPr>
              <w:t xml:space="preserve">D — Disability/Morbidity</w:t>
            </w:r>
          </w:p>
          <w:p>
            <w:pPr>
              <w:pStyle w:val="ListParagraph"/>
              <w:numPr>
                <w:ilvl w:val="0"/>
                <w:numId w:val="2"/>
              </w:numPr>
              <w:spacing w:after="40" w:before="40"/>
            </w:pPr>
            <w:r>
              <w:rPr>
                <w:b w:val="false"/>
                <w:bCs w:val="false"/>
                <w:sz w:val="22"/>
                <w:szCs w:val="22"/>
              </w:rPr>
              <w:t xml:space="preserve">M — Mortality</w:t>
            </w:r>
          </w:p>
          <w:p>
            <w:pPr>
              <w:pStyle w:val="ListParagraph"/>
              <w:numPr>
                <w:ilvl w:val="0"/>
                <w:numId w:val="2"/>
              </w:numPr>
              <w:spacing w:after="40" w:before="40"/>
            </w:pPr>
            <w:r>
              <w:rPr>
                <w:b w:val="false"/>
                <w:bCs w:val="false"/>
                <w:sz w:val="22"/>
                <w:szCs w:val="22"/>
              </w:rPr>
              <w:t xml:space="preserve">L — Longevity</w:t>
            </w:r>
          </w:p>
          <w:p>
            <w:pPr>
              <w:pStyle w:val="ListParagraph"/>
              <w:numPr>
                <w:ilvl w:val="0"/>
                <w:numId w:val="2"/>
              </w:numPr>
              <w:spacing w:after="40" w:before="40"/>
            </w:pPr>
            <w:r>
              <w:rPr>
                <w:b w:val="false"/>
                <w:bCs w:val="false"/>
                <w:sz w:val="22"/>
                <w:szCs w:val="22"/>
              </w:rPr>
              <w:t xml:space="preserve">L — Lapse</w:t>
            </w:r>
          </w:p>
          <w:p>
            <w:pPr>
              <w:pStyle w:val="ListParagraph"/>
              <w:numPr>
                <w:ilvl w:val="0"/>
                <w:numId w:val="2"/>
              </w:numPr>
              <w:spacing w:after="40" w:before="40"/>
            </w:pPr>
            <w:r>
              <w:rPr>
                <w:b w:val="false"/>
                <w:bCs w:val="false"/>
                <w:sz w:val="22"/>
                <w:szCs w:val="22"/>
              </w:rPr>
              <w:t xml:space="preserve">E — Expense</w:t>
            </w:r>
          </w:p>
          <w:p>
            <w:pPr>
              <w:pStyle w:val="ListParagraph"/>
              <w:numPr>
                <w:ilvl w:val="0"/>
                <w:numId w:val="2"/>
              </w:numPr>
              <w:spacing w:after="40" w:before="40"/>
            </w:pPr>
            <w:r>
              <w:rPr>
                <w:b w:val="false"/>
                <w:bCs w:val="false"/>
                <w:sz w:val="22"/>
                <w:szCs w:val="22"/>
              </w:rPr>
              <w:t xml:space="preserve">R — Revision</w:t>
            </w:r>
          </w:p>
        </w:tc>
        <w:tc>
          <w:tcPr>
            <w:tcW w:type="dxa" w:w="4680"/>
            <w:tcBorders>
              <w:top w:val="single" w:color="CCCCCC" w:sz="1"/>
              <w:left w:val="single" w:color="CCCCCC" w:sz="1"/>
              <w:bottom w:val="single" w:color="CCCCCC" w:sz="1"/>
              <w:right w:val="single" w:color="CCCCCC" w:sz="1"/>
            </w:tcBorders>
            <w:shd w:fill="D5F5E3" w:val="clear"/>
            <w:tcMar>
              <w:top w:type="dxa" w:w="80"/>
              <w:left w:type="dxa" w:w="160"/>
              <w:bottom w:type="dxa" w:w="80"/>
              <w:right w:type="dxa" w:w="120"/>
            </w:tcMar>
          </w:tcPr>
          <w:p>
            <w:r>
              <w:rPr>
                <w:b/>
                <w:bCs/>
                <w:color w:val="0E6B6B"/>
                <w:sz w:val="21"/>
                <w:szCs w:val="21"/>
              </w:rPr>
              <w:t xml:space="preserve">Capital Raising Methods: 'ESS-RDA'</w:t>
            </w:r>
          </w:p>
          <w:p>
            <w:pPr>
              <w:pStyle w:val="ListParagraph"/>
              <w:numPr>
                <w:ilvl w:val="0"/>
                <w:numId w:val="2"/>
              </w:numPr>
              <w:spacing w:after="40" w:before="40"/>
            </w:pPr>
            <w:r>
              <w:rPr>
                <w:b w:val="false"/>
                <w:bCs w:val="false"/>
                <w:sz w:val="22"/>
                <w:szCs w:val="22"/>
              </w:rPr>
              <w:t xml:space="preserve">E — Equity issue</w:t>
            </w:r>
          </w:p>
          <w:p>
            <w:pPr>
              <w:pStyle w:val="ListParagraph"/>
              <w:numPr>
                <w:ilvl w:val="0"/>
                <w:numId w:val="2"/>
              </w:numPr>
              <w:spacing w:after="40" w:before="40"/>
            </w:pPr>
            <w:r>
              <w:rPr>
                <w:b w:val="false"/>
                <w:bCs w:val="false"/>
                <w:sz w:val="22"/>
                <w:szCs w:val="22"/>
              </w:rPr>
              <w:t xml:space="preserve">S — Subordinated loan stock</w:t>
            </w:r>
          </w:p>
          <w:p>
            <w:pPr>
              <w:pStyle w:val="ListParagraph"/>
              <w:numPr>
                <w:ilvl w:val="0"/>
                <w:numId w:val="2"/>
              </w:numPr>
              <w:spacing w:after="40" w:before="40"/>
            </w:pPr>
            <w:r>
              <w:rPr>
                <w:b w:val="false"/>
                <w:bCs w:val="false"/>
                <w:sz w:val="22"/>
                <w:szCs w:val="22"/>
              </w:rPr>
              <w:t xml:space="preserve">S — Securitisation</w:t>
            </w:r>
          </w:p>
          <w:p>
            <w:pPr>
              <w:pStyle w:val="ListParagraph"/>
              <w:numPr>
                <w:ilvl w:val="0"/>
                <w:numId w:val="2"/>
              </w:numPr>
              <w:spacing w:after="40" w:before="40"/>
            </w:pPr>
            <w:r>
              <w:rPr>
                <w:b w:val="false"/>
                <w:bCs w:val="false"/>
                <w:sz w:val="22"/>
                <w:szCs w:val="22"/>
              </w:rPr>
              <w:t xml:space="preserve">R — Reinsurance (financial and traditional)</w:t>
            </w:r>
          </w:p>
          <w:p>
            <w:pPr>
              <w:pStyle w:val="ListParagraph"/>
              <w:numPr>
                <w:ilvl w:val="0"/>
                <w:numId w:val="2"/>
              </w:numPr>
              <w:spacing w:after="40" w:before="40"/>
            </w:pPr>
            <w:r>
              <w:rPr>
                <w:b w:val="false"/>
                <w:bCs w:val="false"/>
                <w:sz w:val="22"/>
                <w:szCs w:val="22"/>
              </w:rPr>
              <w:t xml:space="preserve">D — Derivatives</w:t>
            </w:r>
          </w:p>
          <w:p>
            <w:pPr>
              <w:pStyle w:val="ListParagraph"/>
              <w:numPr>
                <w:ilvl w:val="0"/>
                <w:numId w:val="2"/>
              </w:numPr>
              <w:spacing w:after="40" w:before="40"/>
            </w:pPr>
            <w:r>
              <w:rPr>
                <w:b w:val="false"/>
                <w:bCs w:val="false"/>
                <w:sz w:val="22"/>
                <w:szCs w:val="22"/>
              </w:rPr>
              <w:t xml:space="preserve">A — ALM improvement</w:t>
            </w:r>
          </w:p>
          <w:p>
            <w:pPr>
              <w:spacing w:after="60" w:before="60"/>
            </w:pPr>
            <w:r>
              <w:t xml:space="preserve"/>
            </w:r>
          </w:p>
          <w:p>
            <w:r>
              <w:rPr>
                <w:b/>
                <w:bCs/>
                <w:color w:val="0E6B6B"/>
                <w:sz w:val="21"/>
                <w:szCs w:val="21"/>
              </w:rPr>
              <w:t xml:space="preserve">Reserve Types (LT): 'PIOD'</w:t>
            </w:r>
          </w:p>
          <w:p>
            <w:pPr>
              <w:pStyle w:val="ListParagraph"/>
              <w:numPr>
                <w:ilvl w:val="0"/>
                <w:numId w:val="2"/>
              </w:numPr>
              <w:spacing w:after="40" w:before="40"/>
            </w:pPr>
            <w:r>
              <w:rPr>
                <w:b w:val="false"/>
                <w:bCs w:val="false"/>
                <w:sz w:val="22"/>
                <w:szCs w:val="22"/>
              </w:rPr>
              <w:t xml:space="preserve">P — Policy reserve (Active life reserve)</w:t>
            </w:r>
          </w:p>
          <w:p>
            <w:pPr>
              <w:pStyle w:val="ListParagraph"/>
              <w:numPr>
                <w:ilvl w:val="0"/>
                <w:numId w:val="2"/>
              </w:numPr>
              <w:spacing w:after="40" w:before="40"/>
            </w:pPr>
            <w:r>
              <w:rPr>
                <w:b w:val="false"/>
                <w:bCs w:val="false"/>
                <w:sz w:val="22"/>
                <w:szCs w:val="22"/>
              </w:rPr>
              <w:t xml:space="preserve">I — IBNR</w:t>
            </w:r>
          </w:p>
          <w:p>
            <w:pPr>
              <w:pStyle w:val="ListParagraph"/>
              <w:numPr>
                <w:ilvl w:val="0"/>
                <w:numId w:val="2"/>
              </w:numPr>
              <w:spacing w:after="40" w:before="40"/>
            </w:pPr>
            <w:r>
              <w:rPr>
                <w:b w:val="false"/>
                <w:bCs w:val="false"/>
                <w:sz w:val="22"/>
                <w:szCs w:val="22"/>
              </w:rPr>
              <w:t xml:space="preserve">O — Option reserve</w:t>
            </w:r>
          </w:p>
          <w:p>
            <w:pPr>
              <w:pStyle w:val="ListParagraph"/>
              <w:numPr>
                <w:ilvl w:val="0"/>
                <w:numId w:val="2"/>
              </w:numPr>
              <w:spacing w:after="40" w:before="40"/>
            </w:pPr>
            <w:r>
              <w:rPr>
                <w:b w:val="false"/>
                <w:bCs w:val="false"/>
                <w:sz w:val="22"/>
                <w:szCs w:val="22"/>
              </w:rPr>
              <w:t xml:space="preserve">D — Disabled life reserve (RBNS)</w:t>
            </w:r>
          </w:p>
        </w:tc>
      </w:tr>
    </w:tbl>
    <w:p>
      <w:pPr>
        <w:spacing w:after="60" w:before="60"/>
      </w:pPr>
      <w:r>
        <w:t xml:space="preserve"/>
      </w:r>
    </w:p>
    <w:p>
      <w:pPr>
        <w:pStyle w:val="Heading2"/>
        <w:spacing w:after="80" w:before="240"/>
      </w:pPr>
      <w:r>
        <w:rPr>
          <w:b/>
          <w:bCs/>
          <w:color w:val="0E6B6B"/>
        </w:rPr>
        <w:t xml:space="preserve">7.4  The ORSA — Five Key Elements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b/>
                <w:bCs/>
                <w:color w:val="FFFFFF"/>
                <w:sz w:val="20"/>
                <w:szCs w:val="20"/>
              </w:rPr>
              <w:t xml:space="preserve">ORSA SUMMARY</w:t>
            </w:r>
          </w:p>
        </w:tc>
        <w:tc>
          <w:tcPr>
            <w:tcW w:type="dxa" w:w="8160"/>
            <w:tcBorders>
              <w:top w:val="single" w:color="CCCCCC" w:sz="1"/>
              <w:left w:val="single" w:color="CCCCCC" w:sz="1"/>
              <w:bottom w:val="single" w:color="CCCCCC" w:sz="1"/>
              <w:right w:val="single" w:color="CCCCCC" w:sz="1"/>
            </w:tcBorders>
            <w:shd w:fill="D6EAF8" w:val="clear"/>
            <w:tcMar>
              <w:top w:type="dxa" w:w="80"/>
              <w:left w:type="dxa" w:w="160"/>
              <w:bottom w:type="dxa" w:w="80"/>
              <w:right w:type="dxa" w:w="120"/>
            </w:tcMar>
          </w:tcPr>
          <w:p>
            <w:r>
              <w:rPr>
                <w:sz w:val="21"/>
                <w:szCs w:val="21"/>
              </w:rPr>
              <w:t xml:space="preserve">Own Risk &amp; Solvency Assessment (ORSA) is a Pillar 2 requirement of Solvency II, also adopted in modified form in India, USA and other jurisdictions. It is both a PROCESS and a REPORT.</w:t>
            </w:r>
          </w:p>
        </w:tc>
      </w:tr>
    </w:tbl>
    <w:p>
      <w:pPr>
        <w:spacing w:after="60" w:before="60"/>
      </w:pPr>
      <w:r>
        <w:t xml:space="preserve"/>
      </w:r>
    </w:p>
    <w:p>
      <w:pPr>
        <w:pStyle w:val="ListParagraph"/>
        <w:numPr>
          <w:ilvl w:val="0"/>
          <w:numId w:val="3"/>
        </w:numPr>
        <w:spacing w:after="40" w:before="40"/>
      </w:pPr>
      <w:r>
        <w:rPr>
          <w:sz w:val="22"/>
          <w:szCs w:val="22"/>
        </w:rPr>
        <w:t xml:space="preserve">Identification of ALL risks — including qualitative risks not captured in standard formula</w:t>
      </w:r>
    </w:p>
    <w:p>
      <w:pPr>
        <w:pStyle w:val="ListParagraph"/>
        <w:numPr>
          <w:ilvl w:val="0"/>
          <w:numId w:val="3"/>
        </w:numPr>
        <w:spacing w:after="40" w:before="40"/>
      </w:pPr>
      <w:r>
        <w:rPr>
          <w:sz w:val="22"/>
          <w:szCs w:val="22"/>
        </w:rPr>
        <w:t xml:space="preserve">Risk management processes and controls for each identified risk</w:t>
      </w:r>
    </w:p>
    <w:p>
      <w:pPr>
        <w:pStyle w:val="ListParagraph"/>
        <w:numPr>
          <w:ilvl w:val="0"/>
          <w:numId w:val="3"/>
        </w:numPr>
        <w:spacing w:after="40" w:before="40"/>
      </w:pPr>
      <w:r>
        <w:rPr>
          <w:sz w:val="22"/>
          <w:szCs w:val="22"/>
        </w:rPr>
        <w:t xml:space="preserve">Quantification of ability to meet MCR and SCR on an ongoing basis (3-5 year forward projection)</w:t>
      </w:r>
    </w:p>
    <w:p>
      <w:pPr>
        <w:pStyle w:val="ListParagraph"/>
        <w:numPr>
          <w:ilvl w:val="0"/>
          <w:numId w:val="3"/>
        </w:numPr>
        <w:spacing w:after="40" w:before="40"/>
      </w:pPr>
      <w:r>
        <w:rPr>
          <w:sz w:val="22"/>
          <w:szCs w:val="22"/>
        </w:rPr>
        <w:t xml:space="preserve">Forward-looking assessment — including projected new business, management actions and economic scenarios</w:t>
      </w:r>
    </w:p>
    <w:p>
      <w:pPr>
        <w:pStyle w:val="ListParagraph"/>
        <w:numPr>
          <w:ilvl w:val="0"/>
          <w:numId w:val="3"/>
        </w:numPr>
        <w:spacing w:after="40" w:before="40"/>
      </w:pPr>
      <w:r>
        <w:rPr>
          <w:sz w:val="22"/>
          <w:szCs w:val="22"/>
        </w:rPr>
        <w:t xml:space="preserve">Embedded in strategic decisions — ORSA results must genuinely influence management decisions (not a box-ticking exercise)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b/>
                <w:bCs/>
                <w:color w:val="FFFFFF"/>
                <w:sz w:val="20"/>
                <w:szCs w:val="20"/>
              </w:rPr>
              <w:t xml:space="preserve">EXAM TIP</w:t>
            </w:r>
          </w:p>
        </w:tc>
        <w:tc>
          <w:tcPr>
            <w:tcW w:type="dxa" w:w="8160"/>
            <w:tcBorders>
              <w:top w:val="single" w:color="CCCCCC" w:sz="1"/>
              <w:left w:val="single" w:color="CCCCCC" w:sz="1"/>
              <w:bottom w:val="single" w:color="CCCCCC" w:sz="1"/>
              <w:right w:val="single" w:color="CCCCCC" w:sz="1"/>
            </w:tcBorders>
            <w:shd w:fill="FEF9E7" w:val="clear"/>
            <w:tcMar>
              <w:top w:type="dxa" w:w="80"/>
              <w:left w:type="dxa" w:w="160"/>
              <w:bottom w:type="dxa" w:w="80"/>
              <w:right w:type="dxa" w:w="120"/>
            </w:tcMar>
          </w:tcPr>
          <w:p>
            <w:r>
              <w:rPr>
                <w:sz w:val="21"/>
                <w:szCs w:val="21"/>
              </w:rPr>
              <w:t xml:space="preserve">ORSA is a key output of both Pillar 2 (requirement) and Pillar 3 (the ORSA summary is included in the RSR). Examiners sometimes ask about governance: the Board is responsible for ensuring ORSA is conducted and results are used. The Actuarial function produces key inputs. The Risk Management function coordinates.</w:t>
            </w:r>
          </w:p>
        </w:tc>
      </w:tr>
    </w:tbl>
    <w:p>
      <w:pPr>
        <w:spacing w:after="60" w:before="60"/>
      </w:pPr>
      <w:r>
        <w:t xml:space="preserve"/>
      </w:r>
    </w:p>
    <w:p>
      <w:pPr>
        <w:pStyle w:val="Heading2"/>
        <w:spacing w:after="80" w:before="240"/>
      </w:pPr>
      <w:r>
        <w:rPr>
          <w:b/>
          <w:bCs/>
          <w:color w:val="0E6B6B"/>
        </w:rPr>
        <w:t xml:space="preserve">7.5  Quick-Reference: Key Numbers to Memorise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80"/>
            </w:tcMar>
          </w:tcPr>
          <w:p>
            <w:r>
              <w:rPr>
                <w:b/>
                <w:bCs/>
                <w:color w:val="FFFFFF"/>
                <w:sz w:val="20"/>
                <w:szCs w:val="20"/>
              </w:rPr>
              <w:t xml:space="preserve">Item</w:t>
            </w:r>
          </w:p>
        </w:tc>
        <w:tc>
          <w:tcPr>
            <w:tcW w:type="dxa" w:w="53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80"/>
            </w:tcMar>
          </w:tcPr>
          <w:p>
            <w:r>
              <w:rPr>
                <w:b/>
                <w:bCs/>
                <w:color w:val="FFFFFF"/>
                <w:sz w:val="20"/>
                <w:szCs w:val="20"/>
              </w:rPr>
              <w:t xml:space="preserve">Value</w:t>
            </w:r>
          </w:p>
        </w:tc>
      </w:tr>
      <w:tr>
        <w:tc>
          <w:tcPr>
            <w:tcW w:type="dxa" w:w="4000"/>
            <w:tcBorders>
              <w:top w:val="single" w:color="CCCCCC" w:sz="1"/>
              <w:left w:val="single" w:color="CCCCCC" w:sz="1"/>
              <w:bottom w:val="single" w:color="CCCCCC" w:sz="1"/>
              <w:right w:val="single" w:color="CCCCCC" w:sz="1"/>
            </w:tcBorders>
            <w:shd w:fill="D6EAF8" w:val="clear"/>
            <w:tcMar>
              <w:top w:type="dxa" w:w="60"/>
              <w:left w:type="dxa" w:w="120"/>
              <w:bottom w:type="dxa" w:w="60"/>
              <w:right w:type="dxa" w:w="80"/>
            </w:tcMar>
          </w:tcPr>
          <w:p>
            <w:r>
              <w:rPr>
                <w:sz w:val="21"/>
                <w:szCs w:val="21"/>
              </w:rPr>
              <w:t xml:space="preserve">SCR confidence level</w:t>
            </w:r>
          </w:p>
        </w:tc>
        <w:tc>
          <w:tcPr>
            <w:tcW w:type="dxa" w:w="5360"/>
            <w:tcBorders>
              <w:top w:val="single" w:color="CCCCCC" w:sz="1"/>
              <w:left w:val="single" w:color="CCCCCC" w:sz="1"/>
              <w:bottom w:val="single" w:color="CCCCCC" w:sz="1"/>
              <w:right w:val="single" w:color="CCCCCC" w:sz="1"/>
            </w:tcBorders>
            <w:shd w:fill="D6EAF8" w:val="clear"/>
            <w:tcMar>
              <w:top w:type="dxa" w:w="60"/>
              <w:left w:type="dxa" w:w="120"/>
              <w:bottom w:type="dxa" w:w="60"/>
              <w:right w:type="dxa" w:w="80"/>
            </w:tcMar>
          </w:tcPr>
          <w:p>
            <w:r>
              <w:rPr>
                <w:b/>
                <w:bCs/>
                <w:color w:val="1B3A6B"/>
                <w:sz w:val="21"/>
                <w:szCs w:val="21"/>
              </w:rPr>
              <w:t xml:space="preserve">99.5% VaR over 1 year (1-in-200 year event)</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sz w:val="21"/>
                <w:szCs w:val="21"/>
              </w:rPr>
              <w:t xml:space="preserve">MCR confidence level</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b/>
                <w:bCs/>
                <w:color w:val="1B3A6B"/>
                <w:sz w:val="21"/>
                <w:szCs w:val="21"/>
              </w:rPr>
              <w:t xml:space="preserve">85% VaR over 1 year</w:t>
            </w:r>
          </w:p>
        </w:tc>
      </w:tr>
      <w:tr>
        <w:tc>
          <w:tcPr>
            <w:tcW w:type="dxa" w:w="4000"/>
            <w:tcBorders>
              <w:top w:val="single" w:color="CCCCCC" w:sz="1"/>
              <w:left w:val="single" w:color="CCCCCC" w:sz="1"/>
              <w:bottom w:val="single" w:color="CCCCCC" w:sz="1"/>
              <w:right w:val="single" w:color="CCCCCC" w:sz="1"/>
            </w:tcBorders>
            <w:shd w:fill="D6EAF8" w:val="clear"/>
            <w:tcMar>
              <w:top w:type="dxa" w:w="60"/>
              <w:left w:type="dxa" w:w="120"/>
              <w:bottom w:type="dxa" w:w="60"/>
              <w:right w:type="dxa" w:w="80"/>
            </w:tcMar>
          </w:tcPr>
          <w:p>
            <w:r>
              <w:rPr>
                <w:sz w:val="21"/>
                <w:szCs w:val="21"/>
              </w:rPr>
              <w:t xml:space="preserve">MCR floor</w:t>
            </w:r>
          </w:p>
        </w:tc>
        <w:tc>
          <w:tcPr>
            <w:tcW w:type="dxa" w:w="5360"/>
            <w:tcBorders>
              <w:top w:val="single" w:color="CCCCCC" w:sz="1"/>
              <w:left w:val="single" w:color="CCCCCC" w:sz="1"/>
              <w:bottom w:val="single" w:color="CCCCCC" w:sz="1"/>
              <w:right w:val="single" w:color="CCCCCC" w:sz="1"/>
            </w:tcBorders>
            <w:shd w:fill="D6EAF8" w:val="clear"/>
            <w:tcMar>
              <w:top w:type="dxa" w:w="60"/>
              <w:left w:type="dxa" w:w="120"/>
              <w:bottom w:type="dxa" w:w="60"/>
              <w:right w:type="dxa" w:w="80"/>
            </w:tcMar>
          </w:tcPr>
          <w:p>
            <w:r>
              <w:rPr>
                <w:b/>
                <w:bCs/>
                <w:color w:val="1B3A6B"/>
                <w:sz w:val="21"/>
                <w:szCs w:val="21"/>
              </w:rPr>
              <w:t xml:space="preserve">25% of SCR</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sz w:val="21"/>
                <w:szCs w:val="21"/>
              </w:rPr>
              <w:t xml:space="preserve">MCR cap</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b/>
                <w:bCs/>
                <w:color w:val="1B3A6B"/>
                <w:sz w:val="21"/>
                <w:szCs w:val="21"/>
              </w:rPr>
              <w:t xml:space="preserve">45% of SCR</w:t>
            </w:r>
          </w:p>
        </w:tc>
      </w:tr>
      <w:tr>
        <w:tc>
          <w:tcPr>
            <w:tcW w:type="dxa" w:w="4000"/>
            <w:tcBorders>
              <w:top w:val="single" w:color="CCCCCC" w:sz="1"/>
              <w:left w:val="single" w:color="CCCCCC" w:sz="1"/>
              <w:bottom w:val="single" w:color="CCCCCC" w:sz="1"/>
              <w:right w:val="single" w:color="CCCCCC" w:sz="1"/>
            </w:tcBorders>
            <w:shd w:fill="D6EAF8" w:val="clear"/>
            <w:tcMar>
              <w:top w:type="dxa" w:w="60"/>
              <w:left w:type="dxa" w:w="120"/>
              <w:bottom w:type="dxa" w:w="60"/>
              <w:right w:type="dxa" w:w="80"/>
            </w:tcMar>
          </w:tcPr>
          <w:p>
            <w:r>
              <w:rPr>
                <w:sz w:val="21"/>
                <w:szCs w:val="21"/>
              </w:rPr>
              <w:t xml:space="preserve">Risk margin cost-of-capital rate</w:t>
            </w:r>
          </w:p>
        </w:tc>
        <w:tc>
          <w:tcPr>
            <w:tcW w:type="dxa" w:w="5360"/>
            <w:tcBorders>
              <w:top w:val="single" w:color="CCCCCC" w:sz="1"/>
              <w:left w:val="single" w:color="CCCCCC" w:sz="1"/>
              <w:bottom w:val="single" w:color="CCCCCC" w:sz="1"/>
              <w:right w:val="single" w:color="CCCCCC" w:sz="1"/>
            </w:tcBorders>
            <w:shd w:fill="D6EAF8" w:val="clear"/>
            <w:tcMar>
              <w:top w:type="dxa" w:w="60"/>
              <w:left w:type="dxa" w:w="120"/>
              <w:bottom w:type="dxa" w:w="60"/>
              <w:right w:type="dxa" w:w="80"/>
            </w:tcMar>
          </w:tcPr>
          <w:p>
            <w:r>
              <w:rPr>
                <w:b/>
                <w:bCs/>
                <w:color w:val="1B3A6B"/>
                <w:sz w:val="21"/>
                <w:szCs w:val="21"/>
              </w:rPr>
              <w:t xml:space="preserve">6% per annum</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sz w:val="21"/>
                <w:szCs w:val="21"/>
              </w:rPr>
              <w:t xml:space="preserve">SCR — min Tier 1 own funds</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b/>
                <w:bCs/>
                <w:color w:val="1B3A6B"/>
                <w:sz w:val="21"/>
                <w:szCs w:val="21"/>
              </w:rPr>
              <w:t xml:space="preserve">≥50% of SCR must be Tier 1</w:t>
            </w:r>
          </w:p>
        </w:tc>
      </w:tr>
      <w:tr>
        <w:tc>
          <w:tcPr>
            <w:tcW w:type="dxa" w:w="4000"/>
            <w:tcBorders>
              <w:top w:val="single" w:color="CCCCCC" w:sz="1"/>
              <w:left w:val="single" w:color="CCCCCC" w:sz="1"/>
              <w:bottom w:val="single" w:color="CCCCCC" w:sz="1"/>
              <w:right w:val="single" w:color="CCCCCC" w:sz="1"/>
            </w:tcBorders>
            <w:shd w:fill="D6EAF8" w:val="clear"/>
            <w:tcMar>
              <w:top w:type="dxa" w:w="60"/>
              <w:left w:type="dxa" w:w="120"/>
              <w:bottom w:type="dxa" w:w="60"/>
              <w:right w:type="dxa" w:w="80"/>
            </w:tcMar>
          </w:tcPr>
          <w:p>
            <w:r>
              <w:rPr>
                <w:sz w:val="21"/>
                <w:szCs w:val="21"/>
              </w:rPr>
              <w:t xml:space="preserve">SCR — max Tier 3 own funds</w:t>
            </w:r>
          </w:p>
        </w:tc>
        <w:tc>
          <w:tcPr>
            <w:tcW w:type="dxa" w:w="5360"/>
            <w:tcBorders>
              <w:top w:val="single" w:color="CCCCCC" w:sz="1"/>
              <w:left w:val="single" w:color="CCCCCC" w:sz="1"/>
              <w:bottom w:val="single" w:color="CCCCCC" w:sz="1"/>
              <w:right w:val="single" w:color="CCCCCC" w:sz="1"/>
            </w:tcBorders>
            <w:shd w:fill="D6EAF8" w:val="clear"/>
            <w:tcMar>
              <w:top w:type="dxa" w:w="60"/>
              <w:left w:type="dxa" w:w="120"/>
              <w:bottom w:type="dxa" w:w="60"/>
              <w:right w:type="dxa" w:w="80"/>
            </w:tcMar>
          </w:tcPr>
          <w:p>
            <w:r>
              <w:rPr>
                <w:b/>
                <w:bCs/>
                <w:color w:val="1B3A6B"/>
                <w:sz w:val="21"/>
                <w:szCs w:val="21"/>
              </w:rPr>
              <w:t xml:space="preserve">&lt;15% of SCR</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sz w:val="21"/>
                <w:szCs w:val="21"/>
              </w:rPr>
              <w:t xml:space="preserve">MCR — min Tier 1</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b/>
                <w:bCs/>
                <w:color w:val="1B3A6B"/>
                <w:sz w:val="21"/>
                <w:szCs w:val="21"/>
              </w:rPr>
              <w:t xml:space="preserve">≥80% of MCR must be Tier 1</w:t>
            </w:r>
          </w:p>
        </w:tc>
      </w:tr>
      <w:tr>
        <w:tc>
          <w:tcPr>
            <w:tcW w:type="dxa" w:w="4000"/>
            <w:tcBorders>
              <w:top w:val="single" w:color="CCCCCC" w:sz="1"/>
              <w:left w:val="single" w:color="CCCCCC" w:sz="1"/>
              <w:bottom w:val="single" w:color="CCCCCC" w:sz="1"/>
              <w:right w:val="single" w:color="CCCCCC" w:sz="1"/>
            </w:tcBorders>
            <w:shd w:fill="D6EAF8" w:val="clear"/>
            <w:tcMar>
              <w:top w:type="dxa" w:w="60"/>
              <w:left w:type="dxa" w:w="120"/>
              <w:bottom w:type="dxa" w:w="60"/>
              <w:right w:type="dxa" w:w="80"/>
            </w:tcMar>
          </w:tcPr>
          <w:p>
            <w:r>
              <w:rPr>
                <w:sz w:val="21"/>
                <w:szCs w:val="21"/>
              </w:rPr>
              <w:t xml:space="preserve">MCR — Tier 3 allowed?</w:t>
            </w:r>
          </w:p>
        </w:tc>
        <w:tc>
          <w:tcPr>
            <w:tcW w:type="dxa" w:w="5360"/>
            <w:tcBorders>
              <w:top w:val="single" w:color="CCCCCC" w:sz="1"/>
              <w:left w:val="single" w:color="CCCCCC" w:sz="1"/>
              <w:bottom w:val="single" w:color="CCCCCC" w:sz="1"/>
              <w:right w:val="single" w:color="CCCCCC" w:sz="1"/>
            </w:tcBorders>
            <w:shd w:fill="D6EAF8" w:val="clear"/>
            <w:tcMar>
              <w:top w:type="dxa" w:w="60"/>
              <w:left w:type="dxa" w:w="120"/>
              <w:bottom w:type="dxa" w:w="60"/>
              <w:right w:type="dxa" w:w="80"/>
            </w:tcMar>
          </w:tcPr>
          <w:p>
            <w:r>
              <w:rPr>
                <w:b/>
                <w:bCs/>
                <w:color w:val="1B3A6B"/>
                <w:sz w:val="21"/>
                <w:szCs w:val="21"/>
              </w:rPr>
              <w:t xml:space="preserve">NO — Tier 3 cannot be used to cover MCR</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sz w:val="21"/>
                <w:szCs w:val="21"/>
              </w:rPr>
              <w:t xml:space="preserve">India minimum solvency ratio</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b/>
                <w:bCs/>
                <w:color w:val="1B3A6B"/>
                <w:sz w:val="21"/>
                <w:szCs w:val="21"/>
              </w:rPr>
              <w:t xml:space="preserve">ASM/RSM ≥ 150%</w:t>
            </w:r>
          </w:p>
        </w:tc>
      </w:tr>
      <w:tr>
        <w:tc>
          <w:tcPr>
            <w:tcW w:type="dxa" w:w="4000"/>
            <w:tcBorders>
              <w:top w:val="single" w:color="CCCCCC" w:sz="1"/>
              <w:left w:val="single" w:color="CCCCCC" w:sz="1"/>
              <w:bottom w:val="single" w:color="CCCCCC" w:sz="1"/>
              <w:right w:val="single" w:color="CCCCCC" w:sz="1"/>
            </w:tcBorders>
            <w:shd w:fill="D6EAF8" w:val="clear"/>
            <w:tcMar>
              <w:top w:type="dxa" w:w="60"/>
              <w:left w:type="dxa" w:w="120"/>
              <w:bottom w:type="dxa" w:w="60"/>
              <w:right w:type="dxa" w:w="80"/>
            </w:tcMar>
          </w:tcPr>
          <w:p>
            <w:r>
              <w:rPr>
                <w:sz w:val="21"/>
                <w:szCs w:val="21"/>
              </w:rPr>
              <w:t xml:space="preserve">SII operative date</w:t>
            </w:r>
          </w:p>
        </w:tc>
        <w:tc>
          <w:tcPr>
            <w:tcW w:type="dxa" w:w="5360"/>
            <w:tcBorders>
              <w:top w:val="single" w:color="CCCCCC" w:sz="1"/>
              <w:left w:val="single" w:color="CCCCCC" w:sz="1"/>
              <w:bottom w:val="single" w:color="CCCCCC" w:sz="1"/>
              <w:right w:val="single" w:color="CCCCCC" w:sz="1"/>
            </w:tcBorders>
            <w:shd w:fill="D6EAF8" w:val="clear"/>
            <w:tcMar>
              <w:top w:type="dxa" w:w="60"/>
              <w:left w:type="dxa" w:w="120"/>
              <w:bottom w:type="dxa" w:w="60"/>
              <w:right w:type="dxa" w:w="80"/>
            </w:tcMar>
          </w:tcPr>
          <w:p>
            <w:r>
              <w:rPr>
                <w:b/>
                <w:bCs/>
                <w:color w:val="1B3A6B"/>
                <w:sz w:val="21"/>
                <w:szCs w:val="21"/>
              </w:rPr>
              <w:t xml:space="preserve">1 January 2016</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sz w:val="21"/>
                <w:szCs w:val="21"/>
              </w:rPr>
              <w:t xml:space="preserve">Transitional arrangements (TPs / risk-free)</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b/>
                <w:bCs/>
                <w:color w:val="1B3A6B"/>
                <w:sz w:val="21"/>
                <w:szCs w:val="21"/>
              </w:rPr>
              <w:t xml:space="preserve">Up to 16 years</w:t>
            </w:r>
          </w:p>
        </w:tc>
      </w:tr>
      <w:tr>
        <w:tc>
          <w:tcPr>
            <w:tcW w:type="dxa" w:w="4000"/>
            <w:tcBorders>
              <w:top w:val="single" w:color="CCCCCC" w:sz="1"/>
              <w:left w:val="single" w:color="CCCCCC" w:sz="1"/>
              <w:bottom w:val="single" w:color="CCCCCC" w:sz="1"/>
              <w:right w:val="single" w:color="CCCCCC" w:sz="1"/>
            </w:tcBorders>
            <w:shd w:fill="D6EAF8" w:val="clear"/>
            <w:tcMar>
              <w:top w:type="dxa" w:w="60"/>
              <w:left w:type="dxa" w:w="120"/>
              <w:bottom w:type="dxa" w:w="60"/>
              <w:right w:type="dxa" w:w="80"/>
            </w:tcMar>
          </w:tcPr>
          <w:p>
            <w:r>
              <w:rPr>
                <w:sz w:val="21"/>
                <w:szCs w:val="21"/>
              </w:rPr>
              <w:t xml:space="preserve">SFCR publication deadline</w:t>
            </w:r>
          </w:p>
        </w:tc>
        <w:tc>
          <w:tcPr>
            <w:tcW w:type="dxa" w:w="5360"/>
            <w:tcBorders>
              <w:top w:val="single" w:color="CCCCCC" w:sz="1"/>
              <w:left w:val="single" w:color="CCCCCC" w:sz="1"/>
              <w:bottom w:val="single" w:color="CCCCCC" w:sz="1"/>
              <w:right w:val="single" w:color="CCCCCC" w:sz="1"/>
            </w:tcBorders>
            <w:shd w:fill="D6EAF8" w:val="clear"/>
            <w:tcMar>
              <w:top w:type="dxa" w:w="60"/>
              <w:left w:type="dxa" w:w="120"/>
              <w:bottom w:type="dxa" w:w="60"/>
              <w:right w:type="dxa" w:w="80"/>
            </w:tcMar>
          </w:tcPr>
          <w:p>
            <w:r>
              <w:rPr>
                <w:b/>
                <w:bCs/>
                <w:color w:val="1B3A6B"/>
                <w:sz w:val="21"/>
                <w:szCs w:val="21"/>
              </w:rPr>
              <w:t xml:space="preserve">Annual, within 3-4 months of year-end</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sz w:val="21"/>
                <w:szCs w:val="21"/>
              </w:rPr>
              <w:t xml:space="preserve">Equivalence: Bermuda &amp; Switzerland</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b/>
                <w:bCs/>
                <w:color w:val="1B3A6B"/>
                <w:sz w:val="21"/>
                <w:szCs w:val="21"/>
              </w:rPr>
              <w:t xml:space="preserve">Full equivalence with SII</w:t>
            </w:r>
          </w:p>
        </w:tc>
      </w:tr>
      <w:tr>
        <w:tc>
          <w:tcPr>
            <w:tcW w:type="dxa" w:w="4000"/>
            <w:tcBorders>
              <w:top w:val="single" w:color="CCCCCC" w:sz="1"/>
              <w:left w:val="single" w:color="CCCCCC" w:sz="1"/>
              <w:bottom w:val="single" w:color="CCCCCC" w:sz="1"/>
              <w:right w:val="single" w:color="CCCCCC" w:sz="1"/>
            </w:tcBorders>
            <w:shd w:fill="D6EAF8" w:val="clear"/>
            <w:tcMar>
              <w:top w:type="dxa" w:w="60"/>
              <w:left w:type="dxa" w:w="120"/>
              <w:bottom w:type="dxa" w:w="60"/>
              <w:right w:type="dxa" w:w="80"/>
            </w:tcMar>
          </w:tcPr>
          <w:p>
            <w:r>
              <w:rPr>
                <w:sz w:val="21"/>
                <w:szCs w:val="21"/>
              </w:rPr>
              <w:t xml:space="preserve">Equivalence: USA, Japan, Australia</w:t>
            </w:r>
          </w:p>
        </w:tc>
        <w:tc>
          <w:tcPr>
            <w:tcW w:type="dxa" w:w="5360"/>
            <w:tcBorders>
              <w:top w:val="single" w:color="CCCCCC" w:sz="1"/>
              <w:left w:val="single" w:color="CCCCCC" w:sz="1"/>
              <w:bottom w:val="single" w:color="CCCCCC" w:sz="1"/>
              <w:right w:val="single" w:color="CCCCCC" w:sz="1"/>
            </w:tcBorders>
            <w:shd w:fill="D6EAF8" w:val="clear"/>
            <w:tcMar>
              <w:top w:type="dxa" w:w="60"/>
              <w:left w:type="dxa" w:w="120"/>
              <w:bottom w:type="dxa" w:w="60"/>
              <w:right w:type="dxa" w:w="80"/>
            </w:tcMar>
          </w:tcPr>
          <w:p>
            <w:r>
              <w:rPr>
                <w:b/>
                <w:bCs/>
                <w:color w:val="1B3A6B"/>
                <w:sz w:val="21"/>
                <w:szCs w:val="21"/>
              </w:rPr>
              <w:t xml:space="preserve">Provisional equivalence</w:t>
            </w:r>
          </w:p>
        </w:tc>
      </w:tr>
    </w:tbl>
    <w:p>
      <w:pPr>
        <w:spacing w:after="60" w:before="60"/>
      </w:pPr>
      <w:r>
        <w:t xml:space="preserve"/>
      </w:r>
    </w:p>
    <w:p>
      <w:r>
        <w:br w:type="page"/>
      </w:r>
    </w:p>
    <w:p>
      <w:pPr>
        <w:pStyle w:val="Heading1"/>
        <w:pBdr>
          <w:bottom w:val="single" w:color="1B3A6B" w:sz="6" w:space="4"/>
        </w:pBdr>
        <w:spacing w:after="120" w:before="360"/>
      </w:pPr>
      <w:r>
        <w:rPr>
          <w:b/>
          <w:bCs/>
          <w:color w:val="1B3A6B"/>
        </w:rPr>
        <w:t xml:space="preserve">FINAL CHECKLIST — ARE YOU EXAM-READY?</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b/>
                <w:bCs/>
                <w:color w:val="FFFFFF"/>
                <w:sz w:val="20"/>
                <w:szCs w:val="20"/>
              </w:rPr>
              <w:t xml:space="preserve">USE THIS CHECKLIST</w:t>
            </w:r>
          </w:p>
        </w:tc>
        <w:tc>
          <w:tcPr>
            <w:tcW w:type="dxa" w:w="8160"/>
            <w:tcBorders>
              <w:top w:val="single" w:color="CCCCCC" w:sz="1"/>
              <w:left w:val="single" w:color="CCCCCC" w:sz="1"/>
              <w:bottom w:val="single" w:color="CCCCCC" w:sz="1"/>
              <w:right w:val="single" w:color="CCCCCC" w:sz="1"/>
            </w:tcBorders>
            <w:shd w:fill="D6EAF8" w:val="clear"/>
            <w:tcMar>
              <w:top w:type="dxa" w:w="80"/>
              <w:left w:type="dxa" w:w="160"/>
              <w:bottom w:type="dxa" w:w="80"/>
              <w:right w:type="dxa" w:w="120"/>
            </w:tcMar>
          </w:tcPr>
          <w:p>
            <w:r>
              <w:rPr>
                <w:sz w:val="21"/>
                <w:szCs w:val="21"/>
              </w:rPr>
              <w:t xml:space="preserve">Tick each item only when you can recall it without notes. Focus revision on items you cannot tick.</w:t>
            </w:r>
          </w:p>
        </w:tc>
      </w:tr>
    </w:tbl>
    <w:p>
      <w:pPr>
        <w:spacing w:after="60" w:before="60"/>
      </w:pPr>
      <w:r>
        <w:t xml:space="preserve"/>
      </w:r>
    </w:p>
    <w:p>
      <w:pPr>
        <w:pStyle w:val="ListParagraph"/>
        <w:numPr>
          <w:ilvl w:val="0"/>
          <w:numId w:val="2"/>
        </w:numPr>
        <w:spacing w:after="60" w:before="60"/>
      </w:pPr>
      <w:r>
        <w:rPr>
          <w:b/>
          <w:bCs/>
          <w:sz w:val="22"/>
          <w:szCs w:val="22"/>
        </w:rPr>
        <w:t xml:space="preserve">[ ]  </w:t>
      </w:r>
      <w:r>
        <w:rPr>
          <w:sz w:val="22"/>
          <w:szCs w:val="22"/>
        </w:rPr>
        <w:t xml:space="preserve">I can explain the two categories of capital (risk capital vs working capital) and give examples of each</w:t>
      </w:r>
    </w:p>
    <w:p>
      <w:pPr>
        <w:pStyle w:val="ListParagraph"/>
        <w:numPr>
          <w:ilvl w:val="0"/>
          <w:numId w:val="2"/>
        </w:numPr>
        <w:spacing w:after="60" w:before="60"/>
      </w:pPr>
      <w:r>
        <w:rPr>
          <w:b/>
          <w:bCs/>
          <w:sz w:val="22"/>
          <w:szCs w:val="22"/>
        </w:rPr>
        <w:t xml:space="preserve">[ ]  </w:t>
      </w:r>
      <w:r>
        <w:rPr>
          <w:sz w:val="22"/>
          <w:szCs w:val="22"/>
        </w:rPr>
        <w:t xml:space="preserve">I can name and explain all three perspectives on capital adequacy (economic / regulatory / rating agency)</w:t>
      </w:r>
    </w:p>
    <w:p>
      <w:pPr>
        <w:pStyle w:val="ListParagraph"/>
        <w:numPr>
          <w:ilvl w:val="0"/>
          <w:numId w:val="2"/>
        </w:numPr>
        <w:spacing w:after="60" w:before="60"/>
      </w:pPr>
      <w:r>
        <w:rPr>
          <w:b/>
          <w:bCs/>
          <w:sz w:val="22"/>
          <w:szCs w:val="22"/>
        </w:rPr>
        <w:t xml:space="preserve">[ ]  </w:t>
      </w:r>
      <w:r>
        <w:rPr>
          <w:sz w:val="22"/>
          <w:szCs w:val="22"/>
        </w:rPr>
        <w:t xml:space="preserve">I can define ASM and RSM, compute the solvency ratio, and explain what happens at each regulatory threshold</w:t>
      </w:r>
    </w:p>
    <w:p>
      <w:pPr>
        <w:pStyle w:val="ListParagraph"/>
        <w:numPr>
          <w:ilvl w:val="0"/>
          <w:numId w:val="2"/>
        </w:numPr>
        <w:spacing w:after="60" w:before="60"/>
      </w:pPr>
      <w:r>
        <w:rPr>
          <w:b/>
          <w:bCs/>
          <w:sz w:val="22"/>
          <w:szCs w:val="22"/>
        </w:rPr>
        <w:t xml:space="preserve">[ ]  </w:t>
      </w:r>
      <w:r>
        <w:rPr>
          <w:sz w:val="22"/>
          <w:szCs w:val="22"/>
        </w:rPr>
        <w:t xml:space="preserve">I can list all reserve types for both long-term (LT) and short-term (ST) health insurance products</w:t>
      </w:r>
    </w:p>
    <w:p>
      <w:pPr>
        <w:pStyle w:val="ListParagraph"/>
        <w:numPr>
          <w:ilvl w:val="0"/>
          <w:numId w:val="2"/>
        </w:numPr>
        <w:spacing w:after="60" w:before="60"/>
      </w:pPr>
      <w:r>
        <w:rPr>
          <w:b/>
          <w:bCs/>
          <w:sz w:val="22"/>
          <w:szCs w:val="22"/>
        </w:rPr>
        <w:t xml:space="preserve">[ ]  </w:t>
      </w:r>
      <w:r>
        <w:rPr>
          <w:sz w:val="22"/>
          <w:szCs w:val="22"/>
        </w:rPr>
        <w:t xml:space="preserve">I can explain the difference between UPR (retrospective) and URR (prospective) and when each is required</w:t>
      </w:r>
    </w:p>
    <w:p>
      <w:pPr>
        <w:pStyle w:val="ListParagraph"/>
        <w:numPr>
          <w:ilvl w:val="0"/>
          <w:numId w:val="2"/>
        </w:numPr>
        <w:spacing w:after="60" w:before="60"/>
      </w:pPr>
      <w:r>
        <w:rPr>
          <w:b/>
          <w:bCs/>
          <w:sz w:val="22"/>
          <w:szCs w:val="22"/>
        </w:rPr>
        <w:t xml:space="preserve">[ ]  </w:t>
      </w:r>
      <w:r>
        <w:rPr>
          <w:sz w:val="22"/>
          <w:szCs w:val="22"/>
        </w:rPr>
        <w:t xml:space="preserve">I can describe the Solvency II three-pillar structure and name the three key reports (RSR, QRT, SFCR)</w:t>
      </w:r>
    </w:p>
    <w:p>
      <w:pPr>
        <w:pStyle w:val="ListParagraph"/>
        <w:numPr>
          <w:ilvl w:val="0"/>
          <w:numId w:val="2"/>
        </w:numPr>
        <w:spacing w:after="60" w:before="60"/>
      </w:pPr>
      <w:r>
        <w:rPr>
          <w:b/>
          <w:bCs/>
          <w:sz w:val="22"/>
          <w:szCs w:val="22"/>
        </w:rPr>
        <w:t xml:space="preserve">[ ]  </w:t>
      </w:r>
      <w:r>
        <w:rPr>
          <w:sz w:val="22"/>
          <w:szCs w:val="22"/>
        </w:rPr>
        <w:t xml:space="preserve">I can explain what the BEL is, how it is calculated, and what 'contract boundary' means for LT vs ST business</w:t>
      </w:r>
    </w:p>
    <w:p>
      <w:pPr>
        <w:pStyle w:val="ListParagraph"/>
        <w:numPr>
          <w:ilvl w:val="0"/>
          <w:numId w:val="2"/>
        </w:numPr>
        <w:spacing w:after="60" w:before="60"/>
      </w:pPr>
      <w:r>
        <w:rPr>
          <w:b/>
          <w:bCs/>
          <w:sz w:val="22"/>
          <w:szCs w:val="22"/>
        </w:rPr>
        <w:t xml:space="preserve">[ ]  </w:t>
      </w:r>
      <w:r>
        <w:rPr>
          <w:sz w:val="22"/>
          <w:szCs w:val="22"/>
        </w:rPr>
        <w:t xml:space="preserve">I can distinguish between Matching Adjustment and Volatility Adjustment and list the conditions for each</w:t>
      </w:r>
    </w:p>
    <w:p>
      <w:pPr>
        <w:pStyle w:val="ListParagraph"/>
        <w:numPr>
          <w:ilvl w:val="0"/>
          <w:numId w:val="2"/>
        </w:numPr>
        <w:spacing w:after="60" w:before="60"/>
      </w:pPr>
      <w:r>
        <w:rPr>
          <w:b/>
          <w:bCs/>
          <w:sz w:val="22"/>
          <w:szCs w:val="22"/>
        </w:rPr>
        <w:t xml:space="preserve">[ ]  </w:t>
      </w:r>
      <w:r>
        <w:rPr>
          <w:sz w:val="22"/>
          <w:szCs w:val="22"/>
        </w:rPr>
        <w:t xml:space="preserve">I can explain the Risk Margin using the cost-of-capital method (6%, non-hedgeable risks, run-off, discounted)</w:t>
      </w:r>
    </w:p>
    <w:p>
      <w:pPr>
        <w:pStyle w:val="ListParagraph"/>
        <w:numPr>
          <w:ilvl w:val="0"/>
          <w:numId w:val="2"/>
        </w:numPr>
        <w:spacing w:after="60" w:before="60"/>
      </w:pPr>
      <w:r>
        <w:rPr>
          <w:b/>
          <w:bCs/>
          <w:sz w:val="22"/>
          <w:szCs w:val="22"/>
        </w:rPr>
        <w:t xml:space="preserve">[ ]  </w:t>
      </w:r>
      <w:r>
        <w:rPr>
          <w:sz w:val="22"/>
          <w:szCs w:val="22"/>
        </w:rPr>
        <w:t xml:space="preserve">I can describe the Tier 1/2/3 structure and state the percentage limits for SCR and MCR coverage</w:t>
      </w:r>
    </w:p>
    <w:p>
      <w:pPr>
        <w:pStyle w:val="ListParagraph"/>
        <w:numPr>
          <w:ilvl w:val="0"/>
          <w:numId w:val="2"/>
        </w:numPr>
        <w:spacing w:after="60" w:before="60"/>
      </w:pPr>
      <w:r>
        <w:rPr>
          <w:b/>
          <w:bCs/>
          <w:sz w:val="22"/>
          <w:szCs w:val="22"/>
        </w:rPr>
        <w:t xml:space="preserve">[ ]  </w:t>
      </w:r>
      <w:r>
        <w:rPr>
          <w:sz w:val="22"/>
          <w:szCs w:val="22"/>
        </w:rPr>
        <w:t xml:space="preserve">I can define the SCR (99.5% VaR 1yr) and MCR (85% VaR 1yr), state the floor/cap, and explain the supervisory ladder</w:t>
      </w:r>
    </w:p>
    <w:p>
      <w:pPr>
        <w:pStyle w:val="ListParagraph"/>
        <w:numPr>
          <w:ilvl w:val="0"/>
          <w:numId w:val="2"/>
        </w:numPr>
        <w:spacing w:after="60" w:before="60"/>
      </w:pPr>
      <w:r>
        <w:rPr>
          <w:b/>
          <w:bCs/>
          <w:sz w:val="22"/>
          <w:szCs w:val="22"/>
        </w:rPr>
        <w:t xml:space="preserve">[ ]  </w:t>
      </w:r>
      <w:r>
        <w:rPr>
          <w:sz w:val="22"/>
          <w:szCs w:val="22"/>
        </w:rPr>
        <w:t xml:space="preserve">I can describe the health risk modules: SLT sub-modules (DMLIER), Non-SLT (premium &amp; reserve + lapse), CAT</w:t>
      </w:r>
    </w:p>
    <w:p>
      <w:pPr>
        <w:pStyle w:val="ListParagraph"/>
        <w:numPr>
          <w:ilvl w:val="0"/>
          <w:numId w:val="2"/>
        </w:numPr>
        <w:spacing w:after="60" w:before="60"/>
      </w:pPr>
      <w:r>
        <w:rPr>
          <w:b/>
          <w:bCs/>
          <w:sz w:val="22"/>
          <w:szCs w:val="22"/>
        </w:rPr>
        <w:t xml:space="preserve">[ ]  </w:t>
      </w:r>
      <w:r>
        <w:rPr>
          <w:sz w:val="22"/>
          <w:szCs w:val="22"/>
        </w:rPr>
        <w:t xml:space="preserve">I can list the six tests an internal model must pass and name at least 4 factors for and against using one</w:t>
      </w:r>
    </w:p>
    <w:p>
      <w:pPr>
        <w:pStyle w:val="ListParagraph"/>
        <w:numPr>
          <w:ilvl w:val="0"/>
          <w:numId w:val="2"/>
        </w:numPr>
        <w:spacing w:after="60" w:before="60"/>
      </w:pPr>
      <w:r>
        <w:rPr>
          <w:b/>
          <w:bCs/>
          <w:sz w:val="22"/>
          <w:szCs w:val="22"/>
        </w:rPr>
        <w:t xml:space="preserve">[ ]  </w:t>
      </w:r>
      <w:r>
        <w:rPr>
          <w:sz w:val="22"/>
          <w:szCs w:val="22"/>
        </w:rPr>
        <w:t xml:space="preserve">I can explain proxy models (polynomial, kriging, replicating portfolio) and the nested calculations problem</w:t>
      </w:r>
    </w:p>
    <w:p>
      <w:pPr>
        <w:pStyle w:val="ListParagraph"/>
        <w:numPr>
          <w:ilvl w:val="0"/>
          <w:numId w:val="2"/>
        </w:numPr>
        <w:spacing w:after="60" w:before="60"/>
      </w:pPr>
      <w:r>
        <w:rPr>
          <w:b/>
          <w:bCs/>
          <w:sz w:val="22"/>
          <w:szCs w:val="22"/>
        </w:rPr>
        <w:t xml:space="preserve">[ ]  </w:t>
      </w:r>
      <w:r>
        <w:rPr>
          <w:sz w:val="22"/>
          <w:szCs w:val="22"/>
        </w:rPr>
        <w:t xml:space="preserve">I can list the six methods of capital management (ESS-RDA) and explain each one's mechanism</w:t>
      </w:r>
    </w:p>
    <w:p>
      <w:pPr>
        <w:pStyle w:val="ListParagraph"/>
        <w:numPr>
          <w:ilvl w:val="0"/>
          <w:numId w:val="2"/>
        </w:numPr>
        <w:spacing w:after="60" w:before="60"/>
      </w:pPr>
      <w:r>
        <w:rPr>
          <w:b/>
          <w:bCs/>
          <w:sz w:val="22"/>
          <w:szCs w:val="22"/>
        </w:rPr>
        <w:t xml:space="preserve">[ ]  </w:t>
      </w:r>
      <w:r>
        <w:rPr>
          <w:sz w:val="22"/>
          <w:szCs w:val="22"/>
        </w:rPr>
        <w:t xml:space="preserve">I can describe financial reinsurance, its structures, and when it is and is not appropriate</w:t>
      </w:r>
    </w:p>
    <w:p>
      <w:pPr>
        <w:pStyle w:val="ListParagraph"/>
        <w:numPr>
          <w:ilvl w:val="0"/>
          <w:numId w:val="2"/>
        </w:numPr>
        <w:spacing w:after="60" w:before="60"/>
      </w:pPr>
      <w:r>
        <w:rPr>
          <w:b/>
          <w:bCs/>
          <w:sz w:val="22"/>
          <w:szCs w:val="22"/>
        </w:rPr>
        <w:t xml:space="preserve">[ ]  </w:t>
      </w:r>
      <w:r>
        <w:rPr>
          <w:sz w:val="22"/>
          <w:szCs w:val="22"/>
        </w:rPr>
        <w:t xml:space="preserve">I can explain the ORSA: its five elements, Pillar 2 governance, and how it must be used by management</w:t>
      </w:r>
    </w:p>
    <w:p>
      <w:pPr>
        <w:pStyle w:val="ListParagraph"/>
        <w:numPr>
          <w:ilvl w:val="0"/>
          <w:numId w:val="2"/>
        </w:numPr>
        <w:spacing w:after="60" w:before="60"/>
      </w:pPr>
      <w:r>
        <w:rPr>
          <w:b/>
          <w:bCs/>
          <w:sz w:val="22"/>
          <w:szCs w:val="22"/>
        </w:rPr>
        <w:t xml:space="preserve">[ ]  </w:t>
      </w:r>
      <w:r>
        <w:rPr>
          <w:sz w:val="22"/>
          <w:szCs w:val="22"/>
        </w:rPr>
        <w:t xml:space="preserve">I know the key differences between Solvency II and USA (RBC/PBR), China (C-ROSS), India (IRDAI/ASM/RSM), and Australia (LAGIC)</w:t>
      </w:r>
    </w:p>
    <w:p>
      <w:pPr>
        <w:pStyle w:val="ListParagraph"/>
        <w:numPr>
          <w:ilvl w:val="0"/>
          <w:numId w:val="2"/>
        </w:numPr>
        <w:spacing w:after="60" w:before="60"/>
      </w:pPr>
      <w:r>
        <w:rPr>
          <w:b/>
          <w:bCs/>
          <w:sz w:val="22"/>
          <w:szCs w:val="22"/>
        </w:rPr>
        <w:t xml:space="preserve">[ ]  </w:t>
      </w:r>
      <w:r>
        <w:rPr>
          <w:sz w:val="22"/>
          <w:szCs w:val="22"/>
        </w:rPr>
        <w:t xml:space="preserve">I can construct a recovery plan for a borderline solvency situation (IAI Mar 2022 style)</w:t>
      </w:r>
    </w:p>
    <w:p>
      <w:pPr>
        <w:pStyle w:val="ListParagraph"/>
        <w:numPr>
          <w:ilvl w:val="0"/>
          <w:numId w:val="2"/>
        </w:numPr>
        <w:spacing w:after="60" w:before="60"/>
      </w:pPr>
      <w:r>
        <w:rPr>
          <w:b/>
          <w:bCs/>
          <w:sz w:val="22"/>
          <w:szCs w:val="22"/>
        </w:rPr>
        <w:t xml:space="preserve">[ ]  </w:t>
      </w:r>
      <w:r>
        <w:rPr>
          <w:sz w:val="22"/>
          <w:szCs w:val="22"/>
        </w:rPr>
        <w:t xml:space="preserve">I know all key numbers: 99.5%, 85%, 25% floor, 45% cap, 6% cost of capital, 150% India SR minimum</w:t>
      </w:r>
    </w:p>
    <w:p>
      <w:pPr>
        <w:spacing w:after="60" w:before="60"/>
      </w:pPr>
      <w:r>
        <w:t xml:space="preserve"/>
      </w:r>
    </w:p>
    <w:p>
      <w:pPr>
        <w:pBdr>
          <w:top w:val="single" w:color="1B3A6B" w:sz="6" w:space="8"/>
        </w:pBdr>
        <w:spacing w:after="120" w:before="240"/>
        <w:jc w:val="center"/>
      </w:pPr>
      <w:r>
        <w:rPr>
          <w:b/>
          <w:bCs/>
          <w:i/>
          <w:iCs/>
          <w:color w:val="0E6B6B"/>
          <w:sz w:val="24"/>
          <w:szCs w:val="24"/>
        </w:rPr>
        <w:t xml:space="preserve">Study consistently. Prioritise understanding over memorisation. Good luck in your SA1 IAI exam!</w:t>
      </w:r>
    </w:p>
    <w:sectPr>
      <w:pgSz w:w="12240" w:h="15840" w:orient="portrait"/>
      <w:pgMar w:top="1008" w:right="1008" w:bottom="1008" w:left="100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lvl w:ilvl="1" w15:tentative="1">
      <w:start w:val="1"/>
      <w:numFmt w:val="bullet"/>
      <w:lvlText w:val="–"/>
      <w:lvlJc w:val="left"/>
      <w:pPr>
        <w:ind w:left="840" w:hanging="240"/>
      </w:pPr>
    </w:lvl>
  </w:abstractNum>
  <w:abstractNum w:abstractNumId="3" w15:restartNumberingAfterBreak="0">
    <w:multiLevelType w:val="hybridMultilevel"/>
    <w:lvl w:ilvl="0" w15:tentative="1">
      <w:start w:val="1"/>
      <w:numFmt w:val="decimal"/>
      <w:lvlText w:val="%1."/>
      <w:lvlJc w:val="left"/>
      <w:pPr>
        <w:ind w:left="480" w:hanging="2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sz w:val="32"/>
      <w:szCs w:val="32"/>
    </w:rPr>
  </w:style>
  <w:style w:type="paragraph" w:styleId="Heading2">
    <w:name w:val="Heading 2"/>
    <w:basedOn w:val="Normal"/>
    <w:next w:val="Normal"/>
    <w:qFormat/>
    <w:pPr>
      <w:spacing w:after="80" w:before="240"/>
      <w:outlineLvl w:val="1"/>
    </w:pPr>
    <w:rPr>
      <w:rFonts w:ascii="Arial" w:cs="Arial" w:eastAsia="Arial" w:hAnsi="Arial"/>
      <w:b/>
      <w:bCs/>
      <w:sz w:val="26"/>
      <w:szCs w:val="26"/>
    </w:rPr>
  </w:style>
  <w:style w:type="paragraph" w:styleId="Heading3">
    <w:name w:val="Heading 3"/>
    <w:basedOn w:val="Normal"/>
    <w:next w:val="Normal"/>
    <w:qFormat/>
    <w:pPr>
      <w:spacing w:after="60" w:before="180"/>
      <w:outlineLvl w:val="2"/>
    </w:pPr>
    <w:rPr>
      <w:rFonts w:ascii="Arial" w:cs="Arial" w:eastAsia="Arial" w:hAnsi="Arial"/>
      <w:b/>
      <w:bCs/>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2026-04-03T05:35:34.440Z</dcterms:created>
  <dcterms:modified xsi:type="dcterms:W3CDTF">2026-04-03T05:35:34.441Z</dcterms:modified>
</cp:coreProperties>
</file>

<file path=docProps/custom.xml><?xml version="1.0" encoding="utf-8"?>
<Properties xmlns="http://schemas.openxmlformats.org/officeDocument/2006/custom-properties" xmlns:vt="http://schemas.openxmlformats.org/officeDocument/2006/docPropsVTypes"/>
</file>