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Final Report: SmolVLM vs DINOv2 on Oxford-IIIT Pets</w:t>
      </w:r>
    </w:p>
    <w:p>
      <w:pPr>
        <w:spacing w:after="360"/>
        <w:jc w:val="center"/>
      </w:pPr>
      <w:r>
        <w:t>Prepared from available Kaggle result exports | 14 May 2026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8DADC"/>
          <w:left w:val="single" w:sz="6" w:space="0" w:color="C8DADC"/>
          <w:bottom w:val="single" w:sz="6" w:space="0" w:color="C8DADC"/>
          <w:right w:val="single" w:sz="6" w:space="0" w:color="C8DADC"/>
          <w:insideH w:val="single" w:sz="6" w:space="0" w:color="C8DADC"/>
          <w:insideV w:val="single" w:sz="6" w:space="0" w:color="C8DADC"/>
        </w:tblBorders>
      </w:tblPr>
      <w:tblGrid>
        <w:gridCol w:w="9994"/>
      </w:tblGrid>
      <w:tr>
        <w:tc>
          <w:tcPr>
            <w:tcW w:type="dxa" w:w="9994"/>
            <w:shd w:fill="EAF4F4"/>
            <w:vAlign w:val="center"/>
          </w:tcPr>
          <w:p>
            <w:pPr>
              <w:spacing w:before="80" w:after="80"/>
            </w:pPr>
            <w:r>
              <w:rPr>
                <w:b/>
                <w:color w:val="184E77"/>
              </w:rPr>
              <w:t>Headline result.</w:t>
            </w:r>
            <w:r>
              <w:t xml:space="preserve"> DINOv2-small achieved 80.4% accuracy and 79.2% macro F1, outperforming SmolVLM-256M-Instruct by 47.4 percentage points in accuracy on the available evaluation subsets.</w:t>
            </w:r>
          </w:p>
        </w:tc>
      </w:tr>
    </w:tbl>
    <w:p/>
    <w:p>
      <w:pPr>
        <w:pStyle w:val="Heading1"/>
        <w:spacing w:before="240" w:after="100"/>
      </w:pPr>
      <w:r>
        <w:t>Executive Summary</w:t>
      </w:r>
    </w:p>
    <w:p>
      <w:r>
        <w:t>The available results compare a direct DINOv2-small image classifier against a fine-tuned SmolVLM-256M-Instruct visual-language model on the timm/oxford-iiit-pet dataset.</w:t>
      </w:r>
    </w:p>
    <w:p>
      <w:r>
        <w:t>For closed-set breed classification, DINOv2-small is the stronger production candidate. It reaches substantially higher accuracy and macro F1 while using a larger evaluation subset.</w:t>
      </w:r>
    </w:p>
    <w:p>
      <w:r>
        <w:t>SmolVLM remains useful where natural-language interaction is required, but its current outputs need stronger label normalization and additional fine-tuning before it can compete with a dedicated classifier on fixed breed labels.</w:t>
      </w:r>
    </w:p>
    <w:p>
      <w:pPr>
        <w:pStyle w:val="Heading1"/>
        <w:spacing w:before="240" w:after="100"/>
      </w:pPr>
      <w:r>
        <w:t>Evaluation Setup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2880"/>
        <w:gridCol w:w="6336"/>
      </w:tblGrid>
      <w:tr>
        <w:tc>
          <w:tcPr>
            <w:tcW w:type="dxa" w:w="4997"/>
            <w:shd w:fill="174A6A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997"/>
            <w:shd w:fill="174A6A"/>
            <w:vAlign w:val="center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t>Dataset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t>timm/oxford-iiit-pet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t>DINO model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t>facebook/dinov2-small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t>VLM model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t>HuggingFaceTB/SmolVLM-256M-Instruct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t>DINO split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t>1,200 train samples, 500 test samples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t>SmolVLM split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t>600 train samples, 200 test samples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>
              <w:t>Primary metrics</w:t>
            </w:r>
          </w:p>
        </w:tc>
        <w:tc>
          <w:tcPr>
            <w:tcW w:type="dxa" w:w="6336"/>
            <w:vAlign w:val="center"/>
          </w:tcPr>
          <w:p>
            <w:pPr>
              <w:spacing w:after="40"/>
            </w:pPr>
            <w:r>
              <w:t>Accuracy and macro F1</w:t>
            </w:r>
          </w:p>
        </w:tc>
      </w:tr>
    </w:tbl>
    <w:p/>
    <w:p>
      <w:pPr>
        <w:pStyle w:val="Heading1"/>
        <w:spacing w:before="240" w:after="100"/>
      </w:pPr>
      <w:r>
        <w:t>Final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shd w:fill="174A6A"/>
            <w:vAlign w:val="center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666"/>
            <w:shd w:fill="174A6A"/>
            <w:vAlign w:val="center"/>
          </w:tcPr>
          <w:p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1666"/>
            <w:shd w:fill="174A6A"/>
            <w:vAlign w:val="center"/>
          </w:tcPr>
          <w:p>
            <w:r>
              <w:rPr>
                <w:b/>
                <w:color w:val="FFFFFF"/>
              </w:rPr>
              <w:t>Train</w:t>
            </w:r>
          </w:p>
        </w:tc>
        <w:tc>
          <w:tcPr>
            <w:tcW w:type="dxa" w:w="1666"/>
            <w:shd w:fill="174A6A"/>
            <w:vAlign w:val="center"/>
          </w:tcPr>
          <w:p>
            <w:r>
              <w:rPr>
                <w:b/>
                <w:color w:val="FFFFFF"/>
              </w:rPr>
              <w:t>Test</w:t>
            </w:r>
          </w:p>
        </w:tc>
        <w:tc>
          <w:tcPr>
            <w:tcW w:type="dxa" w:w="1666"/>
            <w:shd w:fill="174A6A"/>
            <w:vAlign w:val="center"/>
          </w:tcPr>
          <w:p>
            <w:r>
              <w:rPr>
                <w:b/>
                <w:color w:val="FFFFFF"/>
              </w:rPr>
              <w:t>Accuracy</w:t>
            </w:r>
          </w:p>
        </w:tc>
        <w:tc>
          <w:tcPr>
            <w:tcW w:type="dxa" w:w="1666"/>
            <w:shd w:fill="174A6A"/>
            <w:vAlign w:val="center"/>
          </w:tcPr>
          <w:p>
            <w:r>
              <w:rPr>
                <w:b/>
                <w:color w:val="FFFFFF"/>
              </w:rPr>
              <w:t>Macro F1</w:t>
            </w:r>
          </w:p>
        </w:tc>
      </w:tr>
      <w:tr>
        <w:tc>
          <w:tcPr>
            <w:tcW w:type="dxa" w:w="1666"/>
            <w:vAlign w:val="center"/>
          </w:tcPr>
          <w:p>
            <w:r>
              <w:t>DINOv2-small</w:t>
            </w:r>
          </w:p>
        </w:tc>
        <w:tc>
          <w:tcPr>
            <w:tcW w:type="dxa" w:w="1666"/>
            <w:vAlign w:val="center"/>
          </w:tcPr>
          <w:p>
            <w:r>
              <w:t>closed-set image classification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>
              <w:t>1200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>
              <w:t>500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>
              <w:t>80.4%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>
              <w:t>79.2%</w:t>
            </w:r>
          </w:p>
        </w:tc>
      </w:tr>
      <w:tr>
        <w:tc>
          <w:tcPr>
            <w:tcW w:type="dxa" w:w="1666"/>
            <w:vAlign w:val="center"/>
          </w:tcPr>
          <w:p>
            <w:r>
              <w:t>SmolVLM-256M-Instruct</w:t>
            </w:r>
          </w:p>
        </w:tc>
        <w:tc>
          <w:tcPr>
            <w:tcW w:type="dxa" w:w="1666"/>
            <w:vAlign w:val="center"/>
          </w:tcPr>
          <w:p>
            <w:r>
              <w:t>image + question -&gt; breed text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>
              <w:t>600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>
              <w:t>33.0%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>
              <w:t>29.7%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061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accuracy_macro_f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6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Accuracy and macro F1 from the available summary export.</w:t>
      </w:r>
    </w:p>
    <w:p>
      <w:pPr>
        <w:pStyle w:val="Heading1"/>
        <w:spacing w:before="240" w:after="100"/>
      </w:pPr>
      <w:r>
        <w:t>Interpretation</w:t>
      </w:r>
    </w:p>
    <w:p>
      <w:r>
        <w:t>DINOv2-small is optimized for visual representation learning and a closed classification head, which fits this task well. The row-level DINO predictions show 402 correct predictions out of 500.</w:t>
      </w:r>
    </w:p>
    <w:p>
      <w:r>
        <w:t>SmolVLM produced 66 mapped-class correct predictions out of 200. It also generated 24 predictions that could not be mapped to a known class, which directly limited its score.</w:t>
      </w:r>
    </w:p>
    <w:p>
      <w:r>
        <w:t>The VLM output format is more flexible, but that flexibility is a liability for strict label evaluation unless the answer schema is constrained or the post-processing mapper is improved.</w:t>
      </w:r>
    </w:p>
    <w:p>
      <w:pPr>
        <w:pStyle w:val="Heading1"/>
        <w:spacing w:before="240" w:after="100"/>
      </w:pPr>
      <w:r>
        <w:t>Observed Error Patterns</w:t>
      </w:r>
    </w:p>
    <w:p>
      <w:pPr>
        <w:pStyle w:val="Heading2"/>
        <w:spacing w:before="160" w:after="100"/>
      </w:pPr>
      <w:r>
        <w:t>DINOv2 weakest classes by class accuracy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331"/>
            <w:shd w:fill="D9EAF7"/>
          </w:tcPr>
          <w:p>
            <w:r>
              <w:rPr>
                <w:b/>
              </w:rPr>
              <w:t>Correct / Total</w:t>
            </w:r>
          </w:p>
        </w:tc>
        <w:tc>
          <w:tcPr>
            <w:tcW w:type="dxa" w:w="3331"/>
            <w:shd w:fill="D9EAF7"/>
          </w:tcPr>
          <w:p>
            <w:r>
              <w:rPr>
                <w:b/>
              </w:rPr>
              <w:t>Class Accuracy</w:t>
            </w:r>
          </w:p>
        </w:tc>
      </w:tr>
      <w:tr>
        <w:tc>
          <w:tcPr>
            <w:tcW w:type="dxa" w:w="3331"/>
            <w:vAlign w:val="center"/>
          </w:tcPr>
          <w:p>
            <w:r>
              <w:t>american pit bull terrier</w:t>
            </w:r>
          </w:p>
        </w:tc>
        <w:tc>
          <w:tcPr>
            <w:tcW w:type="dxa" w:w="3331"/>
            <w:vAlign w:val="center"/>
          </w:tcPr>
          <w:p>
            <w:r>
              <w:t>4/9</w:t>
            </w:r>
          </w:p>
        </w:tc>
        <w:tc>
          <w:tcPr>
            <w:tcW w:type="dxa" w:w="3331"/>
            <w:vAlign w:val="center"/>
          </w:tcPr>
          <w:p>
            <w:r>
              <w:t>44.4%</w:t>
            </w:r>
          </w:p>
        </w:tc>
      </w:tr>
      <w:tr>
        <w:tc>
          <w:tcPr>
            <w:tcW w:type="dxa" w:w="3331"/>
            <w:vAlign w:val="center"/>
          </w:tcPr>
          <w:p>
            <w:r>
              <w:t>beagle</w:t>
            </w:r>
          </w:p>
        </w:tc>
        <w:tc>
          <w:tcPr>
            <w:tcW w:type="dxa" w:w="3331"/>
            <w:vAlign w:val="center"/>
          </w:tcPr>
          <w:p>
            <w:r>
              <w:t>5/11</w:t>
            </w:r>
          </w:p>
        </w:tc>
        <w:tc>
          <w:tcPr>
            <w:tcW w:type="dxa" w:w="3331"/>
            <w:vAlign w:val="center"/>
          </w:tcPr>
          <w:p>
            <w:r>
              <w:t>45.5%</w:t>
            </w:r>
          </w:p>
        </w:tc>
      </w:tr>
      <w:tr>
        <w:tc>
          <w:tcPr>
            <w:tcW w:type="dxa" w:w="3331"/>
            <w:vAlign w:val="center"/>
          </w:tcPr>
          <w:p>
            <w:r>
              <w:t>chihuahua</w:t>
            </w:r>
          </w:p>
        </w:tc>
        <w:tc>
          <w:tcPr>
            <w:tcW w:type="dxa" w:w="3331"/>
            <w:vAlign w:val="center"/>
          </w:tcPr>
          <w:p>
            <w:r>
              <w:t>4/8</w:t>
            </w:r>
          </w:p>
        </w:tc>
        <w:tc>
          <w:tcPr>
            <w:tcW w:type="dxa" w:w="3331"/>
            <w:vAlign w:val="center"/>
          </w:tcPr>
          <w:p>
            <w:r>
              <w:t>50.0%</w:t>
            </w:r>
          </w:p>
        </w:tc>
      </w:tr>
      <w:tr>
        <w:tc>
          <w:tcPr>
            <w:tcW w:type="dxa" w:w="3331"/>
            <w:vAlign w:val="center"/>
          </w:tcPr>
          <w:p>
            <w:r>
              <w:t>english cocker spaniel</w:t>
            </w:r>
          </w:p>
        </w:tc>
        <w:tc>
          <w:tcPr>
            <w:tcW w:type="dxa" w:w="3331"/>
            <w:vAlign w:val="center"/>
          </w:tcPr>
          <w:p>
            <w:r>
              <w:t>7/12</w:t>
            </w:r>
          </w:p>
        </w:tc>
        <w:tc>
          <w:tcPr>
            <w:tcW w:type="dxa" w:w="3331"/>
            <w:vAlign w:val="center"/>
          </w:tcPr>
          <w:p>
            <w:r>
              <w:t>58.3%</w:t>
            </w:r>
          </w:p>
        </w:tc>
      </w:tr>
      <w:tr>
        <w:tc>
          <w:tcPr>
            <w:tcW w:type="dxa" w:w="3331"/>
            <w:vAlign w:val="center"/>
          </w:tcPr>
          <w:p>
            <w:r>
              <w:t>ragdoll</w:t>
            </w:r>
          </w:p>
        </w:tc>
        <w:tc>
          <w:tcPr>
            <w:tcW w:type="dxa" w:w="3331"/>
            <w:vAlign w:val="center"/>
          </w:tcPr>
          <w:p>
            <w:r>
              <w:t>6/10</w:t>
            </w:r>
          </w:p>
        </w:tc>
        <w:tc>
          <w:tcPr>
            <w:tcW w:type="dxa" w:w="3331"/>
            <w:vAlign w:val="center"/>
          </w:tcPr>
          <w:p>
            <w:r>
              <w:t>60.0%</w:t>
            </w:r>
          </w:p>
        </w:tc>
      </w:tr>
      <w:tr>
        <w:tc>
          <w:tcPr>
            <w:tcW w:type="dxa" w:w="3331"/>
            <w:vAlign w:val="center"/>
          </w:tcPr>
          <w:p>
            <w:r>
              <w:t>american bulldog</w:t>
            </w:r>
          </w:p>
        </w:tc>
        <w:tc>
          <w:tcPr>
            <w:tcW w:type="dxa" w:w="3331"/>
            <w:vAlign w:val="center"/>
          </w:tcPr>
          <w:p>
            <w:r>
              <w:t>10/16</w:t>
            </w:r>
          </w:p>
        </w:tc>
        <w:tc>
          <w:tcPr>
            <w:tcW w:type="dxa" w:w="3331"/>
            <w:vAlign w:val="center"/>
          </w:tcPr>
          <w:p>
            <w:r>
              <w:t>62.5%</w:t>
            </w:r>
          </w:p>
        </w:tc>
      </w:tr>
      <w:tr>
        <w:tc>
          <w:tcPr>
            <w:tcW w:type="dxa" w:w="3331"/>
            <w:vAlign w:val="center"/>
          </w:tcPr>
          <w:p>
            <w:r>
              <w:t>pug</w:t>
            </w:r>
          </w:p>
        </w:tc>
        <w:tc>
          <w:tcPr>
            <w:tcW w:type="dxa" w:w="3331"/>
            <w:vAlign w:val="center"/>
          </w:tcPr>
          <w:p>
            <w:r>
              <w:t>8/12</w:t>
            </w:r>
          </w:p>
        </w:tc>
        <w:tc>
          <w:tcPr>
            <w:tcW w:type="dxa" w:w="3331"/>
            <w:vAlign w:val="center"/>
          </w:tcPr>
          <w:p>
            <w:r>
              <w:t>66.7%</w:t>
            </w:r>
          </w:p>
        </w:tc>
      </w:tr>
      <w:tr>
        <w:tc>
          <w:tcPr>
            <w:tcW w:type="dxa" w:w="3331"/>
            <w:vAlign w:val="center"/>
          </w:tcPr>
          <w:p>
            <w:r>
              <w:t>siamese</w:t>
            </w:r>
          </w:p>
        </w:tc>
        <w:tc>
          <w:tcPr>
            <w:tcW w:type="dxa" w:w="3331"/>
            <w:vAlign w:val="center"/>
          </w:tcPr>
          <w:p>
            <w:r>
              <w:t>8/12</w:t>
            </w:r>
          </w:p>
        </w:tc>
        <w:tc>
          <w:tcPr>
            <w:tcW w:type="dxa" w:w="3331"/>
            <w:vAlign w:val="center"/>
          </w:tcPr>
          <w:p>
            <w:r>
              <w:t>66.7%</w:t>
            </w:r>
          </w:p>
        </w:tc>
      </w:tr>
    </w:tbl>
    <w:p/>
    <w:p>
      <w:pPr>
        <w:pStyle w:val="Heading2"/>
        <w:spacing w:before="160" w:after="100"/>
      </w:pPr>
      <w:r>
        <w:t>SmolVLM weakest classes by class accuracy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3331"/>
        <w:gridCol w:w="3331"/>
        <w:gridCol w:w="3331"/>
      </w:tblGrid>
      <w:tr>
        <w:tc>
          <w:tcPr>
            <w:tcW w:type="dxa" w:w="3331"/>
            <w:shd w:fill="D9EAF7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3331"/>
            <w:shd w:fill="D9EAF7"/>
          </w:tcPr>
          <w:p>
            <w:r>
              <w:rPr>
                <w:b/>
              </w:rPr>
              <w:t>Correct / Total</w:t>
            </w:r>
          </w:p>
        </w:tc>
        <w:tc>
          <w:tcPr>
            <w:tcW w:type="dxa" w:w="3331"/>
            <w:shd w:fill="D9EAF7"/>
          </w:tcPr>
          <w:p>
            <w:r>
              <w:rPr>
                <w:b/>
              </w:rPr>
              <w:t>Class Accuracy</w:t>
            </w:r>
          </w:p>
        </w:tc>
      </w:tr>
      <w:tr>
        <w:tc>
          <w:tcPr>
            <w:tcW w:type="dxa" w:w="3331"/>
            <w:vAlign w:val="center"/>
          </w:tcPr>
          <w:p>
            <w:r>
              <w:t>bombay</w:t>
            </w:r>
          </w:p>
        </w:tc>
        <w:tc>
          <w:tcPr>
            <w:tcW w:type="dxa" w:w="3331"/>
            <w:vAlign w:val="center"/>
          </w:tcPr>
          <w:p>
            <w:r>
              <w:t>0/8</w:t>
            </w:r>
          </w:p>
        </w:tc>
        <w:tc>
          <w:tcPr>
            <w:tcW w:type="dxa" w:w="3331"/>
            <w:vAlign w:val="center"/>
          </w:tcPr>
          <w:p>
            <w:r>
              <w:t>0.0%</w:t>
            </w:r>
          </w:p>
        </w:tc>
      </w:tr>
      <w:tr>
        <w:tc>
          <w:tcPr>
            <w:tcW w:type="dxa" w:w="3331"/>
            <w:vAlign w:val="center"/>
          </w:tcPr>
          <w:p>
            <w:r>
              <w:t>egyptian mau</w:t>
            </w:r>
          </w:p>
        </w:tc>
        <w:tc>
          <w:tcPr>
            <w:tcW w:type="dxa" w:w="3331"/>
            <w:vAlign w:val="center"/>
          </w:tcPr>
          <w:p>
            <w:r>
              <w:t>0/7</w:t>
            </w:r>
          </w:p>
        </w:tc>
        <w:tc>
          <w:tcPr>
            <w:tcW w:type="dxa" w:w="3331"/>
            <w:vAlign w:val="center"/>
          </w:tcPr>
          <w:p>
            <w:r>
              <w:t>0.0%</w:t>
            </w:r>
          </w:p>
        </w:tc>
      </w:tr>
      <w:tr>
        <w:tc>
          <w:tcPr>
            <w:tcW w:type="dxa" w:w="3331"/>
            <w:vAlign w:val="center"/>
          </w:tcPr>
          <w:p>
            <w:r>
              <w:t>keeshond</w:t>
            </w:r>
          </w:p>
        </w:tc>
        <w:tc>
          <w:tcPr>
            <w:tcW w:type="dxa" w:w="3331"/>
            <w:vAlign w:val="center"/>
          </w:tcPr>
          <w:p>
            <w:r>
              <w:t>0/7</w:t>
            </w:r>
          </w:p>
        </w:tc>
        <w:tc>
          <w:tcPr>
            <w:tcW w:type="dxa" w:w="3331"/>
            <w:vAlign w:val="center"/>
          </w:tcPr>
          <w:p>
            <w:r>
              <w:t>0.0%</w:t>
            </w:r>
          </w:p>
        </w:tc>
      </w:tr>
      <w:tr>
        <w:tc>
          <w:tcPr>
            <w:tcW w:type="dxa" w:w="3331"/>
            <w:vAlign w:val="center"/>
          </w:tcPr>
          <w:p>
            <w:r>
              <w:t>miniature pinscher</w:t>
            </w:r>
          </w:p>
        </w:tc>
        <w:tc>
          <w:tcPr>
            <w:tcW w:type="dxa" w:w="3331"/>
            <w:vAlign w:val="center"/>
          </w:tcPr>
          <w:p>
            <w:r>
              <w:t>0/7</w:t>
            </w:r>
          </w:p>
        </w:tc>
        <w:tc>
          <w:tcPr>
            <w:tcW w:type="dxa" w:w="3331"/>
            <w:vAlign w:val="center"/>
          </w:tcPr>
          <w:p>
            <w:r>
              <w:t>0.0%</w:t>
            </w:r>
          </w:p>
        </w:tc>
      </w:tr>
      <w:tr>
        <w:tc>
          <w:tcPr>
            <w:tcW w:type="dxa" w:w="3331"/>
            <w:vAlign w:val="center"/>
          </w:tcPr>
          <w:p>
            <w:r>
              <w:t>havanese</w:t>
            </w:r>
          </w:p>
        </w:tc>
        <w:tc>
          <w:tcPr>
            <w:tcW w:type="dxa" w:w="3331"/>
            <w:vAlign w:val="center"/>
          </w:tcPr>
          <w:p>
            <w:r>
              <w:t>0/6</w:t>
            </w:r>
          </w:p>
        </w:tc>
        <w:tc>
          <w:tcPr>
            <w:tcW w:type="dxa" w:w="3331"/>
            <w:vAlign w:val="center"/>
          </w:tcPr>
          <w:p>
            <w:r>
              <w:t>0.0%</w:t>
            </w:r>
          </w:p>
        </w:tc>
      </w:tr>
      <w:tr>
        <w:tc>
          <w:tcPr>
            <w:tcW w:type="dxa" w:w="3331"/>
            <w:vAlign w:val="center"/>
          </w:tcPr>
          <w:p>
            <w:r>
              <w:t>maine coon</w:t>
            </w:r>
          </w:p>
        </w:tc>
        <w:tc>
          <w:tcPr>
            <w:tcW w:type="dxa" w:w="3331"/>
            <w:vAlign w:val="center"/>
          </w:tcPr>
          <w:p>
            <w:r>
              <w:t>0/6</w:t>
            </w:r>
          </w:p>
        </w:tc>
        <w:tc>
          <w:tcPr>
            <w:tcW w:type="dxa" w:w="3331"/>
            <w:vAlign w:val="center"/>
          </w:tcPr>
          <w:p>
            <w:r>
              <w:t>0.0%</w:t>
            </w:r>
          </w:p>
        </w:tc>
      </w:tr>
      <w:tr>
        <w:tc>
          <w:tcPr>
            <w:tcW w:type="dxa" w:w="3331"/>
            <w:vAlign w:val="center"/>
          </w:tcPr>
          <w:p>
            <w:r>
              <w:t>staffordshire bull terrier</w:t>
            </w:r>
          </w:p>
        </w:tc>
        <w:tc>
          <w:tcPr>
            <w:tcW w:type="dxa" w:w="3331"/>
            <w:vAlign w:val="center"/>
          </w:tcPr>
          <w:p>
            <w:r>
              <w:t>0/6</w:t>
            </w:r>
          </w:p>
        </w:tc>
        <w:tc>
          <w:tcPr>
            <w:tcW w:type="dxa" w:w="3331"/>
            <w:vAlign w:val="center"/>
          </w:tcPr>
          <w:p>
            <w:r>
              <w:t>0.0%</w:t>
            </w:r>
          </w:p>
        </w:tc>
      </w:tr>
      <w:tr>
        <w:tc>
          <w:tcPr>
            <w:tcW w:type="dxa" w:w="3331"/>
            <w:vAlign w:val="center"/>
          </w:tcPr>
          <w:p>
            <w:r>
              <w:t>wheaten terrier</w:t>
            </w:r>
          </w:p>
        </w:tc>
        <w:tc>
          <w:tcPr>
            <w:tcW w:type="dxa" w:w="3331"/>
            <w:vAlign w:val="center"/>
          </w:tcPr>
          <w:p>
            <w:r>
              <w:t>0/5</w:t>
            </w:r>
          </w:p>
        </w:tc>
        <w:tc>
          <w:tcPr>
            <w:tcW w:type="dxa" w:w="3331"/>
            <w:vAlign w:val="center"/>
          </w:tcPr>
          <w:p>
            <w:r>
              <w:t>0.0%</w:t>
            </w:r>
          </w:p>
        </w:tc>
      </w:tr>
    </w:tbl>
    <w:p/>
    <w:p>
      <w:pPr>
        <w:pStyle w:val="Heading2"/>
        <w:spacing w:before="160" w:after="100"/>
      </w:pPr>
      <w:r>
        <w:t>Most frequent SmolVLM mapped predictions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D9E2EC"/>
          <w:left w:val="single" w:sz="8" w:space="0" w:color="D9E2EC"/>
          <w:bottom w:val="single" w:sz="8" w:space="0" w:color="D9E2EC"/>
          <w:right w:val="single" w:sz="8" w:space="0" w:color="D9E2EC"/>
          <w:insideH w:val="single" w:sz="8" w:space="0" w:color="D9E2EC"/>
          <w:insideV w:val="single" w:sz="8" w:space="0" w:color="D9E2EC"/>
        </w:tblBorders>
      </w:tblPr>
      <w:tblGrid>
        <w:gridCol w:w="4997"/>
        <w:gridCol w:w="4997"/>
      </w:tblGrid>
      <w:tr>
        <w:tc>
          <w:tcPr>
            <w:tcW w:type="dxa" w:w="4997"/>
            <w:shd w:fill="D9EAF7"/>
          </w:tcPr>
          <w:p>
            <w:r>
              <w:rPr>
                <w:b/>
              </w:rPr>
              <w:t>Mapped Prediction</w:t>
            </w:r>
          </w:p>
        </w:tc>
        <w:tc>
          <w:tcPr>
            <w:tcW w:type="dxa" w:w="4997"/>
            <w:shd w:fill="D9EAF7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997"/>
            <w:vAlign w:val="center"/>
          </w:tcPr>
          <w:p>
            <w:r>
              <w:t>unknown</w:t>
            </w:r>
          </w:p>
        </w:tc>
        <w:tc>
          <w:tcPr>
            <w:tcW w:type="dxa" w:w="4997"/>
            <w:vAlign w:val="center"/>
          </w:tcPr>
          <w:p>
            <w:r>
              <w:t>24</w:t>
            </w:r>
          </w:p>
        </w:tc>
      </w:tr>
      <w:tr>
        <w:tc>
          <w:tcPr>
            <w:tcW w:type="dxa" w:w="4997"/>
            <w:vAlign w:val="center"/>
          </w:tcPr>
          <w:p>
            <w:r>
              <w:t>american bulldog</w:t>
            </w:r>
          </w:p>
        </w:tc>
        <w:tc>
          <w:tcPr>
            <w:tcW w:type="dxa" w:w="4997"/>
            <w:vAlign w:val="center"/>
          </w:tcPr>
          <w:p>
            <w:r>
              <w:t>22</w:t>
            </w:r>
          </w:p>
        </w:tc>
      </w:tr>
      <w:tr>
        <w:tc>
          <w:tcPr>
            <w:tcW w:type="dxa" w:w="4997"/>
            <w:vAlign w:val="center"/>
          </w:tcPr>
          <w:p>
            <w:r>
              <w:t>abyssinian</w:t>
            </w:r>
          </w:p>
        </w:tc>
        <w:tc>
          <w:tcPr>
            <w:tcW w:type="dxa" w:w="4997"/>
            <w:vAlign w:val="center"/>
          </w:tcPr>
          <w:p>
            <w:r>
              <w:t>15</w:t>
            </w:r>
          </w:p>
        </w:tc>
      </w:tr>
      <w:tr>
        <w:tc>
          <w:tcPr>
            <w:tcW w:type="dxa" w:w="4997"/>
            <w:vAlign w:val="center"/>
          </w:tcPr>
          <w:p>
            <w:r>
              <w:t>shiba inu</w:t>
            </w:r>
          </w:p>
        </w:tc>
        <w:tc>
          <w:tcPr>
            <w:tcW w:type="dxa" w:w="4997"/>
            <w:vAlign w:val="center"/>
          </w:tcPr>
          <w:p>
            <w:r>
              <w:t>14</w:t>
            </w:r>
          </w:p>
        </w:tc>
      </w:tr>
      <w:tr>
        <w:tc>
          <w:tcPr>
            <w:tcW w:type="dxa" w:w="4997"/>
            <w:vAlign w:val="center"/>
          </w:tcPr>
          <w:p>
            <w:r>
              <w:t>persian</w:t>
            </w:r>
          </w:p>
        </w:tc>
        <w:tc>
          <w:tcPr>
            <w:tcW w:type="dxa" w:w="4997"/>
            <w:vAlign w:val="center"/>
          </w:tcPr>
          <w:p>
            <w:r>
              <w:t>12</w:t>
            </w:r>
          </w:p>
        </w:tc>
      </w:tr>
      <w:tr>
        <w:tc>
          <w:tcPr>
            <w:tcW w:type="dxa" w:w="4997"/>
            <w:vAlign w:val="center"/>
          </w:tcPr>
          <w:p>
            <w:r>
              <w:t>english setter</w:t>
            </w:r>
          </w:p>
        </w:tc>
        <w:tc>
          <w:tcPr>
            <w:tcW w:type="dxa" w:w="4997"/>
            <w:vAlign w:val="center"/>
          </w:tcPr>
          <w:p>
            <w:r>
              <w:t>11</w:t>
            </w:r>
          </w:p>
        </w:tc>
      </w:tr>
      <w:tr>
        <w:tc>
          <w:tcPr>
            <w:tcW w:type="dxa" w:w="4997"/>
            <w:vAlign w:val="center"/>
          </w:tcPr>
          <w:p>
            <w:r>
              <w:t>american pit bull terrier</w:t>
            </w:r>
          </w:p>
        </w:tc>
        <w:tc>
          <w:tcPr>
            <w:tcW w:type="dxa" w:w="4997"/>
            <w:vAlign w:val="center"/>
          </w:tcPr>
          <w:p>
            <w:r>
              <w:t>10</w:t>
            </w:r>
          </w:p>
        </w:tc>
      </w:tr>
      <w:tr>
        <w:tc>
          <w:tcPr>
            <w:tcW w:type="dxa" w:w="4997"/>
            <w:vAlign w:val="center"/>
          </w:tcPr>
          <w:p>
            <w:r>
              <w:t>english cocker spaniel</w:t>
            </w:r>
          </w:p>
        </w:tc>
        <w:tc>
          <w:tcPr>
            <w:tcW w:type="dxa" w:w="4997"/>
            <w:vAlign w:val="center"/>
          </w:tcPr>
          <w:p>
            <w:r>
              <w:t>9</w:t>
            </w:r>
          </w:p>
        </w:tc>
      </w:tr>
    </w:tbl>
    <w:p/>
    <w:p>
      <w:pPr>
        <w:pStyle w:val="Heading1"/>
        <w:spacing w:before="240" w:after="100"/>
      </w:pPr>
      <w:r>
        <w:t>Recommendation</w:t>
      </w:r>
    </w:p>
    <w:p>
      <w:pPr>
        <w:pStyle w:val="ListBullet"/>
      </w:pPr>
      <w:r>
        <w:t>Use DINOv2-small as the baseline model for fixed Oxford-IIIT Pets breed classification.</w:t>
      </w:r>
    </w:p>
    <w:p>
      <w:pPr>
        <w:pStyle w:val="ListBullet"/>
      </w:pPr>
      <w:r>
        <w:t>Continue SmolVLM only if the target experience needs natural-language question answering, explanations, or multimodal conversation rather than only label prediction.</w:t>
      </w:r>
    </w:p>
    <w:p>
      <w:pPr>
        <w:pStyle w:val="ListBullet"/>
      </w:pPr>
      <w:r>
        <w:t>For the next SmolVLM experiment, constrain output to one breed label, increase the fine-tuning sample count, evaluate on the same 500-image test subset, and report both exact text-match accuracy and mapped-label accuracy.</w:t>
      </w:r>
    </w:p>
    <w:p>
      <w:pPr>
        <w:pStyle w:val="Heading1"/>
        <w:spacing w:before="240" w:after="100"/>
      </w:pPr>
      <w:r>
        <w:t>Source Artifacts Used</w:t>
      </w:r>
    </w:p>
    <w:p>
      <w:r>
        <w:t>Used exports: model-level summary CSV, SmolVLM row-level predictions CSV, DINOv2 row-level predictions CSV, dataset/model metadata JSON, and the exported DINOv2 confusion-matrix PNG.</w:t>
      </w:r>
    </w:p>
    <w:p>
      <w:pPr>
        <w:sectPr>
          <w:pgSz w:w="12240" w:h="15840"/>
          <w:pgMar w:top="1037" w:right="1123" w:bottom="1037" w:left="1123" w:header="720" w:footer="720" w:gutter="0"/>
          <w:cols w:space="720"/>
          <w:docGrid w:linePitch="360"/>
        </w:sectPr>
      </w:pPr>
    </w:p>
    <w:p>
      <w:pPr>
        <w:pStyle w:val="Heading1"/>
        <w:spacing w:before="240" w:after="100"/>
      </w:pPr>
      <w:r>
        <w:t>Appendix: DINOv2 Confusion Matrix</w:t>
      </w:r>
    </w:p>
    <w:p>
      <w:r>
        <w:t>The exported confusion matrix shows DINOv2 errors concentrated in visually similar pet breeds while preserving a strong diagonal overall.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52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molvlm_dino_comparison_kaggle (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4A6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7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4A6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