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jc w:val="center"/>
      </w:pPr>
      <w:r>
        <w:drawing>
          <wp:inline xmlns:a="http://schemas.openxmlformats.org/drawingml/2006/main" xmlns:pic="http://schemas.openxmlformats.org/drawingml/2006/picture">
            <wp:extent cx="3017520" cy="1056769"/>
            <wp:docPr id="2" name="Picture 2"/>
            <wp:cNvGraphicFramePr>
              <a:graphicFrameLocks noChangeAspect="1"/>
            </wp:cNvGraphicFramePr>
            <a:graphic>
              <a:graphicData uri="http://schemas.openxmlformats.org/drawingml/2006/picture">
                <pic:pic>
                  <pic:nvPicPr>
                    <pic:cNvPr id="0" name="img_00.jpg"/>
                    <pic:cNvPicPr/>
                  </pic:nvPicPr>
                  <pic:blipFill>
                    <a:blip r:embed="rId46"/>
                    <a:stretch>
                      <a:fillRect/>
                    </a:stretch>
                  </pic:blipFill>
                  <pic:spPr>
                    <a:xfrm>
                      <a:off x="0" y="0"/>
                      <a:ext cx="3017520" cy="1056769"/>
                    </a:xfrm>
                    <a:prstGeom prst="rect"/>
                  </pic:spPr>
                </pic:pic>
              </a:graphicData>
            </a:graphic>
          </wp:inline>
        </w:drawing>
      </w:r>
    </w:p>
    <w:p>
      <w:pPr>
        <w:spacing w:after="40" w:before="0" w:line="360" w:lineRule="auto"/>
        <w:jc w:val="center"/>
      </w:pPr>
      <w:r/>
      <w:r>
        <w:rPr>
          <w:rFonts w:ascii="Times New Roman" w:hAnsi="Times New Roman"/>
          <w:b/>
          <w:i w:val="0"/>
          <w:sz w:val="26"/>
        </w:rPr>
        <w:t>PREDICTIVE ANALYSIS</w:t>
      </w:r>
    </w:p>
    <w:p>
      <w:pPr>
        <w:spacing w:after="40" w:before="0" w:line="360" w:lineRule="auto"/>
        <w:jc w:val="center"/>
      </w:pPr>
      <w:r/>
      <w:r>
        <w:rPr>
          <w:rFonts w:ascii="Times New Roman" w:hAnsi="Times New Roman"/>
          <w:b/>
          <w:i w:val="0"/>
          <w:sz w:val="26"/>
        </w:rPr>
        <w:t>PROJECT REPORT</w:t>
      </w:r>
    </w:p>
    <w:p>
      <w:pPr>
        <w:spacing w:after="360" w:before="0" w:line="360" w:lineRule="auto"/>
        <w:jc w:val="center"/>
      </w:pPr>
      <w:r/>
      <w:r>
        <w:rPr>
          <w:rFonts w:ascii="Times New Roman" w:hAnsi="Times New Roman"/>
          <w:b w:val="0"/>
          <w:i w:val="0"/>
          <w:sz w:val="24"/>
        </w:rPr>
        <w:t>(Project Semester: August – December 2026)</w:t>
      </w:r>
    </w:p>
    <w:p>
      <w:pPr>
        <w:spacing w:after="0" w:before="0" w:line="360" w:lineRule="auto"/>
      </w:pPr>
      <w:r>
        <w:rPr>
          <w:rFonts w:ascii="Times New Roman" w:cs="Times New Roman" w:eastAsia="Times New Roman" w:hAnsi="Times New Roman"/>
        </w:rPr>
        <w:t xml:space="preserve"/>
      </w:r>
    </w:p>
    <w:p>
      <w:pPr>
        <w:spacing w:after="360" w:before="120" w:line="360" w:lineRule="auto"/>
        <w:jc w:val="center"/>
      </w:pPr>
      <w:r/>
      <w:r>
        <w:rPr>
          <w:rFonts w:ascii="Times New Roman" w:hAnsi="Times New Roman"/>
          <w:b/>
          <w:sz w:val="36"/>
        </w:rPr>
        <w:t>SALARYSCOPE AI</w:t>
        <w:br/>
      </w:r>
      <w:r>
        <w:rPr>
          <w:rFonts w:ascii="Times New Roman" w:hAnsi="Times New Roman"/>
          <w:b/>
          <w:sz w:val="26"/>
        </w:rPr>
        <w:t>Predicting Developer Compensation and Workflow AI-Tool Adoption Using Statistical Analysis and Machine Learning on the Stack Overflow 2024 Developer Survey</w:t>
      </w:r>
    </w:p>
    <w:p>
      <w:pPr>
        <w:spacing w:after="0" w:before="0" w:line="360" w:lineRule="auto"/>
      </w:pPr>
      <w:r>
        <w:rPr>
          <w:rFonts w:ascii="Times New Roman" w:cs="Times New Roman" w:eastAsia="Times New Roman" w:hAnsi="Times New Roman"/>
        </w:rPr>
        <w:t xml:space="preserve"/>
      </w:r>
    </w:p>
    <w:p>
      <w:pPr>
        <w:spacing w:after="80" w:before="0" w:line="360" w:lineRule="auto"/>
        <w:jc w:val="center"/>
      </w:pPr>
      <w:r/>
      <w:r>
        <w:rPr>
          <w:rFonts w:ascii="Times New Roman" w:hAnsi="Times New Roman"/>
          <w:b w:val="0"/>
          <w:i w:val="0"/>
          <w:sz w:val="24"/>
        </w:rPr>
        <w:t>Submitted by</w:t>
      </w:r>
    </w:p>
    <w:p>
      <w:pPr>
        <w:spacing w:after="40" w:before="0" w:line="360" w:lineRule="auto"/>
        <w:jc w:val="center"/>
      </w:pPr>
      <w:r/>
      <w:r>
        <w:rPr>
          <w:rFonts w:ascii="Times New Roman" w:hAnsi="Times New Roman"/>
          <w:b/>
          <w:i w:val="0"/>
          <w:sz w:val="26"/>
        </w:rPr>
        <w:t>Batchu Girish Kumar</w:t>
      </w:r>
    </w:p>
    <w:p>
      <w:pPr>
        <w:spacing w:after="40" w:before="0" w:line="360" w:lineRule="auto"/>
        <w:jc w:val="center"/>
      </w:pPr>
      <w:r/>
      <w:r>
        <w:rPr>
          <w:rFonts w:ascii="Times New Roman" w:hAnsi="Times New Roman"/>
          <w:b/>
          <w:i w:val="0"/>
          <w:sz w:val="24"/>
        </w:rPr>
        <w:t>Registration No.: 12506951</w:t>
      </w:r>
    </w:p>
    <w:p>
      <w:pPr>
        <w:spacing w:after="40" w:before="0" w:line="360" w:lineRule="auto"/>
        <w:jc w:val="center"/>
      </w:pPr>
      <w:r/>
      <w:r>
        <w:rPr>
          <w:rFonts w:ascii="Times New Roman" w:hAnsi="Times New Roman"/>
          <w:b w:val="0"/>
          <w:i w:val="0"/>
          <w:sz w:val="24"/>
        </w:rPr>
        <w:t>Programme and Section: Bachelor of Technology in Computer Science and Engineering &amp; K2P24QR</w:t>
      </w:r>
    </w:p>
    <w:p>
      <w:pPr>
        <w:spacing w:after="320" w:before="0" w:line="360" w:lineRule="auto"/>
        <w:jc w:val="center"/>
      </w:pPr>
      <w:r/>
      <w:r>
        <w:rPr>
          <w:rFonts w:ascii="Times New Roman" w:hAnsi="Times New Roman"/>
          <w:b w:val="0"/>
          <w:i w:val="0"/>
          <w:sz w:val="24"/>
        </w:rPr>
        <w:t>Course Code: INT234</w:t>
      </w:r>
    </w:p>
    <w:p>
      <w:pPr>
        <w:spacing w:after="80" w:before="0" w:line="360" w:lineRule="auto"/>
        <w:jc w:val="center"/>
      </w:pPr>
      <w:r/>
      <w:r>
        <w:rPr>
          <w:rFonts w:ascii="Times New Roman" w:hAnsi="Times New Roman"/>
          <w:b w:val="0"/>
          <w:i w:val="0"/>
          <w:sz w:val="24"/>
        </w:rPr>
        <w:t>Under the Guidance of</w:t>
      </w:r>
    </w:p>
    <w:p>
      <w:pPr>
        <w:spacing w:after="40" w:before="0" w:line="360" w:lineRule="auto"/>
        <w:jc w:val="center"/>
      </w:pPr>
      <w:r/>
      <w:r>
        <w:rPr>
          <w:rFonts w:ascii="Times New Roman" w:hAnsi="Times New Roman"/>
          <w:b/>
          <w:sz w:val="24"/>
        </w:rPr>
        <w:t>Dr. Mrinalini Rana</w:t>
        <w:br/>
      </w:r>
      <w:r>
        <w:rPr>
          <w:rFonts w:ascii="Times New Roman" w:hAnsi="Times New Roman"/>
          <w:b/>
          <w:sz w:val="24"/>
        </w:rPr>
        <w:t>Assistant Professor (U.Id 22138)</w:t>
      </w:r>
    </w:p>
    <w:p>
      <w:pPr>
        <w:spacing w:after="40" w:before="0" w:line="360" w:lineRule="auto"/>
        <w:jc w:val="center"/>
      </w:pPr>
      <w:r/>
      <w:r>
        <w:rPr>
          <w:rFonts w:ascii="Times New Roman" w:hAnsi="Times New Roman"/>
          <w:b/>
          <w:i w:val="0"/>
          <w:sz w:val="24"/>
        </w:rPr>
        <w:t>Discipline of CSE/IT</w:t>
      </w:r>
    </w:p>
    <w:p>
      <w:pPr>
        <w:spacing w:after="40" w:before="0" w:line="360" w:lineRule="auto"/>
        <w:jc w:val="center"/>
      </w:pPr>
      <w:r/>
      <w:r>
        <w:rPr>
          <w:rFonts w:ascii="Times New Roman" w:hAnsi="Times New Roman"/>
          <w:b/>
          <w:i w:val="0"/>
          <w:sz w:val="24"/>
        </w:rPr>
        <w:t>Lovely School of Computer Science and Engineering</w:t>
      </w:r>
    </w:p>
    <w:p>
      <w:pPr>
        <w:spacing w:after="0" w:before="0" w:line="360" w:lineRule="auto"/>
        <w:jc w:val="center"/>
      </w:pPr>
      <w:r/>
      <w:r>
        <w:rPr>
          <w:rFonts w:ascii="Times New Roman" w:hAnsi="Times New Roman"/>
          <w:b/>
          <w:sz w:val="24"/>
        </w:rPr>
        <w:t>Lovely Professional University, Phagwara</w:t>
        <w:br/>
      </w:r>
      <w:r>
        <w:rPr>
          <w:rFonts w:ascii="Times New Roman" w:hAnsi="Times New Roman"/>
          <w:b/>
          <w:sz w:val="24"/>
        </w:rPr>
        <w:t>Punjab, India – 144411</w:t>
      </w:r>
    </w:p>
    <w:p>
      <w:pPr>
        <w:sectPr>
          <w:pgSz w:w="11906" w:h="16838" w:orient="portrait"/>
          <w:pgMar w:top="1440" w:right="1440" w:bottom="1440" w:left="1440" w:header="708" w:footer="708" w:gutter="0"/>
          <w:pgNumType/>
          <w:docGrid w:linePitch="360"/>
        </w:sectPr>
      </w:pPr>
    </w:p>
    <w:p>
      <w:pPr>
        <w:pStyle w:val="FrontHeading"/>
        <w:jc w:val="center"/>
      </w:pPr>
      <w:r>
        <w:rPr>
          <w:rFonts w:ascii="Times New Roman" w:cs="Times New Roman" w:eastAsia="Times New Roman" w:hAnsi="Times New Roman"/>
        </w:rPr>
        <w:t xml:space="preserve">DECLARATION</w:t>
      </w:r>
    </w:p>
    <w:p>
      <w:pPr>
        <w:spacing w:after="240" w:before="0" w:line="360" w:lineRule="auto"/>
        <w:jc w:val="both"/>
      </w:pPr>
      <w:r/>
      <w:r>
        <w:rPr>
          <w:rFonts w:ascii="Times New Roman" w:hAnsi="Times New Roman"/>
          <w:b w:val="0"/>
          <w:i w:val="0"/>
          <w:sz w:val="24"/>
        </w:rPr>
        <w:t>I, Batchu Girish Kumar, student of Bachelor of Technology in Computer Science and Engineering under CSE/IT Discipline at Lovely Professional University, Punjab, hereby declare that all the information furnished in this project report is based on my own intensive work and is genuine.</w:t>
      </w:r>
    </w:p>
    <w:p>
      <w:pPr>
        <w:spacing w:after="0" w:before="0" w:line="360" w:lineRule="auto"/>
      </w:pPr>
      <w:r>
        <w:rPr>
          <w:rFonts w:ascii="Times New Roman" w:cs="Times New Roman" w:eastAsia="Times New Roman" w:hAnsi="Times New Roman"/>
        </w:rPr>
        <w:t xml:space="preserve"/>
      </w:r>
    </w:p>
    <w:p>
      <w:pPr>
        <w:spacing w:after="0" w:before="0" w:line="360" w:lineRule="auto"/>
      </w:pPr>
    </w:p>
    <w:p>
      <w:pPr>
        <w:spacing w:after="0" w:before="0" w:line="360" w:lineRule="auto"/>
      </w:pPr>
    </w:p>
    <w:p>
      <w:pPr>
        <w:spacing w:after="40" w:before="0" w:line="360" w:lineRule="auto"/>
        <w:jc w:val="left"/>
      </w:pPr>
      <w:r/>
      <w:r>
        <w:rPr>
          <w:rFonts w:ascii="Times New Roman" w:hAnsi="Times New Roman"/>
          <w:b w:val="0"/>
          <w:i w:val="0"/>
          <w:sz w:val="24"/>
        </w:rPr>
        <w:t>Date: 31-10-2026</w:t>
        <w:tab/>
        <w:tab/>
        <w:tab/>
        <w:tab/>
        <w:tab/>
        <w:tab/>
        <w:t>Signature: Batchu Girish Kumar</w:t>
      </w:r>
    </w:p>
    <w:p>
      <w:pPr>
        <w:spacing w:after="240" w:before="0" w:line="360" w:lineRule="auto"/>
        <w:jc w:val="left"/>
      </w:pPr>
      <w:r/>
      <w:r>
        <w:rPr>
          <w:rFonts w:ascii="Times New Roman" w:hAnsi="Times New Roman"/>
          <w:b w:val="0"/>
          <w:i w:val="0"/>
          <w:sz w:val="24"/>
        </w:rPr>
        <w:t>Registration No. 12506951</w:t>
        <w:tab/>
        <w:tab/>
        <w:tab/>
        <w:tab/>
        <w:t>Name of the student: Batchu Girish Kumar</w:t>
      </w:r>
    </w:p>
    <w:p>
      <w:pPr>
        <w:pStyle w:val="FrontHeading"/>
        <w:pageBreakBefore/>
        <w:jc w:val="center"/>
      </w:pPr>
      <w:r>
        <w:rPr>
          <w:rFonts w:ascii="Times New Roman" w:cs="Times New Roman" w:eastAsia="Times New Roman" w:hAnsi="Times New Roman"/>
        </w:rPr>
        <w:t xml:space="preserve">CERTIFICATE</w:t>
      </w:r>
    </w:p>
    <w:p>
      <w:pPr>
        <w:spacing w:after="360" w:before="0" w:line="360" w:lineRule="auto"/>
        <w:jc w:val="both"/>
      </w:pPr>
      <w:r/>
      <w:r>
        <w:rPr>
          <w:rFonts w:ascii="Times New Roman" w:hAnsi="Times New Roman"/>
          <w:b w:val="0"/>
          <w:i w:val="0"/>
          <w:sz w:val="24"/>
        </w:rPr>
        <w:t>This is to certify that Batchu Girish Kumar bearing Registration no. 12506951 has completed INT234 project titled, “SalaryScope AI: Predicting Developer Compensation and AI-Tool Adoption Using Statistical Analysis and Machine Learning” under my guidance and supervision. To the best of my knowledge, the present work is the result of his/her original development, effort and study.</w:t>
      </w:r>
    </w:p>
    <w:p>
      <w:pPr>
        <w:spacing w:after="0" w:before="0" w:line="360" w:lineRule="auto"/>
      </w:pPr>
      <w:r>
        <w:rPr>
          <w:rFonts w:ascii="Times New Roman" w:cs="Times New Roman" w:eastAsia="Times New Roman" w:hAnsi="Times New Roman"/>
        </w:rPr>
        <w:t xml:space="preserve"/>
      </w:r>
    </w:p>
    <w:p>
      <w:pPr>
        <w:spacing w:after="0" w:before="0" w:line="360" w:lineRule="auto"/>
      </w:pPr>
    </w:p>
    <w:p>
      <w:pPr>
        <w:spacing w:after="0" w:before="0" w:line="360" w:lineRule="auto"/>
      </w:pPr>
    </w:p>
    <w:p>
      <w:pPr>
        <w:spacing w:after="40" w:before="0" w:line="360" w:lineRule="auto"/>
        <w:jc w:val="left"/>
      </w:pPr>
      <w:r/>
      <w:r>
        <w:rPr>
          <w:rFonts w:ascii="Times New Roman" w:hAnsi="Times New Roman"/>
          <w:b/>
          <w:i w:val="0"/>
          <w:sz w:val="24"/>
        </w:rPr>
        <w:t>Dr. Mrinalini Rana</w:t>
      </w:r>
    </w:p>
    <w:p>
      <w:pPr>
        <w:spacing w:after="40" w:before="0" w:line="360" w:lineRule="auto"/>
        <w:jc w:val="left"/>
      </w:pPr>
      <w:r/>
      <w:r>
        <w:rPr>
          <w:rFonts w:ascii="Times New Roman" w:hAnsi="Times New Roman"/>
          <w:b/>
          <w:i w:val="0"/>
          <w:sz w:val="24"/>
        </w:rPr>
        <w:t>Assistant Professor (U.Id 22138)</w:t>
      </w:r>
    </w:p>
    <w:p>
      <w:pPr>
        <w:spacing w:after="40" w:before="0" w:line="360" w:lineRule="auto"/>
        <w:jc w:val="left"/>
      </w:pPr>
      <w:r/>
      <w:r>
        <w:rPr>
          <w:rFonts w:ascii="Times New Roman" w:hAnsi="Times New Roman"/>
          <w:b/>
          <w:i w:val="0"/>
          <w:sz w:val="24"/>
        </w:rPr>
        <w:t>Lovely School of Computer Science and Engineering</w:t>
      </w:r>
    </w:p>
    <w:p>
      <w:pPr>
        <w:spacing w:after="40" w:before="0" w:line="360" w:lineRule="auto"/>
        <w:jc w:val="left"/>
      </w:pPr>
      <w:r/>
      <w:r>
        <w:rPr>
          <w:rFonts w:ascii="Times New Roman" w:hAnsi="Times New Roman"/>
          <w:b w:val="0"/>
          <w:i w:val="0"/>
          <w:sz w:val="24"/>
        </w:rPr>
        <w:t>Lovely Professional University</w:t>
      </w:r>
    </w:p>
    <w:p>
      <w:pPr>
        <w:spacing w:after="40" w:before="0" w:line="360" w:lineRule="auto"/>
        <w:jc w:val="left"/>
      </w:pPr>
      <w:r/>
      <w:r>
        <w:rPr>
          <w:rFonts w:ascii="Times New Roman" w:hAnsi="Times New Roman"/>
          <w:b w:val="0"/>
          <w:i w:val="0"/>
          <w:sz w:val="24"/>
        </w:rPr>
        <w:t>Phagwara, Punjab.</w:t>
      </w:r>
    </w:p>
    <w:p>
      <w:pPr>
        <w:spacing w:after="240" w:before="0" w:line="360" w:lineRule="auto"/>
        <w:jc w:val="left"/>
      </w:pPr>
      <w:r/>
      <w:r>
        <w:rPr>
          <w:rFonts w:ascii="Times New Roman" w:hAnsi="Times New Roman"/>
          <w:b w:val="0"/>
          <w:i w:val="0"/>
          <w:sz w:val="24"/>
        </w:rPr>
        <w:t>Date: 31-10-2026</w:t>
      </w:r>
    </w:p>
    <w:p>
      <w:pPr>
        <w:pStyle w:val="FrontHeading"/>
        <w:pageBreakBefore/>
        <w:jc w:val="center"/>
      </w:pPr>
      <w:r>
        <w:rPr>
          <w:rFonts w:ascii="Times New Roman" w:cs="Times New Roman" w:eastAsia="Times New Roman" w:hAnsi="Times New Roman"/>
        </w:rPr>
        <w:t xml:space="preserve">ACKNOWLEDGEMENT</w:t>
      </w:r>
    </w:p>
    <w:p>
      <w:pPr>
        <w:spacing w:after="200" w:before="0" w:line="360" w:lineRule="auto"/>
        <w:jc w:val="both"/>
      </w:pPr>
      <w:r/>
      <w:r>
        <w:rPr>
          <w:rFonts w:ascii="Times New Roman" w:hAnsi="Times New Roman"/>
          <w:b w:val="0"/>
          <w:i w:val="0"/>
          <w:sz w:val="24"/>
        </w:rPr>
        <w:t>I express my sincere gratitude to my faculty coordinator, Dr. Mrinalini Rana, Lovely Professional University, for the guidance, encouragement and constructive feedback that shaped this project from the choice of problem to the final analysis. I also thank the School and the Discipline of CSE/IT for providing the academic environment and the course framework in which this work was carried out.</w:t>
      </w:r>
    </w:p>
    <w:p>
      <w:pPr>
        <w:spacing w:after="120" w:before="0" w:line="360" w:lineRule="auto"/>
        <w:jc w:val="both"/>
      </w:pPr>
      <w:r>
        <w:rPr>
          <w:rFonts w:ascii="Times New Roman" w:cs="Times New Roman" w:eastAsia="Times New Roman" w:hAnsi="Times New Roman"/>
        </w:rPr>
        <w:t xml:space="preserve">I thank Stack Overflow for conducting the Annual Developer Survey and releasing the anonymised results under an open licence, and Havisha Khurana and the TidyTuesday community (R4DS Online Learning Community) for curating and publicly hosting the extract used here. I also acknowledge the authors and maintainers of the open-source Python ecosystem — NumPy, pandas, SciPy, statsmodels, scikit-learn, LightGBM, SHAP, Matplotlib and Seaborn — on which every analysis in this report is built.</w:t>
      </w:r>
    </w:p>
    <w:p>
      <w:pPr>
        <w:spacing w:after="240" w:before="0" w:line="360" w:lineRule="auto"/>
        <w:jc w:val="both"/>
      </w:pPr>
      <w:r/>
      <w:r>
        <w:rPr>
          <w:rFonts w:ascii="Times New Roman" w:hAnsi="Times New Roman"/>
          <w:sz w:val="24"/>
        </w:rPr>
        <w:t>Finally, I thank my family and friends for their patience, encouragement and constant support during the preparation of this report.</w:t>
        <w:br/>
        <w:br/>
        <w:t>Batchu Girish Kumar</w:t>
        <w:br/>
        <w:t>Date: 31-10-2026</w:t>
        <w:br/>
        <w:t>Registration No.: 12506951</w:t>
      </w:r>
    </w:p>
    <w:p>
      <w:pPr>
        <w:pStyle w:val="FrontHeading"/>
        <w:pageBreakBefore/>
        <w:jc w:val="center"/>
      </w:pPr>
      <w:r>
        <w:rPr>
          <w:rFonts w:ascii="Times New Roman" w:cs="Times New Roman" w:eastAsia="Times New Roman" w:hAnsi="Times New Roman"/>
        </w:rPr>
        <w:t xml:space="preserve">TABLE OF CONTENTS</w:t>
      </w:r>
    </w:p>
    <w:sdt>
      <w:sdtPr>
        <w:alias w:val="Table of Contents"/>
      </w:sdtPr>
      <w:sdtContent>
        <w:p>
          <w:pPr>
            <w:pStyle w:val="TOC1"/>
            <w:tabs>
              <w:tab w:val="right" w:leader="dot" w:pos="9016"/>
            </w:tabs>
          </w:pPr>
          <w:r>
            <w:fldChar w:fldCharType="begin"/>
            <w:instrText xml:space="preserve">TOC \h \o "1-2"</w:instrText>
            <w:fldChar w:fldCharType="separate"/>
          </w:r>
          <w:r>
            <w:t xml:space="preserve">1. Introduction</w:t>
          </w:r>
          <w:r>
            <w:tab/>
          </w:r>
          <w:r>
            <w:t>1</w:t>
          </w:r>
        </w:p>
        <w:p>
          <w:pPr>
            <w:pStyle w:val="TOC2"/>
            <w:tabs>
              <w:tab w:val="right" w:leader="dot" w:pos="9016"/>
            </w:tabs>
          </w:pPr>
          <w:r>
            <w:t xml:space="preserve">1.1 Background and motivation</w:t>
          </w:r>
          <w:r>
            <w:tab/>
          </w:r>
          <w:r>
            <w:t>1</w:t>
          </w:r>
        </w:p>
        <w:p>
          <w:pPr>
            <w:pStyle w:val="TOC2"/>
            <w:tabs>
              <w:tab w:val="right" w:leader="dot" w:pos="9016"/>
            </w:tabs>
          </w:pPr>
          <w:r>
            <w:t xml:space="preserve">1.2 Problem statement</w:t>
          </w:r>
          <w:r>
            <w:tab/>
          </w:r>
          <w:r>
            <w:t>1</w:t>
          </w:r>
        </w:p>
        <w:p>
          <w:pPr>
            <w:pStyle w:val="TOC2"/>
            <w:tabs>
              <w:tab w:val="right" w:leader="dot" w:pos="9016"/>
            </w:tabs>
          </w:pPr>
          <w:r>
            <w:t xml:space="preserve">1.3 Why this topic is relevant to a student in India</w:t>
          </w:r>
          <w:r>
            <w:tab/>
          </w:r>
          <w:r>
            <w:t>1</w:t>
          </w:r>
        </w:p>
        <w:p>
          <w:pPr>
            <w:pStyle w:val="TOC2"/>
            <w:tabs>
              <w:tab w:val="right" w:leader="dot" w:pos="9016"/>
            </w:tabs>
          </w:pPr>
          <w:r>
            <w:t xml:space="preserve">1.4 Objectives</w:t>
          </w:r>
          <w:r>
            <w:tab/>
          </w:r>
          <w:r>
            <w:t>2</w:t>
          </w:r>
        </w:p>
        <w:p>
          <w:pPr>
            <w:pStyle w:val="TOC2"/>
            <w:tabs>
              <w:tab w:val="right" w:leader="dot" w:pos="9016"/>
            </w:tabs>
          </w:pPr>
          <w:r>
            <w:t xml:space="preserve">1.5 Objective-to-analysis mapping</w:t>
          </w:r>
          <w:r>
            <w:tab/>
          </w:r>
          <w:r>
            <w:t>2</w:t>
          </w:r>
        </w:p>
        <w:p>
          <w:pPr>
            <w:pStyle w:val="TOC2"/>
            <w:tabs>
              <w:tab w:val="right" w:leader="dot" w:pos="9016"/>
            </w:tabs>
          </w:pPr>
          <w:r>
            <w:t xml:space="preserve">1.6 Tools, technologies and deliverables</w:t>
          </w:r>
          <w:r>
            <w:tab/>
          </w:r>
          <w:r>
            <w:t>3</w:t>
          </w:r>
        </w:p>
        <w:p>
          <w:pPr>
            <w:pStyle w:val="TOC2"/>
            <w:tabs>
              <w:tab w:val="right" w:leader="dot" w:pos="9016"/>
            </w:tabs>
          </w:pPr>
          <w:r>
            <w:t xml:space="preserve">1.7 Organisation of the report</w:t>
          </w:r>
          <w:r>
            <w:tab/>
          </w:r>
          <w:r>
            <w:t>3</w:t>
          </w:r>
        </w:p>
        <w:p>
          <w:pPr>
            <w:pStyle w:val="TOC1"/>
            <w:tabs>
              <w:tab w:val="right" w:leader="dot" w:pos="9016"/>
            </w:tabs>
          </w:pPr>
          <w:r>
            <w:t xml:space="preserve">2. Source of Dataset</w:t>
          </w:r>
          <w:r>
            <w:tab/>
          </w:r>
          <w:r>
            <w:t>4</w:t>
          </w:r>
        </w:p>
        <w:p>
          <w:pPr>
            <w:pStyle w:val="TOC2"/>
            <w:tabs>
              <w:tab w:val="right" w:leader="dot" w:pos="9016"/>
            </w:tabs>
          </w:pPr>
          <w:r>
            <w:t xml:space="preserve">2.1 Dataset selection process</w:t>
          </w:r>
          <w:r>
            <w:tab/>
          </w:r>
          <w:r>
            <w:t>4</w:t>
          </w:r>
        </w:p>
        <w:p>
          <w:pPr>
            <w:pStyle w:val="TOC2"/>
            <w:tabs>
              <w:tab w:val="right" w:leader="dot" w:pos="9016"/>
            </w:tabs>
          </w:pPr>
          <w:r>
            <w:t xml:space="preserve">2.2 Provenance and licence</w:t>
          </w:r>
          <w:r>
            <w:tab/>
          </w:r>
          <w:r>
            <w:t>4</w:t>
          </w:r>
        </w:p>
        <w:p>
          <w:pPr>
            <w:pStyle w:val="TOC2"/>
            <w:tabs>
              <w:tab w:val="right" w:leader="dot" w:pos="9016"/>
            </w:tabs>
          </w:pPr>
          <w:r>
            <w:t xml:space="preserve">2.3 Structure and data dictionary</w:t>
          </w:r>
          <w:r>
            <w:tab/>
          </w:r>
          <w:r>
            <w:t>5</w:t>
          </w:r>
        </w:p>
        <w:p>
          <w:pPr>
            <w:pStyle w:val="TOC2"/>
            <w:tabs>
              <w:tab w:val="right" w:leader="dot" w:pos="9016"/>
            </w:tabs>
          </w:pPr>
          <w:r>
            <w:t xml:space="preserve">2.4 Known limitations of the source</w:t>
          </w:r>
          <w:r>
            <w:tab/>
          </w:r>
          <w:r>
            <w:t>6</w:t>
          </w:r>
        </w:p>
        <w:p>
          <w:pPr>
            <w:pStyle w:val="TOC1"/>
            <w:tabs>
              <w:tab w:val="right" w:leader="dot" w:pos="9016"/>
            </w:tabs>
          </w:pPr>
          <w:r>
            <w:t xml:space="preserve">3. EDA Process</w:t>
          </w:r>
          <w:r>
            <w:tab/>
          </w:r>
          <w:r>
            <w:t>7</w:t>
          </w:r>
        </w:p>
        <w:p>
          <w:pPr>
            <w:pStyle w:val="TOC2"/>
            <w:tabs>
              <w:tab w:val="right" w:leader="dot" w:pos="9016"/>
            </w:tabs>
          </w:pPr>
          <w:r>
            <w:t xml:space="preserve">3.1 Data inspection</w:t>
          </w:r>
          <w:r>
            <w:tab/>
          </w:r>
          <w:r>
            <w:t>7</w:t>
          </w:r>
        </w:p>
        <w:p>
          <w:pPr>
            <w:pStyle w:val="TOC2"/>
            <w:tabs>
              <w:tab w:val="right" w:leader="dot" w:pos="9016"/>
            </w:tabs>
          </w:pPr>
          <w:r>
            <w:t xml:space="preserve">3.2 Data-quality assessment</w:t>
          </w:r>
          <w:r>
            <w:tab/>
          </w:r>
          <w:r>
            <w:t>7</w:t>
          </w:r>
        </w:p>
        <w:p>
          <w:pPr>
            <w:pStyle w:val="TOC2"/>
            <w:tabs>
              <w:tab w:val="right" w:leader="dot" w:pos="9016"/>
            </w:tabs>
          </w:pPr>
          <w:r>
            <w:t xml:space="preserve">3.3 Cleaning policy and cohort construction</w:t>
          </w:r>
          <w:r>
            <w:tab/>
          </w:r>
          <w:r>
            <w:t>10</w:t>
          </w:r>
        </w:p>
        <w:p>
          <w:pPr>
            <w:pStyle w:val="TOC2"/>
            <w:tabs>
              <w:tab w:val="right" w:leader="dot" w:pos="9016"/>
            </w:tabs>
          </w:pPr>
          <w:r>
            <w:t xml:space="preserve">3.4 Univariate exploration</w:t>
          </w:r>
          <w:r>
            <w:tab/>
          </w:r>
          <w:r>
            <w:t>11</w:t>
          </w:r>
        </w:p>
        <w:p>
          <w:pPr>
            <w:pStyle w:val="TOC2"/>
            <w:tabs>
              <w:tab w:val="right" w:leader="dot" w:pos="9016"/>
            </w:tabs>
          </w:pPr>
          <w:r>
            <w:t xml:space="preserve">3.5 Group comparisons</w:t>
          </w:r>
          <w:r>
            <w:tab/>
          </w:r>
          <w:r>
            <w:t>12</w:t>
          </w:r>
        </w:p>
        <w:p>
          <w:pPr>
            <w:pStyle w:val="TOC2"/>
            <w:tabs>
              <w:tab w:val="right" w:leader="dot" w:pos="9016"/>
            </w:tabs>
          </w:pPr>
          <w:r>
            <w:t xml:space="preserve">3.6 Correlation and association analysis</w:t>
          </w:r>
          <w:r>
            <w:tab/>
          </w:r>
          <w:r>
            <w:t>13</w:t>
          </w:r>
        </w:p>
        <w:p>
          <w:pPr>
            <w:pStyle w:val="TOC2"/>
            <w:tabs>
              <w:tab w:val="right" w:leader="dot" w:pos="9016"/>
            </w:tabs>
          </w:pPr>
          <w:r>
            <w:t xml:space="preserve">3.7 Distributional assumptions</w:t>
          </w:r>
          <w:r>
            <w:tab/>
          </w:r>
          <w:r>
            <w:t>14</w:t>
          </w:r>
        </w:p>
        <w:p>
          <w:pPr>
            <w:pStyle w:val="TOC2"/>
            <w:tabs>
              <w:tab w:val="right" w:leader="dot" w:pos="9016"/>
            </w:tabs>
          </w:pPr>
          <w:r>
            <w:t xml:space="preserve">3.8 Feature engineering</w:t>
          </w:r>
          <w:r>
            <w:tab/>
          </w:r>
          <w:r>
            <w:t>15</w:t>
          </w:r>
        </w:p>
        <w:p>
          <w:pPr>
            <w:pStyle w:val="TOC2"/>
            <w:tabs>
              <w:tab w:val="right" w:leader="dot" w:pos="9016"/>
            </w:tabs>
          </w:pPr>
          <w:r>
            <w:t xml:space="preserve">3.9 Leakage prevention and data splitting</w:t>
          </w:r>
          <w:r>
            <w:tab/>
          </w:r>
          <w:r>
            <w:t>16</w:t>
          </w:r>
        </w:p>
        <w:p>
          <w:pPr>
            <w:pStyle w:val="TOC2"/>
            <w:tabs>
              <w:tab w:val="right" w:leader="dot" w:pos="9016"/>
            </w:tabs>
          </w:pPr>
          <w:r>
            <w:t xml:space="preserve">3.10 Summary of EDA decisions</w:t>
          </w:r>
          <w:r>
            <w:tab/>
          </w:r>
          <w:r>
            <w:t>16</w:t>
          </w:r>
        </w:p>
        <w:p>
          <w:pPr>
            <w:pStyle w:val="TOC1"/>
            <w:tabs>
              <w:tab w:val="right" w:leader="dot" w:pos="9016"/>
            </w:tabs>
          </w:pPr>
          <w:r>
            <w:t xml:space="preserve">4. Analysis on Dataset</w:t>
          </w:r>
          <w:r>
            <w:tab/>
          </w:r>
          <w:r>
            <w:t>18</w:t>
          </w:r>
        </w:p>
        <w:p>
          <w:pPr>
            <w:pStyle w:val="TOC2"/>
            <w:tabs>
              <w:tab w:val="right" w:leader="dot" w:pos="9016"/>
            </w:tabs>
          </w:pPr>
          <w:r>
            <w:t xml:space="preserve">4.1 Objective O1 — Geographic compensation inequality and India’s position</w:t>
          </w:r>
          <w:r>
            <w:tab/>
          </w:r>
          <w:r>
            <w:t>18</w:t>
          </w:r>
        </w:p>
        <w:p>
          <w:pPr>
            <w:pStyle w:val="TOC2"/>
            <w:tabs>
              <w:tab w:val="right" w:leader="dot" w:pos="9016"/>
            </w:tabs>
          </w:pPr>
          <w:r>
            <w:t xml:space="preserve">4.2 Objective O2 — The experience premium and diminishing returns</w:t>
          </w:r>
          <w:r>
            <w:tab/>
          </w:r>
          <w:r>
            <w:t>21</w:t>
          </w:r>
        </w:p>
        <w:p>
          <w:pPr>
            <w:pStyle w:val="TOC2"/>
            <w:tabs>
              <w:tab w:val="right" w:leader="dot" w:pos="9016"/>
            </w:tabs>
          </w:pPr>
          <w:r>
            <w:t xml:space="preserve">4.3 Objective O3 — Net effects of role, work arrangement, organisation size and education</w:t>
          </w:r>
          <w:r>
            <w:tab/>
          </w:r>
          <w:r>
            <w:t>24</w:t>
          </w:r>
        </w:p>
        <w:p>
          <w:pPr>
            <w:pStyle w:val="TOC2"/>
            <w:tabs>
              <w:tab w:val="right" w:leader="dot" w:pos="9016"/>
            </w:tabs>
          </w:pPr>
          <w:r>
            <w:t xml:space="preserve">4.4 Objective O4 — Who uses AI tools? The adoption landscape</w:t>
          </w:r>
          <w:r>
            <w:tab/>
          </w:r>
          <w:r>
            <w:t>28</w:t>
          </w:r>
        </w:p>
        <w:p>
          <w:pPr>
            <w:pStyle w:val="TOC2"/>
            <w:tabs>
              <w:tab w:val="right" w:leader="dot" w:pos="9016"/>
            </w:tabs>
          </w:pPr>
          <w:r>
            <w:t xml:space="preserve">4.5 Objective O5 — AI sentiment, trust and job-threat perception</w:t>
          </w:r>
          <w:r>
            <w:tab/>
          </w:r>
          <w:r>
            <w:t>32</w:t>
          </w:r>
        </w:p>
        <w:p>
          <w:pPr>
            <w:pStyle w:val="TOC2"/>
            <w:tabs>
              <w:tab w:val="right" w:leader="dot" w:pos="9016"/>
            </w:tabs>
          </w:pPr>
          <w:r>
            <w:t xml:space="preserve">4.6 Objective O6 — Predicting annual compensation (regression)</w:t>
          </w:r>
          <w:r>
            <w:tab/>
          </w:r>
          <w:r>
            <w:t>36</w:t>
          </w:r>
        </w:p>
        <w:p>
          <w:pPr>
            <w:pStyle w:val="TOC2"/>
            <w:tabs>
              <w:tab w:val="right" w:leader="dot" w:pos="9016"/>
            </w:tabs>
          </w:pPr>
          <w:r>
            <w:t xml:space="preserve">4.7 Objective O7 — Predicting AI-tool adoption (classification)</w:t>
          </w:r>
          <w:r>
            <w:tab/>
          </w:r>
          <w:r>
            <w:t>40</w:t>
          </w:r>
        </w:p>
        <w:p>
          <w:pPr>
            <w:pStyle w:val="TOC2"/>
            <w:tabs>
              <w:tab w:val="right" w:leader="dot" w:pos="9016"/>
            </w:tabs>
          </w:pPr>
          <w:r>
            <w:t xml:space="preserve">4.8 Objective O8 — Explainability and error analysis</w:t>
          </w:r>
          <w:r>
            <w:tab/>
          </w:r>
          <w:r>
            <w:t>43</w:t>
          </w:r>
        </w:p>
        <w:p>
          <w:pPr>
            <w:pStyle w:val="TOC1"/>
            <w:tabs>
              <w:tab w:val="right" w:leader="dot" w:pos="9016"/>
            </w:tabs>
          </w:pPr>
          <w:r>
            <w:t xml:space="preserve">5. Conclusion</w:t>
          </w:r>
          <w:r>
            <w:tab/>
          </w:r>
          <w:r>
            <w:t>50</w:t>
          </w:r>
        </w:p>
        <w:p>
          <w:pPr>
            <w:pStyle w:val="TOC2"/>
            <w:tabs>
              <w:tab w:val="right" w:leader="dot" w:pos="9016"/>
            </w:tabs>
          </w:pPr>
          <w:r>
            <w:t xml:space="preserve">5.1 Summary of findings against the objectives</w:t>
          </w:r>
          <w:r>
            <w:tab/>
          </w:r>
          <w:r>
            <w:t>50</w:t>
          </w:r>
        </w:p>
        <w:p>
          <w:pPr>
            <w:pStyle w:val="TOC2"/>
            <w:tabs>
              <w:tab w:val="right" w:leader="dot" w:pos="9016"/>
            </w:tabs>
          </w:pPr>
          <w:r>
            <w:t xml:space="preserve">5.2 Recommendations</w:t>
          </w:r>
          <w:r>
            <w:tab/>
          </w:r>
          <w:r>
            <w:t>51</w:t>
          </w:r>
        </w:p>
        <w:p>
          <w:pPr>
            <w:pStyle w:val="TOC2"/>
            <w:tabs>
              <w:tab w:val="right" w:leader="dot" w:pos="9016"/>
            </w:tabs>
          </w:pPr>
          <w:r>
            <w:t xml:space="preserve">5.3 Limitations</w:t>
          </w:r>
          <w:r>
            <w:tab/>
          </w:r>
          <w:r>
            <w:t>51</w:t>
          </w:r>
        </w:p>
        <w:p>
          <w:pPr>
            <w:pStyle w:val="TOC1"/>
            <w:tabs>
              <w:tab w:val="right" w:leader="dot" w:pos="9016"/>
            </w:tabs>
          </w:pPr>
          <w:r>
            <w:t xml:space="preserve">6. Future Scope</w:t>
          </w:r>
          <w:r>
            <w:tab/>
          </w:r>
          <w:r>
            <w:t>52</w:t>
          </w:r>
        </w:p>
        <w:p>
          <w:pPr>
            <w:pStyle w:val="TOC1"/>
            <w:tabs>
              <w:tab w:val="right" w:leader="dot" w:pos="9016"/>
            </w:tabs>
          </w:pPr>
          <w:r>
            <w:t xml:space="preserve">7. References</w:t>
          </w:r>
          <w:r>
            <w:tab/>
          </w:r>
          <w:r>
            <w:t>53</w:t>
          </w:r>
          <w:r>
            <w:fldChar w:fldCharType="end"/>
          </w:r>
        </w:p>
      </w:sdtContent>
    </w:sdt>
    <w:p>
      <w:pPr>
        <w:pStyle w:val="FrontHeading"/>
        <w:pageBreakBefore/>
        <w:jc w:val="center"/>
      </w:pPr>
      <w:r>
        <w:rPr>
          <w:rFonts w:ascii="Times New Roman" w:cs="Times New Roman" w:eastAsia="Times New Roman" w:hAnsi="Times New Roman"/>
        </w:rPr>
        <w:t xml:space="preserve">LIST OF FIGURES</w:t>
      </w:r>
    </w:p>
    <w:sdt>
      <w:sdtPr>
        <w:alias w:val="List of Figures"/>
      </w:sdtPr>
      <w:sdtContent>
        <w:p>
          <w:pPr>
            <w:pStyle w:val="TableofFigures"/>
            <w:tabs>
              <w:tab w:val="right" w:leader="dot" w:pos="9016"/>
            </w:tabs>
          </w:pPr>
          <w:r>
            <w:fldChar w:fldCharType="begin"/>
            <w:instrText xml:space="preserve">TOC \h \c "Figure"</w:instrText>
            <w:fldChar w:fldCharType="separate"/>
          </w:r>
          <w:r>
            <w:t xml:space="preserve">Figure 1: Percentage of missing responses per variable (red = more than 30 % missing).</w:t>
          </w:r>
          <w:r>
            <w:tab/>
          </w:r>
          <w:r>
            <w:t>8</w:t>
          </w:r>
        </w:p>
        <w:p>
          <w:pPr>
            <w:pStyle w:val="TableofFigures"/>
            <w:tabs>
              <w:tab w:val="right" w:leader="dot" w:pos="9016"/>
            </w:tabs>
          </w:pPr>
          <w:r>
            <w:t xml:space="preserve">Figure 2: Distribution of annual compensation: heavily right-skewed in USD (a), far less skewed after a log transform (b), with extreme tails visible in (c).</w:t>
          </w:r>
          <w:r>
            <w:tab/>
          </w:r>
          <w:r>
            <w:t>10</w:t>
          </w:r>
        </w:p>
        <w:p>
          <w:pPr>
            <w:pStyle w:val="TableofFigures"/>
            <w:tabs>
              <w:tab w:val="right" w:leader="dot" w:pos="9016"/>
            </w:tabs>
          </w:pPr>
          <w:r>
            <w:t xml:space="preserve">Figure 3: Rows retained at each step of salary-cohort construction.</w:t>
          </w:r>
          <w:r>
            <w:tab/>
          </w:r>
          <w:r>
            <w:t>11</w:t>
          </w:r>
        </w:p>
        <w:p>
          <w:pPr>
            <w:pStyle w:val="TableofFigures"/>
            <w:tabs>
              <w:tab w:val="right" w:leader="dot" w:pos="9016"/>
            </w:tabs>
          </w:pPr>
          <w:r>
            <w:t xml:space="preserve">Figure 4: Univariate profile of the 20,794 professional developers in the salary cohort.</w:t>
          </w:r>
          <w:r>
            <w:tab/>
          </w:r>
          <w:r>
            <w:t>12</w:t>
          </w:r>
        </w:p>
        <w:p>
          <w:pPr>
            <w:pStyle w:val="TableofFigures"/>
            <w:tabs>
              <w:tab w:val="right" w:leader="dot" w:pos="9016"/>
            </w:tabs>
          </w:pPr>
          <w:r>
            <w:t xml:space="preserve">Figure 5: Raw (unadjusted) median compensation by work arrangement, organisation size and education. Country mix confounds these gaps (see O3).</w:t>
          </w:r>
          <w:r>
            <w:tab/>
          </w:r>
          <w:r>
            <w:t>12</w:t>
          </w:r>
        </w:p>
        <w:p>
          <w:pPr>
            <w:pStyle w:val="TableofFigures"/>
            <w:tabs>
              <w:tab w:val="right" w:leader="dot" w:pos="9016"/>
            </w:tabs>
          </w:pPr>
          <w:r>
            <w:t xml:space="preserve">Figure 6: Spearman rank-correlation matrix of numeric and ordinal variables including log-compensation.</w:t>
          </w:r>
          <w:r>
            <w:tab/>
          </w:r>
          <w:r>
            <w:t>13</w:t>
          </w:r>
        </w:p>
        <w:p>
          <w:pPr>
            <w:pStyle w:val="TableofFigures"/>
            <w:tabs>
              <w:tab w:val="right" w:leader="dot" w:pos="9016"/>
            </w:tabs>
          </w:pPr>
          <w:r>
            <w:t xml:space="preserve">Figure 7: Bias-corrected Cramér's V between categorical variables (0 = independent, 1 = perfectly associated).</w:t>
          </w:r>
          <w:r>
            <w:tab/>
          </w:r>
          <w:r>
            <w:t>14</w:t>
          </w:r>
        </w:p>
        <w:p>
          <w:pPr>
            <w:pStyle w:val="TableofFigures"/>
            <w:tabs>
              <w:tab w:val="right" w:leader="dot" w:pos="9016"/>
            </w:tabs>
          </w:pPr>
          <w:r>
            <w:t xml:space="preserve">Figure 8: Q–Q plot of log-salary (a) and country-wise densities (b): log-salary is left-skewed and heavy-tailed rather than normal, with unequal location and spread across countries.</w:t>
          </w:r>
          <w:r>
            <w:tab/>
          </w:r>
          <w:r>
            <w:t>15</w:t>
          </w:r>
        </w:p>
        <w:p>
          <w:pPr>
            <w:pStyle w:val="TableofFigures"/>
            <w:tabs>
              <w:tab w:val="right" w:leader="dot" w:pos="9016"/>
            </w:tabs>
          </w:pPr>
          <w:r>
            <w:t xml:space="preserve">Figure 9: Distribution of annual compensation (USD, log axis) by country, ordered by median. India is highlighted in orange.</w:t>
          </w:r>
          <w:r>
            <w:tab/>
          </w:r>
          <w:r>
            <w:t>20</w:t>
          </w:r>
        </w:p>
        <w:p>
          <w:pPr>
            <w:pStyle w:val="TableofFigures"/>
            <w:tabs>
              <w:tab w:val="right" w:leader="dot" w:pos="9016"/>
            </w:tabs>
          </w:pPr>
          <w:r>
            <w:t xml:space="preserve">Figure 10: Median annual compensation with 95 % bootstrap confidence intervals; labels give the ratio to the USA median.</w:t>
          </w:r>
          <w:r>
            <w:tab/>
          </w:r>
          <w:r>
            <w:t>21</w:t>
          </w:r>
        </w:p>
        <w:p>
          <w:pPr>
            <w:pStyle w:val="TableofFigures"/>
            <w:tabs>
              <w:tab w:val="right" w:leader="dot" w:pos="9016"/>
            </w:tabs>
          </w:pPr>
          <w:r>
            <w:t xml:space="preserve">Figure 11: Relationship between professional experience and pay: hexbin density with LOWESS trend (a) and median pay by experience band for selected countries with 95 % bootstrap CIs (b).</w:t>
          </w:r>
          <w:r>
            <w:tab/>
          </w:r>
          <w:r>
            <w:t>23</w:t>
          </w:r>
        </w:p>
        <w:p>
          <w:pPr>
            <w:pStyle w:val="TableofFigures"/>
            <w:tabs>
              <w:tab w:val="right" w:leader="dot" w:pos="9016"/>
            </w:tabs>
          </w:pPr>
          <w:r>
            <w:t xml:space="preserve">Figure 12: Quadratic log-linear model: cumulative premium with 95 % CI (a) and marginal percentage return per additional year, pooled and by country (b).</w:t>
          </w:r>
          <w:r>
            <w:tab/>
          </w:r>
          <w:r>
            <w:t>24</w:t>
          </w:r>
        </w:p>
        <w:p>
          <w:pPr>
            <w:pStyle w:val="TableofFigures"/>
            <w:tabs>
              <w:tab w:val="right" w:leader="dot" w:pos="9016"/>
            </w:tabs>
          </w:pPr>
          <w:r>
            <w:t xml:space="preserve">Figure 13: Adjusted pay difference by job role relative to full-stack developers (country and experience held constant; 95 % HC3 CIs; grey = not significant at 5 %).</w:t>
          </w:r>
          <w:r>
            <w:tab/>
          </w:r>
          <w:r>
            <w:t>27</w:t>
          </w:r>
        </w:p>
        <w:p>
          <w:pPr>
            <w:pStyle w:val="TableofFigures"/>
            <w:tabs>
              <w:tab w:val="right" w:leader="dot" w:pos="9016"/>
            </w:tabs>
          </w:pPr>
          <w:r>
            <w:t xml:space="preserve">Figure 14: Adjusted pay differences by work arrangement (a), organisation size (b) and education (c).</w:t>
          </w:r>
          <w:r>
            <w:tab/>
          </w:r>
          <w:r>
            <w:t>27</w:t>
          </w:r>
        </w:p>
        <w:p>
          <w:pPr>
            <w:pStyle w:val="TableofFigures"/>
            <w:tabs>
              <w:tab w:val="right" w:leader="dot" w:pos="9016"/>
            </w:tabs>
          </w:pPr>
          <w:r>
            <w:t xml:space="preserve">Figure 15: Cumulative R² and incremental ΔR² as predictor blocks are added to the OLS model for log-compensation.</w:t>
          </w:r>
          <w:r>
            <w:tab/>
          </w:r>
          <w:r>
            <w:t>28</w:t>
          </w:r>
        </w:p>
        <w:p>
          <w:pPr>
            <w:pStyle w:val="TableofFigures"/>
            <w:tabs>
              <w:tab w:val="right" w:leader="dot" w:pos="9016"/>
            </w:tabs>
          </w:pPr>
          <w:r>
            <w:t xml:space="preserve">Figure 16: AI-tool adoption in the development process by age (a), experience (b), organisation size (c) and Stack Overflow visit frequency (d); labels show % currently using AI.</w:t>
          </w:r>
          <w:r>
            <w:tab/>
          </w:r>
          <w:r>
            <w:t>30</w:t>
          </w:r>
        </w:p>
        <w:p>
          <w:pPr>
            <w:pStyle w:val="TableofFigures"/>
            <w:tabs>
              <w:tab w:val="right" w:leader="dot" w:pos="9016"/>
            </w:tabs>
          </w:pPr>
          <w:r>
            <w:t xml:space="preserve">Figure 17: AI adoption rate with 95 % Wilson CIs by country (a) and job role (b); dashed line = overall adoption; India in orange.</w:t>
          </w:r>
          <w:r>
            <w:tab/>
          </w:r>
          <w:r>
            <w:t>30</w:t>
          </w:r>
        </w:p>
        <w:p>
          <w:pPr>
            <w:pStyle w:val="TableofFigures"/>
            <w:tabs>
              <w:tab w:val="right" w:leader="dot" w:pos="9016"/>
            </w:tabs>
          </w:pPr>
          <w:r>
            <w:t xml:space="preserve">Figure 18: Strength of association (Cramér's V) between AI adoption and each descriptive factor.</w:t>
          </w:r>
          <w:r>
            <w:tab/>
          </w:r>
          <w:r>
            <w:t>31</w:t>
          </w:r>
        </w:p>
        <w:p>
          <w:pPr>
            <w:pStyle w:val="TableofFigures"/>
            <w:tabs>
              <w:tab w:val="right" w:leader="dot" w:pos="9016"/>
            </w:tabs>
          </w:pPr>
          <w:r>
            <w:t xml:space="preserve">Figure 19: AI adoption by job role and age bracket (blank = fewer than 30 respondents).</w:t>
          </w:r>
          <w:r>
            <w:tab/>
          </w:r>
          <w:r>
            <w:t>31</w:t>
          </w:r>
        </w:p>
        <w:p>
          <w:pPr>
            <w:pStyle w:val="TableofFigures"/>
            <w:tabs>
              <w:tab w:val="right" w:leader="dot" w:pos="9016"/>
            </w:tabs>
          </w:pPr>
          <w:r>
            <w:t xml:space="preserve">Figure 20: Distribution of attitudes towards AI among respondents who use or plan to use AI tools.</w:t>
          </w:r>
          <w:r>
            <w:tab/>
          </w:r>
          <w:r>
            <w:t>34</w:t>
          </w:r>
        </w:p>
        <w:p>
          <w:pPr>
            <w:pStyle w:val="TableofFigures"/>
            <w:tabs>
              <w:tab w:val="right" w:leader="dot" w:pos="9016"/>
            </w:tabs>
          </w:pPr>
          <w:r>
            <w:t xml:space="preserve">Figure 21: Trust in AI accuracy (a) and sentiment (b) across experience bands (100 % stacked; red = negative, blue = positive).</w:t>
          </w:r>
          <w:r>
            <w:tab/>
          </w:r>
          <w:r>
            <w:t>34</w:t>
          </w:r>
        </w:p>
        <w:p>
          <w:pPr>
            <w:pStyle w:val="TableofFigures"/>
            <w:tabs>
              <w:tab w:val="right" w:leader="dot" w:pos="9016"/>
            </w:tabs>
          </w:pPr>
          <w:r>
            <w:t xml:space="preserve">Figure 22: Share of respondents who see AI as a threat to their own job, by job role (a) and age (b); dashed line = overall.</w:t>
          </w:r>
          <w:r>
            <w:tab/>
          </w:r>
          <w:r>
            <w:t>35</w:t>
          </w:r>
        </w:p>
        <w:p>
          <w:pPr>
            <w:pStyle w:val="TableofFigures"/>
            <w:tabs>
              <w:tab w:val="right" w:leader="dot" w:pos="9016"/>
            </w:tabs>
          </w:pPr>
          <w:r>
            <w:t xml:space="preserve">Figure 23: Spearman correlation matrix of AI attitude scores with experience and age.</w:t>
          </w:r>
          <w:r>
            <w:tab/>
          </w:r>
          <w:r>
            <w:t>35</w:t>
          </w:r>
        </w:p>
        <w:p>
          <w:pPr>
            <w:pStyle w:val="TableofFigures"/>
            <w:tabs>
              <w:tab w:val="right" w:leader="dot" w:pos="9016"/>
            </w:tabs>
          </w:pPr>
          <w:r>
            <w:t xml:space="preserve">Figure 24: Regression model comparison: cross-validated RMSE with ±1 SD (a), hold-out R² (b) and hold-out MAE in USD (c). Grey = baselines, orange = selected model.</w:t>
          </w:r>
          <w:r>
            <w:tab/>
          </w:r>
          <w:r>
            <w:t>38</w:t>
          </w:r>
        </w:p>
        <w:p>
          <w:pPr>
            <w:pStyle w:val="TableofFigures"/>
            <w:tabs>
              <w:tab w:val="right" w:leader="dot" w:pos="9016"/>
            </w:tabs>
          </w:pPr>
          <w:r>
            <w:t xml:space="preserve">Figure 25: Diagnostics of the selected regression model on the hold-out set: predicted vs actual pay (a), residual distribution (b) and residuals vs fitted values with LOWESS (c).</w:t>
          </w:r>
          <w:r>
            <w:tab/>
          </w:r>
          <w:r>
            <w:t>39</w:t>
          </w:r>
        </w:p>
        <w:p>
          <w:pPr>
            <w:pStyle w:val="TableofFigures"/>
            <w:tabs>
              <w:tab w:val="right" w:leader="dot" w:pos="9016"/>
            </w:tabs>
          </w:pPr>
          <w:r>
            <w:t xml:space="preserve">Figure 26: Learning curve of the tuned gradient-boosting model: the validation error is still slowly falling, so more data would help slightly.</w:t>
          </w:r>
          <w:r>
            <w:tab/>
          </w:r>
          <w:r>
            <w:t>39</w:t>
          </w:r>
        </w:p>
        <w:p>
          <w:pPr>
            <w:pStyle w:val="TableofFigures"/>
            <w:tabs>
              <w:tab w:val="right" w:leader="dot" w:pos="9016"/>
            </w:tabs>
          </w:pPr>
          <w:r>
            <w:t xml:space="preserve">Figure 27: Classification model comparison: cross-validated ROC-AUC (a), hold-out F1 (b) and hold-out ROC-AUC (c). Grey = baseline, orange = selected model.</w:t>
          </w:r>
          <w:r>
            <w:tab/>
          </w:r>
          <w:r>
            <w:t>42</w:t>
          </w:r>
        </w:p>
        <w:p>
          <w:pPr>
            <w:pStyle w:val="TableofFigures"/>
            <w:tabs>
              <w:tab w:val="right" w:leader="dot" w:pos="9016"/>
            </w:tabs>
          </w:pPr>
          <w:r>
            <w:t xml:space="preserve">Figure 28: ROC curves with AUC in the legend (a) and precision–recall curves (b) for all classifiers on the hold-out set.</w:t>
          </w:r>
          <w:r>
            <w:tab/>
          </w:r>
          <w:r>
            <w:t>42</w:t>
          </w:r>
        </w:p>
        <w:p>
          <w:pPr>
            <w:pStyle w:val="TableofFigures"/>
            <w:tabs>
              <w:tab w:val="right" w:leader="dot" w:pos="9016"/>
            </w:tabs>
          </w:pPr>
          <w:r>
            <w:t xml:space="preserve">Figure 29: Selected classifier on the hold-out set: normalised confusion matrix at the balanced-accuracy threshold (a), calibration curve (b) and precision/recall/F1 versus decision threshold (c).</w:t>
          </w:r>
          <w:r>
            <w:tab/>
          </w:r>
          <w:r>
            <w:t>42</w:t>
          </w:r>
        </w:p>
        <w:p>
          <w:pPr>
            <w:pStyle w:val="TableofFigures"/>
            <w:tabs>
              <w:tab w:val="right" w:leader="dot" w:pos="9016"/>
            </w:tabs>
          </w:pPr>
          <w:r>
            <w:t xml:space="preserve">Figure 30: Permutation importance for the selected salary model (LightGBM).</w:t>
          </w:r>
          <w:r>
            <w:tab/>
          </w:r>
          <w:r>
            <w:t>46</w:t>
          </w:r>
        </w:p>
        <w:p>
          <w:pPr>
            <w:pStyle w:val="TableofFigures"/>
            <w:tabs>
              <w:tab w:val="right" w:leader="dot" w:pos="9016"/>
            </w:tabs>
          </w:pPr>
          <w:r>
            <w:t xml:space="preserve">Figure 31: Permutation importance for the selected AI-adoption model (LightGBM).</w:t>
          </w:r>
          <w:r>
            <w:tab/>
          </w:r>
          <w:r>
            <w:t>46</w:t>
          </w:r>
        </w:p>
        <w:p>
          <w:pPr>
            <w:pStyle w:val="TableofFigures"/>
            <w:tabs>
              <w:tab w:val="right" w:leader="dot" w:pos="9016"/>
            </w:tabs>
          </w:pPr>
          <w:r>
            <w:t xml:space="preserve">Figure 32: SHAP summary of the LightGBM salary model: each dot is a respondent; colour = feature value; x = effect on predicted log-compensation.</w:t>
          </w:r>
          <w:r>
            <w:tab/>
          </w:r>
          <w:r>
            <w:t>47</w:t>
          </w:r>
        </w:p>
        <w:p>
          <w:pPr>
            <w:pStyle w:val="TableofFigures"/>
            <w:tabs>
              <w:tab w:val="right" w:leader="dot" w:pos="9016"/>
            </w:tabs>
          </w:pPr>
          <w:r>
            <w:t xml:space="preserve">Figure 33: SHAP summary of the LightGBM AI-adoption model (effect on log-odds of using AI).</w:t>
          </w:r>
          <w:r>
            <w:tab/>
          </w:r>
          <w:r>
            <w:t>47</w:t>
          </w:r>
        </w:p>
        <w:p>
          <w:pPr>
            <w:pStyle w:val="TableofFigures"/>
            <w:tabs>
              <w:tab w:val="right" w:leader="dot" w:pos="9016"/>
            </w:tabs>
          </w:pPr>
          <w:r>
            <w:t xml:space="preserve">Figure 34: Partial dependence: average predicted pay as professional experience is varied, by country (a); average predicted AI-adoption probability as age is varied (b).</w:t>
          </w:r>
          <w:r>
            <w:tab/>
          </w:r>
          <w:r>
            <w:t>48</w:t>
          </w:r>
        </w:p>
        <w:p>
          <w:pPr>
            <w:pStyle w:val="TableofFigures"/>
            <w:tabs>
              <w:tab w:val="right" w:leader="dot" w:pos="9016"/>
            </w:tabs>
          </w:pPr>
          <w:r>
            <w:t xml:space="preserve">Figure 35: Hold-out error of the salary model by country (a), experience band (b) and job role (c); India highlighted in orange.</w:t>
          </w:r>
          <w:r>
            <w:tab/>
          </w:r>
          <w:r>
            <w:t>48</w:t>
          </w:r>
        </w:p>
        <w:p>
          <w:pPr>
            <w:pStyle w:val="TableofFigures"/>
            <w:tabs>
              <w:tab w:val="right" w:leader="dot" w:pos="9016"/>
            </w:tabs>
          </w:pPr>
          <w:r>
            <w:t xml:space="preserve">Figure 36: Hold-out ROC-AUC of the AI-adoption classifier within age brackets (a), countries (b) and roles (c); dashed line = overall AUC.</w:t>
          </w:r>
          <w:r>
            <w:tab/>
          </w:r>
          <w:r>
            <w:t>48</w:t>
          </w:r>
          <w:r>
            <w:fldChar w:fldCharType="end"/>
          </w:r>
        </w:p>
      </w:sdtContent>
    </w:sdt>
    <w:p>
      <w:pPr>
        <w:pStyle w:val="FrontHeading"/>
        <w:pageBreakBefore/>
        <w:jc w:val="center"/>
      </w:pPr>
      <w:r>
        <w:rPr>
          <w:rFonts w:ascii="Times New Roman" w:cs="Times New Roman" w:eastAsia="Times New Roman" w:hAnsi="Times New Roman"/>
        </w:rPr>
        <w:t xml:space="preserve">LIST OF TABLES</w:t>
      </w:r>
    </w:p>
    <w:sdt>
      <w:sdtPr>
        <w:alias w:val="List of Tables"/>
      </w:sdtPr>
      <w:sdtContent>
        <w:p>
          <w:pPr>
            <w:pStyle w:val="TableofFigures"/>
            <w:tabs>
              <w:tab w:val="right" w:leader="dot" w:pos="9016"/>
            </w:tabs>
          </w:pPr>
          <w:r>
            <w:fldChar w:fldCharType="begin"/>
            <w:instrText xml:space="preserve">TOC \h \c "Table"</w:instrText>
            <w:fldChar w:fldCharType="separate"/>
          </w:r>
          <w:r>
            <w:t xml:space="preserve">Table 1: Research objectives, methods and success measures</w:t>
          </w:r>
          <w:r>
            <w:tab/>
          </w:r>
          <w:r>
            <w:t>2</w:t>
          </w:r>
        </w:p>
        <w:p>
          <w:pPr>
            <w:pStyle w:val="TableofFigures"/>
            <w:tabs>
              <w:tab w:val="right" w:leader="dot" w:pos="9016"/>
            </w:tabs>
          </w:pPr>
          <w:r>
            <w:t xml:space="preserve">Table 2: Mapping of every objective to its report section, figures, result tables and notebook section</w:t>
          </w:r>
          <w:r>
            <w:tab/>
          </w:r>
          <w:r>
            <w:t>2</w:t>
          </w:r>
        </w:p>
        <w:p>
          <w:pPr>
            <w:pStyle w:val="TableofFigures"/>
            <w:tabs>
              <w:tab w:val="right" w:leader="dot" w:pos="9016"/>
            </w:tabs>
          </w:pPr>
          <w:r>
            <w:t xml:space="preserve">Table 3: Candidate datasets evaluated (those reachable and profiled)</w:t>
          </w:r>
          <w:r>
            <w:tab/>
          </w:r>
          <w:r>
            <w:t>4</w:t>
          </w:r>
        </w:p>
        <w:p>
          <w:pPr>
            <w:pStyle w:val="TableofFigures"/>
            <w:tabs>
              <w:tab w:val="right" w:leader="dot" w:pos="9016"/>
            </w:tabs>
          </w:pPr>
          <w:r>
            <w:t xml:space="preserve">Table 4: Provenance of the dataset</w:t>
          </w:r>
          <w:r>
            <w:tab/>
          </w:r>
          <w:r>
            <w:t>4</w:t>
          </w:r>
        </w:p>
        <w:p>
          <w:pPr>
            <w:pStyle w:val="TableofFigures"/>
            <w:tabs>
              <w:tab w:val="right" w:leader="dot" w:pos="9016"/>
            </w:tabs>
          </w:pPr>
          <w:r>
            <w:t xml:space="preserve">Table 5: Data dictionary of the 28 raw variables and their role in the project</w:t>
          </w:r>
          <w:r>
            <w:tab/>
          </w:r>
          <w:r>
            <w:t>5</w:t>
          </w:r>
        </w:p>
        <w:p>
          <w:pPr>
            <w:pStyle w:val="TableofFigures"/>
            <w:tabs>
              <w:tab w:val="right" w:leader="dot" w:pos="9016"/>
            </w:tabs>
          </w:pPr>
          <w:r>
            <w:t xml:space="preserve">Table 6: Logical inconsistencies and suspicious values</w:t>
          </w:r>
          <w:r>
            <w:tab/>
          </w:r>
          <w:r>
            <w:t>9</w:t>
          </w:r>
        </w:p>
        <w:p>
          <w:pPr>
            <w:pStyle w:val="TableofFigures"/>
            <w:tabs>
              <w:tab w:val="right" w:leader="dot" w:pos="9016"/>
            </w:tabs>
          </w:pPr>
          <w:r>
            <w:t xml:space="preserve">Table 7: Outliers flagged in annual compensation by three rules (raw and log scale)</w:t>
          </w:r>
          <w:r>
            <w:tab/>
          </w:r>
          <w:r>
            <w:t>9</w:t>
          </w:r>
        </w:p>
        <w:p>
          <w:pPr>
            <w:pStyle w:val="TableofFigures"/>
            <w:tabs>
              <w:tab w:val="right" w:leader="dot" w:pos="9016"/>
            </w:tabs>
          </w:pPr>
          <w:r>
            <w:t xml:space="preserve">Table 8: Row attrition at each step of salary-cohort construction</w:t>
          </w:r>
          <w:r>
            <w:tab/>
          </w:r>
          <w:r>
            <w:t>10</w:t>
          </w:r>
        </w:p>
        <w:p>
          <w:pPr>
            <w:pStyle w:val="TableofFigures"/>
            <w:tabs>
              <w:tab w:val="right" w:leader="dot" w:pos="9016"/>
            </w:tabs>
          </w:pPr>
          <w:r>
            <w:t xml:space="preserve">Table 9: Variance inflation factors of the numeric predictors</w:t>
          </w:r>
          <w:r>
            <w:tab/>
          </w:r>
          <w:r>
            <w:t>13</w:t>
          </w:r>
        </w:p>
        <w:p>
          <w:pPr>
            <w:pStyle w:val="TableofFigures"/>
            <w:tabs>
              <w:tab w:val="right" w:leader="dot" w:pos="9016"/>
            </w:tabs>
          </w:pPr>
          <w:r>
            <w:t xml:space="preserve">Table 10: Engineered features and their justification</w:t>
          </w:r>
          <w:r>
            <w:tab/>
          </w:r>
          <w:r>
            <w:t>15</w:t>
          </w:r>
        </w:p>
        <w:p>
          <w:pPr>
            <w:pStyle w:val="TableofFigures"/>
            <w:tabs>
              <w:tab w:val="right" w:leader="dot" w:pos="9016"/>
            </w:tabs>
          </w:pPr>
          <w:r>
            <w:t xml:space="preserve">Table 11: Leakage register: columns excluded from predictors and the reason</w:t>
          </w:r>
          <w:r>
            <w:tab/>
          </w:r>
          <w:r>
            <w:t>16</w:t>
          </w:r>
        </w:p>
        <w:p>
          <w:pPr>
            <w:pStyle w:val="TableofFigures"/>
            <w:tabs>
              <w:tab w:val="right" w:leader="dot" w:pos="9016"/>
            </w:tabs>
          </w:pPr>
          <w:r>
            <w:t xml:space="preserve">Table 12: Median annual compensation (USD) by country, with 95 % bootstrap CI, ratio to the USA median and Cliff’s δ of India versus that country (negative = India lower)</w:t>
          </w:r>
          <w:r>
            <w:tab/>
          </w:r>
          <w:r>
            <w:t>19</w:t>
          </w:r>
        </w:p>
        <w:p>
          <w:pPr>
            <w:pStyle w:val="TableofFigures"/>
            <w:tabs>
              <w:tab w:val="right" w:leader="dot" w:pos="9016"/>
            </w:tabs>
          </w:pPr>
          <w:r>
            <w:t xml:space="preserve">Table 13: Spearman correlation between professional experience and log-pay, overall and by country</w:t>
          </w:r>
          <w:r>
            <w:tab/>
          </w:r>
          <w:r>
            <w:t>22</w:t>
          </w:r>
        </w:p>
        <w:p>
          <w:pPr>
            <w:pStyle w:val="TableofFigures"/>
            <w:tabs>
              <w:tab w:val="right" w:leader="dot" w:pos="9016"/>
            </w:tabs>
          </w:pPr>
          <w:r>
            <w:t xml:space="preserve">Table 14: Estimated % change in pay per additional year of professional experience (country fixed effects; 95 % CI)</w:t>
          </w:r>
          <w:r>
            <w:tab/>
          </w:r>
          <w:r>
            <w:t>23</w:t>
          </w:r>
        </w:p>
        <w:p>
          <w:pPr>
            <w:pStyle w:val="TableofFigures"/>
            <w:tabs>
              <w:tab w:val="right" w:leader="dot" w:pos="9016"/>
            </w:tabs>
          </w:pPr>
          <w:r>
            <w:t xml:space="preserve">Table 15: Nested OLS models for log-compensation: cumulative R² and incremental ΔR²</w:t>
          </w:r>
          <w:r>
            <w:tab/>
          </w:r>
          <w:r>
            <w:t>25</w:t>
          </w:r>
        </w:p>
        <w:p>
          <w:pPr>
            <w:pStyle w:val="TableofFigures"/>
            <w:tabs>
              <w:tab w:val="right" w:leader="dot" w:pos="9016"/>
            </w:tabs>
          </w:pPr>
          <w:r>
            <w:t xml:space="preserve">Table 16: Adjusted percentage differences in pay (HC3 robust 95 % CI) for work arrangement, organisation size and education</w:t>
          </w:r>
          <w:r>
            <w:tab/>
          </w:r>
          <w:r>
            <w:t>26</w:t>
          </w:r>
        </w:p>
        <w:p>
          <w:pPr>
            <w:pStyle w:val="TableofFigures"/>
            <w:tabs>
              <w:tab w:val="right" w:leader="dot" w:pos="9016"/>
            </w:tabs>
          </w:pPr>
          <w:r>
            <w:t xml:space="preserve">Table 17: Chi-square tests of AI adoption against each factor, ranked by Cramér’s V</w:t>
          </w:r>
          <w:r>
            <w:tab/>
          </w:r>
          <w:r>
            <w:t>29</w:t>
          </w:r>
        </w:p>
        <w:p>
          <w:pPr>
            <w:pStyle w:val="TableofFigures"/>
            <w:tabs>
              <w:tab w:val="right" w:leader="dot" w:pos="9016"/>
            </w:tabs>
          </w:pPr>
          <w:r>
            <w:t xml:space="preserve">Table 18: Percentage of respondents answering each AI follow-up question, by their answer to “Do you use AI tools?” (proof of conditional routing)</w:t>
          </w:r>
          <w:r>
            <w:tab/>
          </w:r>
          <w:r>
            <w:t>32</w:t>
          </w:r>
        </w:p>
        <w:p>
          <w:pPr>
            <w:pStyle w:val="TableofFigures"/>
            <w:tabs>
              <w:tab w:val="right" w:leader="dot" w:pos="9016"/>
            </w:tabs>
          </w:pPr>
          <w:r>
            <w:t xml:space="preserve">Table 19: Spearman correlation of attitudes with professional experience and age (all p &lt; 0.001 given the large n)</w:t>
          </w:r>
          <w:r>
            <w:tab/>
          </w:r>
          <w:r>
            <w:t>33</w:t>
          </w:r>
        </w:p>
        <w:p>
          <w:pPr>
            <w:pStyle w:val="TableofFigures"/>
            <w:tabs>
              <w:tab w:val="right" w:leader="dot" w:pos="9016"/>
            </w:tabs>
          </w:pPr>
          <w:r>
            <w:t xml:space="preserve">Table 20: Chi-square tests of the job-threat answer (Yes / No / Not sure) against career and context factors</w:t>
          </w:r>
          <w:r>
            <w:tab/>
          </w:r>
          <w:r>
            <w:t>33</w:t>
          </w:r>
        </w:p>
        <w:p>
          <w:pPr>
            <w:pStyle w:val="TableofFigures"/>
            <w:tabs>
              <w:tab w:val="right" w:leader="dot" w:pos="9016"/>
            </w:tabs>
          </w:pPr>
          <w:r>
            <w:t xml:space="preserve">Table 21: Regression models: 5-fold CV on the training set and hold-out test performance (★ = selected)</w:t>
          </w:r>
          <w:r>
            <w:tab/>
          </w:r>
          <w:r>
            <w:t>37</w:t>
          </w:r>
        </w:p>
        <w:p>
          <w:pPr>
            <w:pStyle w:val="TableofFigures"/>
            <w:tabs>
              <w:tab w:val="right" w:leader="dot" w:pos="9016"/>
            </w:tabs>
          </w:pPr>
          <w:r>
            <w:t xml:space="preserve">Table 22: Sensitivity of cross-validated performance to the outlier policy (HistGradientBoosting)</w:t>
          </w:r>
          <w:r>
            <w:tab/>
          </w:r>
          <w:r>
            <w:t>38</w:t>
          </w:r>
        </w:p>
        <w:p>
          <w:pPr>
            <w:pStyle w:val="TableofFigures"/>
            <w:tabs>
              <w:tab w:val="right" w:leader="dot" w:pos="9016"/>
            </w:tabs>
          </w:pPr>
          <w:r>
            <w:t xml:space="preserve">Table 23: Classification models: 5-fold CV ROC-AUC and hold-out metrics at threshold 0.5 (★ = selected)</w:t>
          </w:r>
          <w:r>
            <w:tab/>
          </w:r>
          <w:r>
            <w:t>41</w:t>
          </w:r>
        </w:p>
        <w:p>
          <w:pPr>
            <w:pStyle w:val="TableofFigures"/>
            <w:tabs>
              <w:tab w:val="right" w:leader="dot" w:pos="9016"/>
            </w:tabs>
          </w:pPr>
          <w:r>
            <w:t xml:space="preserve">Table 24: Selected model on the hold-out set at three decision thresholds</w:t>
          </w:r>
          <w:r>
            <w:tab/>
          </w:r>
          <w:r>
            <w:t>41</w:t>
          </w:r>
        </w:p>
        <w:p>
          <w:pPr>
            <w:pStyle w:val="TableofFigures"/>
            <w:tabs>
              <w:tab w:val="right" w:leader="dot" w:pos="9016"/>
            </w:tabs>
          </w:pPr>
          <w:r>
            <w:t xml:space="preserve">Table 25: Top permutation importances on the hold-out set (salary: increase in log-RMSE; adoption: decrease in ROC-AUC)</w:t>
          </w:r>
          <w:r>
            <w:tab/>
          </w:r>
          <w:r>
            <w:t>44</w:t>
          </w:r>
        </w:p>
        <w:p>
          <w:pPr>
            <w:pStyle w:val="TableofFigures"/>
            <w:tabs>
              <w:tab w:val="right" w:leader="dot" w:pos="9016"/>
            </w:tabs>
          </w:pPr>
          <w:r>
            <w:t xml:space="preserve">Table 26: Salary-model error by country on the hold-out set (10 largest test groups)</w:t>
          </w:r>
          <w:r>
            <w:tab/>
          </w:r>
          <w:r>
            <w:t>44</w:t>
          </w:r>
        </w:p>
        <w:p>
          <w:pPr>
            <w:pStyle w:val="TableofFigures"/>
            <w:tabs>
              <w:tab w:val="right" w:leader="dot" w:pos="9016"/>
            </w:tabs>
          </w:pPr>
          <w:r>
            <w:t xml:space="preserve">Table 27: The eight largest salary-prediction errors on the hold-out set (USD)</w:t>
          </w:r>
          <w:r>
            <w:tab/>
          </w:r>
          <w:r>
            <w:t>45</w:t>
          </w:r>
        </w:p>
        <w:p>
          <w:pPr>
            <w:pStyle w:val="TableofFigures"/>
            <w:tabs>
              <w:tab w:val="right" w:leader="dot" w:pos="9016"/>
            </w:tabs>
          </w:pPr>
          <w:r>
            <w:t xml:space="preserve">Table 28: Illustrative predictions of the saved models (not forecasts for real individuals)</w:t>
          </w:r>
          <w:r>
            <w:tab/>
          </w:r>
          <w:r>
            <w:t>45</w:t>
          </w:r>
          <w:r>
            <w:fldChar w:fldCharType="end"/>
          </w:r>
        </w:p>
      </w:sdtContent>
    </w:sdt>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 and motivation</w:t>
      </w:r>
    </w:p>
    <w:p>
      <w:pPr>
        <w:spacing w:after="120" w:before="0" w:line="360" w:lineRule="auto"/>
        <w:jc w:val="both"/>
      </w:pPr>
      <w:r>
        <w:rPr>
          <w:rFonts w:ascii="Times New Roman" w:cs="Times New Roman" w:eastAsia="Times New Roman" w:hAnsi="Times New Roman"/>
        </w:rPr>
        <w:t xml:space="preserve">Software development is one of the most globally distributed professions, and since 2022 it has also become the first large profession in which generative artificial-intelligence (AI) assistants are used daily by a majority of practitioners. Two questions follow naturally for any student entering the industry: </w:t>
      </w:r>
      <w:r>
        <w:rPr>
          <w:rFonts w:ascii="Times New Roman" w:cs="Times New Roman" w:eastAsia="Times New Roman" w:hAnsi="Times New Roman"/>
          <w:i/>
          <w:iCs/>
        </w:rPr>
        <w:t xml:space="preserve">what determines how much a developer is paid?</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who is adopting AI tools, and how do developers feel about them?</w:t>
      </w:r>
      <w:r>
        <w:rPr>
          <w:rFonts w:ascii="Times New Roman" w:cs="Times New Roman" w:eastAsia="Times New Roman" w:hAnsi="Times New Roman"/>
        </w:rPr>
        <w:t xml:space="preserve"> Answering these with evidence rather than anecdote requires large, real survey data and careful statistical and machine-learning analysis.</w:t>
      </w:r>
    </w:p>
    <w:p>
      <w:pPr>
        <w:spacing w:after="120" w:before="0" w:line="360" w:lineRule="auto"/>
        <w:jc w:val="both"/>
      </w:pPr>
      <w:r>
        <w:rPr>
          <w:rFonts w:ascii="Times New Roman" w:cs="Times New Roman" w:eastAsia="Times New Roman" w:hAnsi="Times New Roman"/>
        </w:rPr>
        <w:t xml:space="preserve">The Stack Overflow Annual Developer Survey 2024 is among the largest such surveys. It contains 65,437 responses from developers in 185 countries and covers education, career, compensation, community participation and, for the first time in depth, AI tooling. This project uses it for a complete end-to-end </w:t>
      </w:r>
      <w:r>
        <w:rPr>
          <w:rFonts w:ascii="Times New Roman" w:cs="Times New Roman" w:eastAsia="Times New Roman" w:hAnsi="Times New Roman"/>
          <w:i/>
          <w:iCs/>
        </w:rPr>
        <w:t xml:space="preserve">predictive analysis</w:t>
      </w:r>
      <w:r>
        <w:rPr>
          <w:rFonts w:ascii="Times New Roman" w:cs="Times New Roman" w:eastAsia="Times New Roman" w:hAnsi="Times New Roman"/>
        </w:rPr>
        <w:t xml:space="preserve">: a data-quality audit, exploratory analysis, hypothesis-driven statistical analysis of eight pre-defined objectives, two supervised-learning tasks (a regression task for annual compensation and a classification task for AI-tool adoption), and an explainability and error audit of the final models.</w:t>
      </w:r>
    </w:p>
    <w:p>
      <w:pPr>
        <w:pStyle w:val="Heading2"/>
      </w:pPr>
      <w:r>
        <w:rPr>
          <w:rFonts w:ascii="Times New Roman" w:cs="Times New Roman" w:eastAsia="Times New Roman" w:hAnsi="Times New Roman"/>
        </w:rPr>
        <w:t xml:space="preserve">1.2 Problem statement</w:t>
      </w:r>
    </w:p>
    <w:p>
      <w:pPr>
        <w:spacing w:after="120" w:before="0" w:line="360" w:lineRule="auto"/>
        <w:jc w:val="both"/>
      </w:pPr>
      <w:r>
        <w:rPr>
          <w:rFonts w:ascii="Times New Roman" w:cs="Times New Roman" w:eastAsia="Times New Roman" w:hAnsi="Times New Roman"/>
        </w:rPr>
        <w:t xml:space="preserve">Using only information that a developer could reasonably state about themselves (location, role, experience, organisation, education, work arrangement, community engagement), (a) quantify and explain differences in annual compensation, (b) describe and explain adoption of AI tools and attitudes towards them, (c) build and fairly compare machine-learning models that predict compensation and AI adoption for unseen respondents, and (d) explain what the models learned and where they fail.</w:t>
      </w:r>
    </w:p>
    <w:p>
      <w:pPr>
        <w:pStyle w:val="Heading2"/>
      </w:pPr>
      <w:r>
        <w:rPr>
          <w:rFonts w:ascii="Times New Roman" w:cs="Times New Roman" w:eastAsia="Times New Roman" w:hAnsi="Times New Roman"/>
        </w:rPr>
        <w:t xml:space="preserve">1.3 Why this topic is relevant to a student in India</w:t>
      </w:r>
    </w:p>
    <w:p>
      <w:pPr>
        <w:spacing w:after="120" w:before="0" w:line="360" w:lineRule="auto"/>
        <w:jc w:val="both"/>
      </w:pPr>
      <w:r>
        <w:rPr>
          <w:rFonts w:ascii="Times New Roman" w:cs="Times New Roman" w:eastAsia="Times New Roman" w:hAnsi="Times New Roman"/>
        </w:rPr>
        <w:t xml:space="preserve">India is the third-largest respondent country in the survey (4,161 respondents with an AI answer; 966 in the salary cohort). Understanding how compensation scales with experience, how Indian developers’ pay compares with other markets and how fast AI tools are being adopted gives practical input to career decisions, skill planning and curriculum design. The analysis is explicitly </w:t>
      </w:r>
      <w:r>
        <w:rPr>
          <w:rFonts w:ascii="Times New Roman" w:cs="Times New Roman" w:eastAsia="Times New Roman" w:hAnsi="Times New Roman"/>
          <w:i/>
          <w:iCs/>
        </w:rPr>
        <w:t xml:space="preserve">descriptive and predictive, not causal</w:t>
      </w:r>
      <w:r>
        <w:rPr>
          <w:rFonts w:ascii="Times New Roman" w:cs="Times New Roman" w:eastAsia="Times New Roman" w:hAnsi="Times New Roman"/>
        </w:rPr>
        <w:t xml:space="preserve">: the data are observational self-reports, and the report repeatedly states what cannot be concluded.</w:t>
      </w:r>
    </w:p>
    <w:p>
      <w:pPr>
        <w:pStyle w:val="Heading2"/>
      </w:pPr>
      <w:r>
        <w:rPr>
          <w:rFonts w:ascii="Times New Roman" w:cs="Times New Roman" w:eastAsia="Times New Roman" w:hAnsi="Times New Roman"/>
        </w:rPr>
        <w:t xml:space="preserve">1.4 Objectives</w:t>
      </w:r>
    </w:p>
    <w:p>
      <w:pPr>
        <w:spacing w:after="120" w:before="0" w:line="360" w:lineRule="auto"/>
        <w:jc w:val="both"/>
      </w:pPr>
      <w:r>
        <w:rPr>
          <w:rFonts w:ascii="Times New Roman" w:cs="Times New Roman" w:eastAsia="Times New Roman" w:hAnsi="Times New Roman"/>
        </w:rPr>
        <w:t xml:space="preserve">The objectives below were fixed </w:t>
      </w:r>
      <w:r>
        <w:rPr>
          <w:rFonts w:ascii="Times New Roman" w:cs="Times New Roman" w:eastAsia="Times New Roman" w:hAnsi="Times New Roman"/>
          <w:i/>
          <w:iCs/>
        </w:rPr>
        <w:t xml:space="preserve">before</w:t>
      </w:r>
      <w:r>
        <w:rPr>
          <w:rFonts w:ascii="Times New Roman" w:cs="Times New Roman" w:eastAsia="Times New Roman" w:hAnsi="Times New Roman"/>
        </w:rPr>
        <w:t xml:space="preserve"> modelling and drive every later chapter. Each is specific, measurable and non-overlapping (O1–O3: compensation; O4–O5: AI attitudes and adoption; O6–O7: prediction; O8: explanation).</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w:t>
      </w:r>
      <w:r>
        <w:fldChar w:fldCharType="end"/>
      </w:r>
      <w:r>
        <w:rPr>
          <w:rFonts w:ascii="Times New Roman" w:cs="Times New Roman" w:eastAsia="Times New Roman" w:hAnsi="Times New Roman"/>
          <w:sz w:val="22"/>
          <w:szCs w:val="22"/>
        </w:rPr>
        <w:t xml:space="preserve">: Research objectives, methods and success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1"/>
        <w:gridCol w:w="2943"/>
        <w:gridCol w:w="3238"/>
        <w:gridCol w:w="2354"/>
      </w:tblGrid>
      <w:tr>
        <w:trPr>
          <w:cantSplit/>
          <w:tblHeader/>
        </w:trPr>
        <w:tc>
          <w:tcPr>
            <w:tcW w:type="dxa" w:w="49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w:t>
            </w:r>
          </w:p>
        </w:tc>
        <w:tc>
          <w:tcPr>
            <w:tcW w:type="dxa" w:w="294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Research question</w:t>
            </w:r>
          </w:p>
        </w:tc>
        <w:tc>
          <w:tcPr>
            <w:tcW w:type="dxa" w:w="323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Variables, methods and visualisations</w:t>
            </w:r>
          </w:p>
        </w:tc>
        <w:tc>
          <w:tcPr>
            <w:tcW w:type="dxa" w:w="235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Success measure</w:t>
            </w:r>
          </w:p>
        </w:tc>
      </w:tr>
      <w:tr>
        <w:trPr>
          <w:cantSplit/>
        </w:trPr>
        <w:tc>
          <w:tcPr>
            <w:tcW w:type="dxa" w:w="4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O1</w:t>
            </w:r>
          </w:p>
        </w:tc>
        <w:tc>
          <w:tcPr>
            <w:tcW w:type="dxa" w:w="2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How much of the variation in developer pay does country explain, and where does India stand?</w:t>
            </w:r>
          </w:p>
        </w:tc>
        <w:tc>
          <w:tcPr>
            <w:tcW w:type="dxa" w:w="32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Country, USD pay; Kruskal–Wallis, η², Mann–Whitney (Holm), bootstrap CI; box and CI plots</w:t>
            </w:r>
          </w:p>
        </w:tc>
        <w:tc>
          <w:tcPr>
            <w:tcW w:type="dxa" w:w="235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η² / R² of country; India : USA median ratio with 95 % CI</w:t>
            </w:r>
          </w:p>
        </w:tc>
      </w:tr>
      <w:tr>
        <w:trPr>
          <w:cantSplit/>
        </w:trPr>
        <w:tc>
          <w:tcPr>
            <w:tcW w:type="dxa" w:w="4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O2</w:t>
            </w:r>
          </w:p>
        </w:tc>
        <w:tc>
          <w:tcPr>
            <w:tcW w:type="dxa" w:w="2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How strongly does professional experience raise pay and where do returns diminish?</w:t>
            </w:r>
          </w:p>
        </w:tc>
        <w:tc>
          <w:tcPr>
            <w:tcW w:type="dxa" w:w="32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Years coded professionally, log-pay; Spearman ρ, quadratic log-linear OLS (HC3), delta method; hexbin/LOWESS, curves</w:t>
            </w:r>
          </w:p>
        </w:tc>
        <w:tc>
          <w:tcPr>
            <w:tcW w:type="dxa" w:w="235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ρ with CI; % gain per year at 0/5/10/20 yrs; India-vs-USA slope test</w:t>
            </w:r>
          </w:p>
        </w:tc>
      </w:tr>
      <w:tr>
        <w:trPr>
          <w:cantSplit/>
        </w:trPr>
        <w:tc>
          <w:tcPr>
            <w:tcW w:type="dxa" w:w="4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O3</w:t>
            </w:r>
          </w:p>
        </w:tc>
        <w:tc>
          <w:tcPr>
            <w:tcW w:type="dxa" w:w="2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What are the net effects of role, work mode, organisation size and education after adjusting for country and experience?</w:t>
            </w:r>
          </w:p>
        </w:tc>
        <w:tc>
          <w:tcPr>
            <w:tcW w:type="dxa" w:w="32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OLS (HC3), nested-model ΔR², partial η²; forest plots</w:t>
            </w:r>
          </w:p>
        </w:tc>
        <w:tc>
          <w:tcPr>
            <w:tcW w:type="dxa" w:w="235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Adjusted % differences with 95 % CI; ΔR² per block</w:t>
            </w:r>
          </w:p>
        </w:tc>
      </w:tr>
      <w:tr>
        <w:trPr>
          <w:cantSplit/>
        </w:trPr>
        <w:tc>
          <w:tcPr>
            <w:tcW w:type="dxa" w:w="4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O4</w:t>
            </w:r>
          </w:p>
        </w:tc>
        <w:tc>
          <w:tcPr>
            <w:tcW w:type="dxa" w:w="2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Who uses AI tools in development?</w:t>
            </w:r>
          </w:p>
        </w:tc>
        <w:tc>
          <w:tcPr>
            <w:tcW w:type="dxa" w:w="32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χ² tests, Cramér’s V, Wilson CIs, z-test; stacked bars, dot plots, heat-map</w:t>
            </w:r>
          </w:p>
        </w:tc>
        <w:tc>
          <w:tcPr>
            <w:tcW w:type="dxa" w:w="235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Adoption % with CI per group; ranking of factors; India-vs-world gap</w:t>
            </w:r>
          </w:p>
        </w:tc>
      </w:tr>
      <w:tr>
        <w:trPr>
          <w:cantSplit/>
        </w:trPr>
        <w:tc>
          <w:tcPr>
            <w:tcW w:type="dxa" w:w="4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O5</w:t>
            </w:r>
          </w:p>
        </w:tc>
        <w:tc>
          <w:tcPr>
            <w:tcW w:type="dxa" w:w="2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How do sentiment, trust and job-threat perception vary with career stage, role and country?</w:t>
            </w:r>
          </w:p>
        </w:tc>
        <w:tc>
          <w:tcPr>
            <w:tcW w:type="dxa" w:w="32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Spearman ρ, Kruskal–Wallis ε², χ², Mann–Whitney; distribution and trend plots</w:t>
            </w:r>
          </w:p>
        </w:tc>
        <w:tc>
          <w:tcPr>
            <w:tcW w:type="dxa" w:w="235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ρ (experience ↔ trust); threat-rate gaps</w:t>
            </w:r>
          </w:p>
        </w:tc>
      </w:tr>
      <w:tr>
        <w:trPr>
          <w:cantSplit/>
        </w:trPr>
        <w:tc>
          <w:tcPr>
            <w:tcW w:type="dxa" w:w="4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O6</w:t>
            </w:r>
          </w:p>
        </w:tc>
        <w:tc>
          <w:tcPr>
            <w:tcW w:type="dxa" w:w="2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Can annual compensation be predicted (regression, ≥ 4 models)?</w:t>
            </w:r>
          </w:p>
        </w:tc>
        <w:tc>
          <w:tcPr>
            <w:tcW w:type="dxa" w:w="32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Baselines, Ridge, Random Forest, HistGradientBoosting, LightGBM; CV, tuning</w:t>
            </w:r>
          </w:p>
        </w:tc>
        <w:tc>
          <w:tcPr>
            <w:tcW w:type="dxa" w:w="235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RMSE(log) reduction ≥ 40 % vs baseline; beat country-median baseline; R², MAE, MdAPE</w:t>
            </w:r>
          </w:p>
        </w:tc>
      </w:tr>
      <w:tr>
        <w:trPr>
          <w:cantSplit/>
        </w:trPr>
        <w:tc>
          <w:tcPr>
            <w:tcW w:type="dxa" w:w="4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O7</w:t>
            </w:r>
          </w:p>
        </w:tc>
        <w:tc>
          <w:tcPr>
            <w:tcW w:type="dxa" w:w="2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Can current AI-tool adoption be predicted (classification, ≥ 4 models)?</w:t>
            </w:r>
          </w:p>
        </w:tc>
        <w:tc>
          <w:tcPr>
            <w:tcW w:type="dxa" w:w="32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Baseline, Logistic Regression, RF, HistGB, LightGBM; CV, tuning, threshold analysis</w:t>
            </w:r>
          </w:p>
        </w:tc>
        <w:tc>
          <w:tcPr>
            <w:tcW w:type="dxa" w:w="235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ROC-AUC ≥ 0.65; F1 above majority baseline; calibration</w:t>
            </w:r>
          </w:p>
        </w:tc>
      </w:tr>
      <w:tr>
        <w:trPr>
          <w:cantSplit/>
        </w:trPr>
        <w:tc>
          <w:tcPr>
            <w:tcW w:type="dxa" w:w="4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O8</w:t>
            </w:r>
          </w:p>
        </w:tc>
        <w:tc>
          <w:tcPr>
            <w:tcW w:type="dxa" w:w="2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Which inputs drive the models and where do they fail?</w:t>
            </w:r>
          </w:p>
        </w:tc>
        <w:tc>
          <w:tcPr>
            <w:tcW w:type="dxa" w:w="32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Permutation importance, SHAP, partial dependence, segment error audit</w:t>
            </w:r>
          </w:p>
        </w:tc>
        <w:tc>
          <w:tcPr>
            <w:tcW w:type="dxa" w:w="235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Ranked drivers; error gaps across countries/segments</w:t>
            </w:r>
          </w:p>
        </w:tc>
      </w:tr>
    </w:tbl>
    <w:p>
      <w:pPr>
        <w:spacing w:after="160" w:before="0" w:line="240" w:lineRule="auto"/>
      </w:pPr>
    </w:p>
    <w:p>
      <w:pPr>
        <w:pStyle w:val="Heading2"/>
      </w:pPr>
      <w:r>
        <w:rPr>
          <w:rFonts w:ascii="Times New Roman" w:cs="Times New Roman" w:eastAsia="Times New Roman" w:hAnsi="Times New Roman"/>
        </w:rPr>
        <w:t xml:space="preserve">1.5 Objective-to-analysis mapping</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w:t>
      </w:r>
      <w:r>
        <w:fldChar w:fldCharType="end"/>
      </w:r>
      <w:r>
        <w:rPr>
          <w:rFonts w:ascii="Times New Roman" w:cs="Times New Roman" w:eastAsia="Times New Roman" w:hAnsi="Times New Roman"/>
          <w:sz w:val="22"/>
          <w:szCs w:val="22"/>
        </w:rPr>
        <w:t xml:space="preserve">: Mapping of every objective to its report section, figures, result tables and notebook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1236"/>
        <w:gridCol w:w="1607"/>
        <w:gridCol w:w="3586"/>
        <w:gridCol w:w="1608"/>
      </w:tblGrid>
      <w:tr>
        <w:trPr>
          <w:cantSplit/>
          <w:tblHeader/>
        </w:trPr>
        <w:tc>
          <w:tcPr>
            <w:tcW w:type="dxa" w:w="98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Objective</w:t>
            </w:r>
          </w:p>
        </w:tc>
        <w:tc>
          <w:tcPr>
            <w:tcW w:type="dxa" w:w="123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Report section</w:t>
            </w:r>
          </w:p>
        </w:tc>
        <w:tc>
          <w:tcPr>
            <w:tcW w:type="dxa" w:w="160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Figures</w:t>
            </w:r>
          </w:p>
        </w:tc>
        <w:tc>
          <w:tcPr>
            <w:tcW w:type="dxa" w:w="358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Result tables (CSV)</w:t>
            </w:r>
          </w:p>
        </w:tc>
        <w:tc>
          <w:tcPr>
            <w:tcW w:type="dxa" w:w="160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Notebook section</w:t>
            </w:r>
          </w:p>
        </w:tc>
      </w:tr>
      <w:tr>
        <w:trPr>
          <w:cantSplit/>
        </w:trPr>
        <w:tc>
          <w:tcPr>
            <w:tcW w:type="dxa" w:w="9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O1</w:t>
            </w:r>
          </w:p>
        </w:tc>
        <w:tc>
          <w:tcPr>
            <w:tcW w:type="dxa" w:w="123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§4.1</w:t>
            </w:r>
          </w:p>
        </w:tc>
        <w:tc>
          <w:tcPr>
            <w:tcW w:type="dxa" w:w="160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fig09, fig10</w:t>
            </w:r>
          </w:p>
        </w:tc>
        <w:tc>
          <w:tcPr>
            <w:tcW w:type="dxa" w:w="35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tbl_o1_country_stats</w:t>
            </w:r>
          </w:p>
        </w:tc>
        <w:tc>
          <w:tcPr>
            <w:tcW w:type="dxa" w:w="16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D, O1</w:t>
            </w:r>
          </w:p>
        </w:tc>
      </w:tr>
      <w:tr>
        <w:trPr>
          <w:cantSplit/>
        </w:trPr>
        <w:tc>
          <w:tcPr>
            <w:tcW w:type="dxa" w:w="9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O2</w:t>
            </w:r>
          </w:p>
        </w:tc>
        <w:tc>
          <w:tcPr>
            <w:tcW w:type="dxa" w:w="123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§4.2</w:t>
            </w:r>
          </w:p>
        </w:tc>
        <w:tc>
          <w:tcPr>
            <w:tcW w:type="dxa" w:w="160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fig11, fig12</w:t>
            </w:r>
          </w:p>
        </w:tc>
        <w:tc>
          <w:tcPr>
            <w:tcW w:type="dxa" w:w="35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tbl_o2_marginal</w:t>
            </w:r>
          </w:p>
        </w:tc>
        <w:tc>
          <w:tcPr>
            <w:tcW w:type="dxa" w:w="16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D, O2</w:t>
            </w:r>
          </w:p>
        </w:tc>
      </w:tr>
      <w:tr>
        <w:trPr>
          <w:cantSplit/>
        </w:trPr>
        <w:tc>
          <w:tcPr>
            <w:tcW w:type="dxa" w:w="9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O3</w:t>
            </w:r>
          </w:p>
        </w:tc>
        <w:tc>
          <w:tcPr>
            <w:tcW w:type="dxa" w:w="123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§4.3</w:t>
            </w:r>
          </w:p>
        </w:tc>
        <w:tc>
          <w:tcPr>
            <w:tcW w:type="dxa" w:w="160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fig13–fig15</w:t>
            </w:r>
          </w:p>
        </w:tc>
        <w:tc>
          <w:tcPr>
            <w:tcW w:type="dxa" w:w="35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tbl_o3_nested_models, tbl_o3_adjusted_effects</w:t>
            </w:r>
          </w:p>
        </w:tc>
        <w:tc>
          <w:tcPr>
            <w:tcW w:type="dxa" w:w="16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D, O3</w:t>
            </w:r>
          </w:p>
        </w:tc>
      </w:tr>
      <w:tr>
        <w:trPr>
          <w:cantSplit/>
        </w:trPr>
        <w:tc>
          <w:tcPr>
            <w:tcW w:type="dxa" w:w="9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O4</w:t>
            </w:r>
          </w:p>
        </w:tc>
        <w:tc>
          <w:tcPr>
            <w:tcW w:type="dxa" w:w="123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§4.4</w:t>
            </w:r>
          </w:p>
        </w:tc>
        <w:tc>
          <w:tcPr>
            <w:tcW w:type="dxa" w:w="160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fig16–fig19</w:t>
            </w:r>
          </w:p>
        </w:tc>
        <w:tc>
          <w:tcPr>
            <w:tcW w:type="dxa" w:w="35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tbl_o4_factor_tests</w:t>
            </w:r>
          </w:p>
        </w:tc>
        <w:tc>
          <w:tcPr>
            <w:tcW w:type="dxa" w:w="16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D, O4</w:t>
            </w:r>
          </w:p>
        </w:tc>
      </w:tr>
      <w:tr>
        <w:trPr>
          <w:cantSplit/>
        </w:trPr>
        <w:tc>
          <w:tcPr>
            <w:tcW w:type="dxa" w:w="9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O5</w:t>
            </w:r>
          </w:p>
        </w:tc>
        <w:tc>
          <w:tcPr>
            <w:tcW w:type="dxa" w:w="123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§4.5</w:t>
            </w:r>
          </w:p>
        </w:tc>
        <w:tc>
          <w:tcPr>
            <w:tcW w:type="dxa" w:w="160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fig20–fig23</w:t>
            </w:r>
          </w:p>
        </w:tc>
        <w:tc>
          <w:tcPr>
            <w:tcW w:type="dxa" w:w="35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tbl_o5_conditionality</w:t>
            </w:r>
          </w:p>
        </w:tc>
        <w:tc>
          <w:tcPr>
            <w:tcW w:type="dxa" w:w="16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D, O5</w:t>
            </w:r>
          </w:p>
        </w:tc>
      </w:tr>
      <w:tr>
        <w:trPr>
          <w:cantSplit/>
        </w:trPr>
        <w:tc>
          <w:tcPr>
            <w:tcW w:type="dxa" w:w="9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O6</w:t>
            </w:r>
          </w:p>
        </w:tc>
        <w:tc>
          <w:tcPr>
            <w:tcW w:type="dxa" w:w="123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§4.6</w:t>
            </w:r>
          </w:p>
        </w:tc>
        <w:tc>
          <w:tcPr>
            <w:tcW w:type="dxa" w:w="160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fig24–fig26</w:t>
            </w:r>
          </w:p>
        </w:tc>
        <w:tc>
          <w:tcPr>
            <w:tcW w:type="dxa" w:w="35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tbl_o6_model_comparison</w:t>
            </w:r>
          </w:p>
        </w:tc>
        <w:tc>
          <w:tcPr>
            <w:tcW w:type="dxa" w:w="16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E, O6</w:t>
            </w:r>
          </w:p>
        </w:tc>
      </w:tr>
      <w:tr>
        <w:trPr>
          <w:cantSplit/>
        </w:trPr>
        <w:tc>
          <w:tcPr>
            <w:tcW w:type="dxa" w:w="9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O7</w:t>
            </w:r>
          </w:p>
        </w:tc>
        <w:tc>
          <w:tcPr>
            <w:tcW w:type="dxa" w:w="123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§4.7</w:t>
            </w:r>
          </w:p>
        </w:tc>
        <w:tc>
          <w:tcPr>
            <w:tcW w:type="dxa" w:w="160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fig27–fig29</w:t>
            </w:r>
          </w:p>
        </w:tc>
        <w:tc>
          <w:tcPr>
            <w:tcW w:type="dxa" w:w="35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tbl_o7_model_comparison</w:t>
            </w:r>
          </w:p>
        </w:tc>
        <w:tc>
          <w:tcPr>
            <w:tcW w:type="dxa" w:w="16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E, O7</w:t>
            </w:r>
          </w:p>
        </w:tc>
      </w:tr>
      <w:tr>
        <w:trPr>
          <w:cantSplit/>
        </w:trPr>
        <w:tc>
          <w:tcPr>
            <w:tcW w:type="dxa" w:w="9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O8</w:t>
            </w:r>
          </w:p>
        </w:tc>
        <w:tc>
          <w:tcPr>
            <w:tcW w:type="dxa" w:w="123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§4.8</w:t>
            </w:r>
          </w:p>
        </w:tc>
        <w:tc>
          <w:tcPr>
            <w:tcW w:type="dxa" w:w="160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fig30–fig36</w:t>
            </w:r>
          </w:p>
        </w:tc>
        <w:tc>
          <w:tcPr>
            <w:tcW w:type="dxa" w:w="35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tbl_o8_* tables</w:t>
            </w:r>
          </w:p>
        </w:tc>
        <w:tc>
          <w:tcPr>
            <w:tcW w:type="dxa" w:w="16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Part F, O8</w:t>
            </w:r>
          </w:p>
        </w:tc>
      </w:tr>
    </w:tbl>
    <w:p>
      <w:pPr>
        <w:spacing w:after="160" w:before="60" w:line="240" w:lineRule="auto"/>
      </w:pPr>
      <w:r>
        <w:rPr>
          <w:rFonts w:ascii="Times New Roman" w:cs="Times New Roman" w:eastAsia="Times New Roman" w:hAnsi="Times New Roman"/>
          <w:i/>
          <w:iCs/>
          <w:sz w:val="20"/>
          <w:szCs w:val="20"/>
        </w:rPr>
        <w:t xml:space="preserve">Figure file names refer to the PNG files in reports/figures/ (e.g. fig09 = fig09_country_boxplot.png).</w:t>
      </w:r>
    </w:p>
    <w:p>
      <w:pPr>
        <w:pStyle w:val="Heading2"/>
      </w:pPr>
      <w:r>
        <w:rPr>
          <w:rFonts w:ascii="Times New Roman" w:cs="Times New Roman" w:eastAsia="Times New Roman" w:hAnsi="Times New Roman"/>
        </w:rPr>
        <w:t xml:space="preserve">1.6 Tools, technologies and deliverables</w:t>
      </w:r>
    </w:p>
    <w:p>
      <w:pPr>
        <w:spacing w:after="120" w:before="0" w:line="360" w:lineRule="auto"/>
        <w:jc w:val="left"/>
      </w:pPr>
      <w:r>
        <w:rPr>
          <w:rFonts w:ascii="Times New Roman" w:cs="Times New Roman" w:eastAsia="Times New Roman" w:hAnsi="Times New Roman"/>
        </w:rPr>
        <w:t xml:space="preserve">All work was performed in Python 3.12.3 inside a Jupyter notebook using pandas 3.0.2, NumPy 2.4.4, SciPy 1.17.1, statsmodels 0.15.0, scikit-learn 1.8.0, LightGBM 4.7.0, SHAP, Matplotlib and Seaborn. Every random process uses the seed 42. The project folder contains: the raw data and its documentation; the executed notebook; a reusable </w:t>
      </w:r>
      <w:r>
        <w:rPr>
          <w:rFonts w:ascii="Courier New" w:cs="Courier New" w:eastAsia="Courier New" w:hAnsi="Courier New"/>
          <w:sz w:val="22"/>
          <w:szCs w:val="22"/>
        </w:rPr>
        <w:t xml:space="preserve">src/</w:t>
      </w:r>
      <w:r>
        <w:rPr>
          <w:rFonts w:ascii="Times New Roman" w:cs="Times New Roman" w:eastAsia="Times New Roman" w:hAnsi="Times New Roman"/>
        </w:rPr>
        <w:t xml:space="preserve"> package (data preparation, features, modelling, statistics, plotting, prediction); all 36 figures (300 dpi PNG) and 25 result tables; the trained best models with their preprocessing pipelines; a README with set-up and GitHub instructions; viva preparation notes; and this report.</w:t>
      </w:r>
    </w:p>
    <w:p>
      <w:pPr>
        <w:pStyle w:val="Heading2"/>
      </w:pPr>
      <w:r>
        <w:rPr>
          <w:rFonts w:ascii="Times New Roman" w:cs="Times New Roman" w:eastAsia="Times New Roman" w:hAnsi="Times New Roman"/>
        </w:rPr>
        <w:t xml:space="preserve">1.7 Organisation of the report</w:t>
      </w:r>
    </w:p>
    <w:p>
      <w:pPr>
        <w:spacing w:after="120" w:before="0" w:line="360" w:lineRule="auto"/>
        <w:jc w:val="both"/>
      </w:pPr>
      <w:r>
        <w:rPr>
          <w:rFonts w:ascii="Times New Roman" w:cs="Times New Roman" w:eastAsia="Times New Roman" w:hAnsi="Times New Roman"/>
        </w:rPr>
        <w:t xml:space="preserve">Chapter 2 documents the source of the dataset and why it was selected. Chapter 3 describes the exploratory data analysis process: inspection, quality assessment, cleaning, univariate and bivariate exploration, feature engineering and leakage control. Chapter 4 presents the eight analyses; each follows the prescribed structure </w:t>
      </w:r>
      <w:r>
        <w:rPr>
          <w:rFonts w:ascii="Times New Roman" w:cs="Times New Roman" w:eastAsia="Times New Roman" w:hAnsi="Times New Roman"/>
          <w:i/>
          <w:iCs/>
        </w:rPr>
        <w:t xml:space="preserve">(i) Introduction, (ii) General Description, (iii) Specific Requirements, Functions and Formulas, (iv) Analysis Results, (v) Visualization and Interpretation</w:t>
      </w:r>
      <w:r>
        <w:rPr>
          <w:rFonts w:ascii="Times New Roman" w:cs="Times New Roman" w:eastAsia="Times New Roman" w:hAnsi="Times New Roman"/>
        </w:rPr>
        <w:t xml:space="preserve">. Chapters 5 and 6 give the conclusion and future scope, followed by the references.</w:t>
      </w:r>
    </w:p>
    <w:p>
      <w:pPr>
        <w:pStyle w:val="Heading1"/>
        <w:pageBreakBefore/>
      </w:pPr>
      <w:r>
        <w:rPr>
          <w:rFonts w:ascii="Times New Roman" w:cs="Times New Roman" w:eastAsia="Times New Roman" w:hAnsi="Times New Roman"/>
        </w:rPr>
        <w:t xml:space="preserve">2. Source of Dataset</w:t>
      </w:r>
    </w:p>
    <w:p>
      <w:pPr>
        <w:pStyle w:val="Heading2"/>
      </w:pPr>
      <w:r>
        <w:rPr>
          <w:rFonts w:ascii="Times New Roman" w:cs="Times New Roman" w:eastAsia="Times New Roman" w:hAnsi="Times New Roman"/>
        </w:rPr>
        <w:t xml:space="preserve">2.1 Dataset selection process</w:t>
      </w:r>
    </w:p>
    <w:p>
      <w:pPr>
        <w:spacing w:after="120" w:before="0" w:line="360" w:lineRule="auto"/>
        <w:jc w:val="both"/>
      </w:pPr>
      <w:r>
        <w:rPr>
          <w:rFonts w:ascii="Times New Roman" w:cs="Times New Roman" w:eastAsia="Times New Roman" w:hAnsi="Times New Roman"/>
        </w:rPr>
        <w:t xml:space="preserve">The brief asks for the most suitable, real, sufficiently large, currently relevant dataset with a meaningful prediction target. The four portals named in the brief (Kaggle, data.gov.in, Mendeley Data, AI Kosh) could not be reached from the environment in which this project was built, so candidates were evaluated among openly licensed datasets that </w:t>
      </w:r>
      <w:r>
        <w:rPr>
          <w:rFonts w:ascii="Times New Roman" w:cs="Times New Roman" w:eastAsia="Times New Roman" w:hAnsi="Times New Roman"/>
          <w:i/>
          <w:iCs/>
        </w:rPr>
        <w:t xml:space="preserve">could</w:t>
      </w:r>
      <w:r>
        <w:rPr>
          <w:rFonts w:ascii="Times New Roman" w:cs="Times New Roman" w:eastAsia="Times New Roman" w:hAnsi="Times New Roman"/>
        </w:rPr>
        <w:t xml:space="preserve"> be downloaded and inspected (documented, curated collections hosted on GitHub). Each candidate was actually loaded and profiled; none was judged from its title alone.</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3</w:t>
      </w:r>
      <w:r>
        <w:fldChar w:fldCharType="end"/>
      </w:r>
      <w:r>
        <w:rPr>
          <w:rFonts w:ascii="Times New Roman" w:cs="Times New Roman" w:eastAsia="Times New Roman" w:hAnsi="Times New Roman"/>
          <w:sz w:val="22"/>
          <w:szCs w:val="22"/>
        </w:rPr>
        <w:t xml:space="preserve">: Candidate datasets evaluated (those reachable and profiled)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0"/>
        <w:gridCol w:w="1289"/>
        <w:gridCol w:w="2182"/>
        <w:gridCol w:w="1785"/>
        <w:gridCol w:w="1390"/>
      </w:tblGrid>
      <w:tr>
        <w:trPr>
          <w:cantSplit/>
          <w:tblHeader/>
        </w:trPr>
        <w:tc>
          <w:tcPr>
            <w:tcW w:type="dxa" w:w="238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Candidate</w:t>
            </w:r>
          </w:p>
        </w:tc>
        <w:tc>
          <w:tcPr>
            <w:tcW w:type="dxa" w:w="128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Rows × cols</w:t>
            </w:r>
          </w:p>
        </w:tc>
        <w:tc>
          <w:tcPr>
            <w:tcW w:type="dxa" w:w="218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Prediction targets</w:t>
            </w:r>
          </w:p>
        </w:tc>
        <w:tc>
          <w:tcPr>
            <w:tcW w:type="dxa" w:w="178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Topical relevance</w:t>
            </w:r>
          </w:p>
        </w:tc>
        <w:tc>
          <w:tcPr>
            <w:tcW w:type="dxa" w:w="139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Decision</w:t>
            </w:r>
          </w:p>
        </w:tc>
      </w:tr>
      <w:tr>
        <w:trPr>
          <w:cantSplit/>
        </w:trPr>
        <w:tc>
          <w:tcPr>
            <w:tcW w:type="dxa" w:w="23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Stack Overflow Developer Survey 2024 (TidyTuesday extract)</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65,437 × 28</w:t>
            </w:r>
          </w:p>
        </w:tc>
        <w:tc>
          <w:tcPr>
            <w:tcW w:type="dxa" w:w="21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Salary (continuous), AI adoption (binary), attitudes (ordinal)</w:t>
            </w:r>
          </w:p>
        </w:tc>
        <w:tc>
          <w:tcPr>
            <w:tcW w:type="dxa" w:w="178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Very high — AI in software work; global; includes India</w:t>
            </w:r>
          </w:p>
        </w:tc>
        <w:tc>
          <w:tcPr>
            <w:tcW w:type="dxa" w:w="139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Selected</w:t>
            </w:r>
          </w:p>
        </w:tc>
      </w:tr>
      <w:tr>
        <w:trPr>
          <w:cantSplit/>
        </w:trPr>
        <w:tc>
          <w:tcPr>
            <w:tcW w:type="dxa" w:w="23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Netflix viewing report H1 2025</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36,121 movies / 27,803 shows × 8</w:t>
            </w:r>
          </w:p>
        </w:tc>
        <w:tc>
          <w:tcPr>
            <w:tcW w:type="dxa" w:w="21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Weak (views from a few aggregate columns)</w:t>
            </w:r>
          </w:p>
        </w:tc>
        <w:tc>
          <w:tcPr>
            <w:tcW w:type="dxa" w:w="178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High</w:t>
            </w:r>
          </w:p>
        </w:tc>
        <w:tc>
          <w:tcPr>
            <w:tcW w:type="dxa" w:w="139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Rejected: no meaningful supervised target</w:t>
            </w:r>
          </w:p>
        </w:tc>
      </w:tr>
      <w:tr>
        <w:trPr>
          <w:cantSplit/>
        </w:trPr>
        <w:tc>
          <w:tcPr>
            <w:tcW w:type="dxa" w:w="23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Henley Passport Index (rank by year)</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3,950 × 6</w:t>
            </w:r>
          </w:p>
        </w:tc>
        <w:tc>
          <w:tcPr>
            <w:tcW w:type="dxa" w:w="21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Rank / visa-free counts (trend only)</w:t>
            </w:r>
          </w:p>
        </w:tc>
        <w:tc>
          <w:tcPr>
            <w:tcW w:type="dxa" w:w="178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Medium</w:t>
            </w:r>
          </w:p>
        </w:tc>
        <w:tc>
          <w:tcPr>
            <w:tcW w:type="dxa" w:w="139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Rejected: few features, time-series style</w:t>
            </w:r>
          </w:p>
        </w:tc>
      </w:tr>
      <w:tr>
        <w:trPr>
          <w:cantSplit/>
        </w:trPr>
        <w:tc>
          <w:tcPr>
            <w:tcW w:type="dxa" w:w="23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Pokémon (2025)</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949 × 22</w:t>
            </w:r>
          </w:p>
        </w:tc>
        <w:tc>
          <w:tcPr>
            <w:tcW w:type="dxa" w:w="21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Stats (game data)</w:t>
            </w:r>
          </w:p>
        </w:tc>
        <w:tc>
          <w:tcPr>
            <w:tcW w:type="dxa" w:w="178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Low</w:t>
            </w:r>
          </w:p>
        </w:tc>
        <w:tc>
          <w:tcPr>
            <w:tcW w:type="dxa" w:w="139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Rejected: small, not socially relevant</w:t>
            </w:r>
          </w:p>
        </w:tc>
      </w:tr>
      <w:tr>
        <w:trPr>
          <w:cantSplit/>
        </w:trPr>
        <w:tc>
          <w:tcPr>
            <w:tcW w:type="dxa" w:w="23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Cars in Qatar</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105 × 15</w:t>
            </w:r>
          </w:p>
        </w:tc>
        <w:tc>
          <w:tcPr>
            <w:tcW w:type="dxa" w:w="21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Price</w:t>
            </w:r>
          </w:p>
        </w:tc>
        <w:tc>
          <w:tcPr>
            <w:tcW w:type="dxa" w:w="178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Medium</w:t>
            </w:r>
          </w:p>
        </w:tc>
        <w:tc>
          <w:tcPr>
            <w:tcW w:type="dxa" w:w="139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Rejected: only 105 rows — unreliable for CV</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The Stack Overflow survey was selected because it (i) is large and real, (ii) has two natural and different prediction targets (a continuous salary and a binary AI-adoption flag) plus ordinal attitude variables that allow rich statistical questions, (iii) addresses a current, widely discussed topic (AI tools in software work), (iv) is geographically diverse and includes enough Indian respondents for a country-specific analysis, and (v) has an official, documented origin and an open licence.</w:t>
      </w:r>
    </w:p>
    <w:p>
      <w:pPr>
        <w:pStyle w:val="Heading2"/>
      </w:pPr>
      <w:r>
        <w:rPr>
          <w:rFonts w:ascii="Times New Roman" w:cs="Times New Roman" w:eastAsia="Times New Roman" w:hAnsi="Times New Roman"/>
        </w:rPr>
        <w:t xml:space="preserve">2.2 Provenance and licence</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4</w:t>
      </w:r>
      <w:r>
        <w:fldChar w:fldCharType="end"/>
      </w:r>
      <w:r>
        <w:rPr>
          <w:rFonts w:ascii="Times New Roman" w:cs="Times New Roman" w:eastAsia="Times New Roman" w:hAnsi="Times New Roman"/>
          <w:sz w:val="22"/>
          <w:szCs w:val="22"/>
        </w:rPr>
        <w:t xml:space="preserve">: Provenance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6963"/>
      </w:tblGrid>
      <w:tr>
        <w:trPr>
          <w:cantSplit/>
          <w:tblHeader/>
        </w:trPr>
        <w:tc>
          <w:tcPr>
            <w:tcW w:type="dxa" w:w="20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Item</w:t>
            </w:r>
          </w:p>
        </w:tc>
        <w:tc>
          <w:tcPr>
            <w:tcW w:type="dxa" w:w="69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Value</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Original publisher</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Stack Overflow (Annual Developer Survey, fielded May 2024)</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Official page</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https://survey.stackoverflow.co/ (2024 results: https://survey.stackoverflow.co/2024/)</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Licence</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Open Database Licence (ODbL), as stated on the survey page (re-confirm before submission)</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Extract used</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TidyTuesday 2024 week 36, curated by Havisha Khurana (single-response, integer-coded questions + crosswalk)</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Extract URL</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https://github.com/rfordatascience/tidytuesday/tree/main/data/2024/2024-09-03</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Repository commit at download</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b2258ae949e3c64099c4e6d00ff4b68dba1d6d0e (downloaded October 2026)</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Main file</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stackoverflow_survey_single_response.csv, SHA-256 bbfad6bf…c2446</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Companion files</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qname_levels_single_response_crosswalk.csv (code → label), stackoverflow_survey_questions.csv (question text)</w:t>
            </w:r>
          </w:p>
        </w:tc>
      </w:tr>
    </w:tbl>
    <w:p>
      <w:pPr>
        <w:spacing w:after="160" w:before="0" w:line="240" w:lineRule="auto"/>
      </w:pPr>
    </w:p>
    <w:p>
      <w:pPr>
        <w:spacing w:after="120" w:before="0" w:line="360" w:lineRule="auto"/>
        <w:jc w:val="left"/>
      </w:pPr>
      <w:r>
        <w:rPr>
          <w:rFonts w:ascii="Times New Roman" w:cs="Times New Roman" w:eastAsia="Times New Roman" w:hAnsi="Times New Roman"/>
          <w:b/>
          <w:bCs/>
        </w:rPr>
        <w:t xml:space="preserve">Transparency note.</w:t>
      </w:r>
      <w:r>
        <w:rPr>
          <w:rFonts w:ascii="Times New Roman" w:cs="Times New Roman" w:eastAsia="Times New Roman" w:hAnsi="Times New Roman"/>
        </w:rPr>
        <w:t xml:space="preserve"> Because the original download CDN was not reachable, the data were taken from the TidyTuesday GitHub copy, whose own cleaning script (stored in </w:t>
      </w:r>
      <w:r>
        <w:rPr>
          <w:rFonts w:ascii="Courier New" w:cs="Courier New" w:eastAsia="Courier New" w:hAnsi="Courier New"/>
          <w:sz w:val="22"/>
          <w:szCs w:val="22"/>
        </w:rPr>
        <w:t xml:space="preserve">data/raw/TIDYTUESDAY_README_ORIGINAL.md</w:t>
      </w:r>
      <w:r>
        <w:rPr>
          <w:rFonts w:ascii="Times New Roman" w:cs="Times New Roman" w:eastAsia="Times New Roman" w:hAnsi="Times New Roman"/>
        </w:rPr>
        <w:t xml:space="preserve">) derives it from the official Stack Overflow zip. File checksums are recorded so that a reader can verify integrity. Responses are anonymised by the publisher; no personal identifiers are present.</w:t>
      </w:r>
    </w:p>
    <w:p>
      <w:pPr>
        <w:pStyle w:val="Heading2"/>
      </w:pPr>
      <w:r>
        <w:rPr>
          <w:rFonts w:ascii="Times New Roman" w:cs="Times New Roman" w:eastAsia="Times New Roman" w:hAnsi="Times New Roman"/>
        </w:rPr>
        <w:t xml:space="preserve">2.3 Structure and data dictionary</w:t>
      </w:r>
    </w:p>
    <w:p>
      <w:pPr>
        <w:spacing w:after="120" w:before="0" w:line="360" w:lineRule="auto"/>
        <w:jc w:val="left"/>
      </w:pPr>
      <w:r>
        <w:rPr>
          <w:rFonts w:ascii="Times New Roman" w:cs="Times New Roman" w:eastAsia="Times New Roman" w:hAnsi="Times New Roman"/>
        </w:rPr>
        <w:t xml:space="preserve">The main table has 65,437 rows (one per respondent) and 28 columns, occupying about 21.3 MB in memory. Categorical answers are stored as integer codes; the crosswalk (122 rows) maps each code to its text label and was applied by the function </w:t>
      </w:r>
      <w:r>
        <w:rPr>
          <w:rFonts w:ascii="Courier New" w:cs="Courier New" w:eastAsia="Courier New" w:hAnsi="Courier New"/>
          <w:sz w:val="22"/>
          <w:szCs w:val="22"/>
        </w:rPr>
        <w:t xml:space="preserve">decode()</w:t>
      </w:r>
      <w:r>
        <w:rPr>
          <w:rFonts w:ascii="Times New Roman" w:cs="Times New Roman" w:eastAsia="Times New Roman" w:hAnsi="Times New Roman"/>
        </w:rPr>
        <w:t xml:space="preserve">. 24 question texts are provided. Table 5 lists every variable, its measurement type and how it is used in this project.</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5</w:t>
      </w:r>
      <w:r>
        <w:fldChar w:fldCharType="end"/>
      </w:r>
      <w:r>
        <w:rPr>
          <w:rFonts w:ascii="Times New Roman" w:cs="Times New Roman" w:eastAsia="Times New Roman" w:hAnsi="Times New Roman"/>
          <w:sz w:val="22"/>
          <w:szCs w:val="22"/>
        </w:rPr>
        <w:t xml:space="preserve">: Data dictionary of the 28 raw variables and their role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1"/>
        <w:gridCol w:w="3343"/>
        <w:gridCol w:w="1226"/>
        <w:gridCol w:w="2006"/>
        <w:gridCol w:w="780"/>
      </w:tblGrid>
      <w:tr>
        <w:trPr>
          <w:cantSplit/>
          <w:tblHeader/>
        </w:trPr>
        <w:tc>
          <w:tcPr>
            <w:tcW w:type="dxa" w:w="167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6"/>
                <w:szCs w:val="16"/>
              </w:rPr>
              <w:t xml:space="preserve">Variable</w:t>
            </w:r>
          </w:p>
        </w:tc>
        <w:tc>
          <w:tcPr>
            <w:tcW w:type="dxa" w:w="334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6"/>
                <w:szCs w:val="16"/>
              </w:rPr>
              <w:t xml:space="preserve">Description</w:t>
            </w:r>
          </w:p>
        </w:tc>
        <w:tc>
          <w:tcPr>
            <w:tcW w:type="dxa" w:w="122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6"/>
                <w:szCs w:val="16"/>
              </w:rPr>
              <w:t xml:space="preserve">Type</w:t>
            </w:r>
          </w:p>
        </w:tc>
        <w:tc>
          <w:tcPr>
            <w:tcW w:type="dxa" w:w="200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6"/>
                <w:szCs w:val="16"/>
              </w:rPr>
              <w:t xml:space="preserve">Role</w:t>
            </w:r>
          </w:p>
        </w:tc>
        <w:tc>
          <w:tcPr>
            <w:tcW w:type="dxa" w:w="78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6"/>
                <w:szCs w:val="16"/>
              </w:rPr>
              <w:t xml:space="preserve">Missing %</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response_id</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Respondent identifier</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ID</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Excluded</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0.0</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main_branch</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Professional coding level of respondent</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(5)</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 (AI task) / filter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0.0</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age</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Age bracket</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(8)</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 (as age_mid)</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0.0</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remote_work</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Current work situation (remote / hybrid / in-person)</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16.2</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ed_level</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Highest formal education completed</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(8)</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7.1</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years_code</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Total years coded (incl. education); &gt;50 coded as 51</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Numeric</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8.5</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years_code_pro</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Years coded professionally; &gt;50 coded as 51</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Numeric</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21.1</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dev_type</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Best description of current job</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(34)</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9.2</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org_size</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Number of people in the organisation</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(10)</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27.4</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purchase_influence</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Influence over technology purchases</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(3)</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27.6</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buildvs_buy</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Customisation needed in last tool recommendation</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33.7</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country</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Country of residence</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(≈185)</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9.9</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currency</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Day-to-day currency</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Excluded (duplicates country)</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28.7</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comp_total</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Total annual compensation in local currency</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Numeric</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Excluded (target twin)</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48.4</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so_visit_freq</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Stack Overflow visit frequency</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(5)</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9.0</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so_account</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Has a Stack Overflow account</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9.0</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so_part_freq</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Stack Overflow Q&amp;A participation frequency</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(6)</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30.9</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so_comm</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Feels part of the Stack Overflow community</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(6)</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9.6</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ai_select</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Currently uses AI tools in development</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(3)</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Target (O7) / Predictor (O6)</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6.9</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ai_sent</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Stance on AI tools in workflow</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(6)</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Analysis-only (conditional question)</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29.9</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ai_acc</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Trust in accuracy of AI output</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(5)</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Analysis-only (conditional question)</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43.0</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ai_complex</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AI performance on complex tasks</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Ordinal (5)</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Analysis-only (conditional question)</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43.4</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ai_threat</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Believes AI is a threat to own job</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Analysis-only (conditional question)</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31.7</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survey_length</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Opinion on survey length</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Excluded</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14.1</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survey_ease</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Opinion on survey difficulty</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Nominal (3)</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Excluded</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14.1</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converted_comp_yearly</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Annual compensation converted to USD</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Numeric</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Target (O6)</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64.2</w:t>
            </w:r>
          </w:p>
        </w:tc>
      </w:tr>
      <w:tr>
        <w:trPr>
          <w:cantSplit/>
        </w:trPr>
        <w:tc>
          <w:tcPr>
            <w:tcW w:type="dxa" w:w="167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r_used</w:t>
            </w:r>
          </w:p>
        </w:tc>
        <w:tc>
          <w:tcPr>
            <w:tcW w:type="dxa" w:w="33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Used the R language last year (flag)</w:t>
            </w:r>
          </w:p>
        </w:tc>
        <w:tc>
          <w:tcPr>
            <w:tcW w:type="dxa" w:w="12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Binary</w:t>
            </w:r>
          </w:p>
        </w:tc>
        <w:tc>
          <w:tcPr>
            <w:tcW w:type="dxa" w:w="20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Predictor</w:t>
            </w:r>
          </w:p>
        </w:tc>
        <w:tc>
          <w:tcPr>
            <w:tcW w:type="dxa" w:w="78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8.7</w:t>
            </w:r>
          </w:p>
        </w:tc>
      </w:tr>
      <w:tr>
        <w:trPr>
          <w:cantSplit/>
        </w:trPr>
        <w:tc>
          <w:tcPr>
            <w:tcW w:type="dxa" w:w="167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r_want_to_use</w:t>
            </w:r>
          </w:p>
        </w:tc>
        <w:tc>
          <w:tcPr>
            <w:tcW w:type="dxa" w:w="33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Wants to use R next year (flag)</w:t>
            </w:r>
          </w:p>
        </w:tc>
        <w:tc>
          <w:tcPr>
            <w:tcW w:type="dxa" w:w="12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Binary</w:t>
            </w:r>
          </w:p>
        </w:tc>
        <w:tc>
          <w:tcPr>
            <w:tcW w:type="dxa" w:w="20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6"/>
                <w:szCs w:val="16"/>
              </w:rPr>
              <w:t xml:space="preserve">Excluded (not relevant)</w:t>
            </w:r>
          </w:p>
        </w:tc>
        <w:tc>
          <w:tcPr>
            <w:tcW w:type="dxa" w:w="78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6"/>
                <w:szCs w:val="16"/>
              </w:rPr>
              <w:t xml:space="preserve">14.8</w:t>
            </w:r>
          </w:p>
        </w:tc>
      </w:tr>
    </w:tbl>
    <w:p>
      <w:pPr>
        <w:spacing w:after="160" w:before="0" w:line="240" w:lineRule="auto"/>
      </w:pPr>
    </w:p>
    <w:p>
      <w:pPr>
        <w:pStyle w:val="Heading2"/>
      </w:pPr>
      <w:r>
        <w:rPr>
          <w:rFonts w:ascii="Times New Roman" w:cs="Times New Roman" w:eastAsia="Times New Roman" w:hAnsi="Times New Roman"/>
        </w:rPr>
        <w:t xml:space="preserve">2.4 Known limitations of the source</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Self-selection.</w:t>
      </w:r>
      <w:r>
        <w:rPr>
          <w:rFonts w:ascii="Times New Roman" w:cs="Times New Roman" w:eastAsia="Times New Roman" w:hAnsi="Times New Roman"/>
        </w:rPr>
        <w:t xml:space="preserve"> Respondents are people who answer a Stack Overflow survey, not a random sample of all developers; results describe the sample, not the whole profession.</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Self-reported, nominal compensation.</w:t>
      </w:r>
      <w:r>
        <w:rPr>
          <w:rFonts w:ascii="Times New Roman" w:cs="Times New Roman" w:eastAsia="Times New Roman" w:hAnsi="Times New Roman"/>
        </w:rPr>
        <w:t xml:space="preserve"> Pay is optional, unverified, in nominal USD (not adjusted for purchasing power) and may mix salary with bonuses.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Structural missingness.</w:t>
      </w:r>
      <w:r>
        <w:rPr>
          <w:rFonts w:ascii="Times New Roman" w:cs="Times New Roman" w:eastAsia="Times New Roman" w:hAnsi="Times New Roman"/>
        </w:rPr>
        <w:t xml:space="preserve"> AI follow-up questions were asked only of respondents who use or plan to use AI tools; salary is missing for about two-thirds of respondents.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Single-response extract.</w:t>
      </w:r>
      <w:r>
        <w:rPr>
          <w:rFonts w:ascii="Times New Roman" w:cs="Times New Roman" w:eastAsia="Times New Roman" w:hAnsi="Times New Roman"/>
        </w:rPr>
        <w:t xml:space="preserve"> Multi-select questions (programming languages, databases, AI tools used) are not in this extract, which limits feature engineering.</w:t>
      </w:r>
    </w:p>
    <w:p>
      <w:pPr>
        <w:pStyle w:val="Heading1"/>
        <w:pageBreakBefore/>
      </w:pPr>
      <w:r>
        <w:rPr>
          <w:rFonts w:ascii="Times New Roman" w:cs="Times New Roman" w:eastAsia="Times New Roman" w:hAnsi="Times New Roman"/>
        </w:rPr>
        <w:t xml:space="preserve">3. EDA Process</w:t>
      </w:r>
    </w:p>
    <w:p>
      <w:pPr>
        <w:spacing w:after="120" w:before="0" w:line="360" w:lineRule="auto"/>
        <w:jc w:val="left"/>
      </w:pPr>
      <w:r>
        <w:rPr>
          <w:rFonts w:ascii="Times New Roman" w:cs="Times New Roman" w:eastAsia="Times New Roman" w:hAnsi="Times New Roman"/>
        </w:rPr>
        <w:t xml:space="preserve">This chapter documents, in the order performed, how the raw survey was inspected, audited, cleaned and explored, and how those findings determined the modelling choices of Chapter 4. Every number is produced by the notebook (</w:t>
      </w:r>
      <w:r>
        <w:rPr>
          <w:rFonts w:ascii="Courier New" w:cs="Courier New" w:eastAsia="Courier New" w:hAnsi="Courier New"/>
          <w:sz w:val="22"/>
          <w:szCs w:val="22"/>
        </w:rPr>
        <w:t xml:space="preserve">notebooks/CA2_Predictive_Analysis.ipynb</w:t>
      </w:r>
      <w:r>
        <w:rPr>
          <w:rFonts w:ascii="Times New Roman" w:cs="Times New Roman" w:eastAsia="Times New Roman" w:hAnsi="Times New Roman"/>
        </w:rPr>
        <w:t xml:space="preserve">, Parts A–C).</w:t>
      </w:r>
    </w:p>
    <w:p>
      <w:pPr>
        <w:pStyle w:val="Heading2"/>
      </w:pPr>
      <w:r>
        <w:rPr>
          <w:rFonts w:ascii="Times New Roman" w:cs="Times New Roman" w:eastAsia="Times New Roman" w:hAnsi="Times New Roman"/>
        </w:rPr>
        <w:t xml:space="preserve">3.1 Data inspection</w:t>
      </w:r>
    </w:p>
    <w:p>
      <w:pPr>
        <w:spacing w:after="120" w:before="0" w:line="360" w:lineRule="auto"/>
        <w:jc w:val="left"/>
      </w:pPr>
      <w:r>
        <w:rPr>
          <w:rFonts w:ascii="Times New Roman" w:cs="Times New Roman" w:eastAsia="Times New Roman" w:hAnsi="Times New Roman"/>
        </w:rPr>
        <w:t xml:space="preserve">After loading, the integer codes were decoded with the official crosswalk, category labels were shortened for readability (for example “United States of America” → “USA”, “Developer, full-stack” → “Full-stack dev”) and stateless helper columns were added (Section 3.8). The compensation variable </w:t>
      </w:r>
      <w:r>
        <w:rPr>
          <w:rFonts w:ascii="Courier New" w:cs="Courier New" w:eastAsia="Courier New" w:hAnsi="Courier New"/>
          <w:sz w:val="22"/>
          <w:szCs w:val="22"/>
        </w:rPr>
        <w:t xml:space="preserve">converted_comp_yearly</w:t>
      </w:r>
      <w:r>
        <w:rPr>
          <w:rFonts w:ascii="Times New Roman" w:cs="Times New Roman" w:eastAsia="Times New Roman" w:hAnsi="Times New Roman"/>
        </w:rPr>
        <w:t xml:space="preserve"> (USD) is available for only 23,435 respondents (35.8 %). Its mean is USD 86,155 but its median only USD 65,000; the maximum is USD 16,256,603, and the skewness of 52.9 shows an extremely heavy right tail.</w:t>
      </w:r>
    </w:p>
    <w:p>
      <w:pPr>
        <w:pStyle w:val="Heading2"/>
      </w:pPr>
      <w:r>
        <w:rPr>
          <w:rFonts w:ascii="Times New Roman" w:cs="Times New Roman" w:eastAsia="Times New Roman" w:hAnsi="Times New Roman"/>
        </w:rPr>
        <w:t xml:space="preserve">3.2 Data-quality assessment</w:t>
      </w:r>
    </w:p>
    <w:p>
      <w:pPr>
        <w:pStyle w:val="Heading3"/>
      </w:pPr>
      <w:r>
        <w:rPr>
          <w:rFonts w:ascii="Times New Roman" w:cs="Times New Roman" w:eastAsia="Times New Roman" w:hAnsi="Times New Roman"/>
        </w:rPr>
        <w:t xml:space="preserve">3.2.1 Missing values</w:t>
      </w:r>
    </w:p>
    <w:p>
      <w:pPr>
        <w:spacing w:after="120" w:before="0" w:line="360" w:lineRule="auto"/>
        <w:jc w:val="left"/>
      </w:pPr>
      <w:r>
        <w:rPr>
          <w:rFonts w:ascii="Times New Roman" w:cs="Times New Roman" w:eastAsia="Times New Roman" w:hAnsi="Times New Roman"/>
        </w:rPr>
        <w:t xml:space="preserve">Missingness is substantial and </w:t>
      </w:r>
      <w:r>
        <w:rPr>
          <w:rFonts w:ascii="Times New Roman" w:cs="Times New Roman" w:eastAsia="Times New Roman" w:hAnsi="Times New Roman"/>
          <w:i/>
          <w:iCs/>
        </w:rPr>
        <w:t xml:space="preserve">structured</w:t>
      </w:r>
      <w:r>
        <w:rPr>
          <w:rFonts w:ascii="Times New Roman" w:cs="Times New Roman" w:eastAsia="Times New Roman" w:hAnsi="Times New Roman"/>
        </w:rPr>
        <w:t xml:space="preserve"> (Figure 1). 21.0 % of all cells are empty. The worst columns are </w:t>
      </w:r>
      <w:r>
        <w:rPr>
          <w:rFonts w:ascii="Courier New" w:cs="Courier New" w:eastAsia="Courier New" w:hAnsi="Courier New"/>
          <w:sz w:val="22"/>
          <w:szCs w:val="22"/>
        </w:rPr>
        <w:t xml:space="preserve">converted_comp_yearly</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comp_total</w:t>
      </w:r>
      <w:r>
        <w:rPr>
          <w:rFonts w:ascii="Times New Roman" w:cs="Times New Roman" w:eastAsia="Times New Roman" w:hAnsi="Times New Roman"/>
        </w:rPr>
        <w:t xml:space="preserve"> (optional questions), </w:t>
      </w:r>
      <w:r>
        <w:rPr>
          <w:rFonts w:ascii="Courier New" w:cs="Courier New" w:eastAsia="Courier New" w:hAnsi="Courier New"/>
          <w:sz w:val="22"/>
          <w:szCs w:val="22"/>
        </w:rPr>
        <w:t xml:space="preserve">ai_acc</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ai_complex</w:t>
      </w:r>
      <w:r>
        <w:rPr>
          <w:rFonts w:ascii="Times New Roman" w:cs="Times New Roman" w:eastAsia="Times New Roman" w:hAnsi="Times New Roman"/>
        </w:rPr>
        <w:t xml:space="preserve"> (shown only to current AI users), </w:t>
      </w:r>
      <w:r>
        <w:rPr>
          <w:rFonts w:ascii="Courier New" w:cs="Courier New" w:eastAsia="Courier New" w:hAnsi="Courier New"/>
          <w:sz w:val="22"/>
          <w:szCs w:val="22"/>
        </w:rPr>
        <w:t xml:space="preserve">ai_sent</w:t>
      </w:r>
      <w:r>
        <w:rPr>
          <w:rFonts w:ascii="Times New Roman" w:cs="Times New Roman" w:eastAsia="Times New Roman" w:hAnsi="Times New Roman"/>
        </w:rPr>
        <w:t xml:space="preserve">, </w:t>
      </w:r>
      <w:r>
        <w:rPr>
          <w:rFonts w:ascii="Courier New" w:cs="Courier New" w:eastAsia="Courier New" w:hAnsi="Courier New"/>
          <w:sz w:val="22"/>
          <w:szCs w:val="22"/>
        </w:rPr>
        <w:t xml:space="preserve">ai_threat</w:t>
      </w:r>
      <w:r>
        <w:rPr>
          <w:rFonts w:ascii="Times New Roman" w:cs="Times New Roman" w:eastAsia="Times New Roman" w:hAnsi="Times New Roman"/>
        </w:rPr>
        <w:t xml:space="preserve">, </w:t>
      </w:r>
      <w:r>
        <w:rPr>
          <w:rFonts w:ascii="Courier New" w:cs="Courier New" w:eastAsia="Courier New" w:hAnsi="Courier New"/>
          <w:sz w:val="22"/>
          <w:szCs w:val="22"/>
        </w:rPr>
        <w:t xml:space="preserve">buildvs_buy</w:t>
      </w:r>
      <w:r>
        <w:rPr>
          <w:rFonts w:ascii="Times New Roman" w:cs="Times New Roman" w:eastAsia="Times New Roman" w:hAnsi="Times New Roman"/>
        </w:rPr>
        <w:t xml:space="preserve">, </w:t>
      </w:r>
      <w:r>
        <w:rPr>
          <w:rFonts w:ascii="Courier New" w:cs="Courier New" w:eastAsia="Courier New" w:hAnsi="Courier New"/>
          <w:sz w:val="22"/>
          <w:szCs w:val="22"/>
        </w:rPr>
        <w:t xml:space="preserve">so_part_freq</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purchase_influence</w:t>
      </w:r>
      <w:r>
        <w:rPr>
          <w:rFonts w:ascii="Times New Roman" w:cs="Times New Roman" w:eastAsia="Times New Roman" w:hAnsi="Times New Roman"/>
        </w:rPr>
        <w:t xml:space="preserve">. Because the pattern is driven by survey routing rather than by chance, the target variables are never imputed; only predictors are imputed, inside the cross-validation pipeline, using training-fold medians (numeric) or an explicit “Missing” category (categorical).</w:t>
      </w:r>
    </w:p>
    <w:p>
      <w:pPr>
        <w:keepNext/>
        <w:spacing w:after="0" w:before="120" w:line="240" w:lineRule="auto"/>
        <w:jc w:val="center"/>
      </w:pPr>
      <w:r>
        <w:drawing>
          <wp:inline distT="0" distB="0" distL="0" distR="0">
            <wp:extent cx="4953000" cy="4276725"/>
            <wp:effectExtent t="0" r="0" b="0" l="0"/>
            <wp:docPr id="1" name="fig01_missingness.png" descr="Percentage of missing responses per variable (red = more than 30 % missing)." title="Percentage of missing responses per variable (red = more than 30 %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767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w:t>
      </w:r>
      <w:r>
        <w:fldChar w:fldCharType="end"/>
      </w:r>
      <w:r>
        <w:rPr>
          <w:rFonts w:ascii="Times New Roman" w:cs="Times New Roman" w:eastAsia="Times New Roman" w:hAnsi="Times New Roman"/>
          <w:sz w:val="22"/>
          <w:szCs w:val="22"/>
        </w:rPr>
        <w:t xml:space="preserve">: Percentage of missing responses per variable (red = more than 30 % missing).</w:t>
      </w:r>
    </w:p>
    <w:p>
      <w:pPr>
        <w:pStyle w:val="Heading3"/>
      </w:pPr>
      <w:r>
        <w:rPr>
          <w:rFonts w:ascii="Times New Roman" w:cs="Times New Roman" w:eastAsia="Times New Roman" w:hAnsi="Times New Roman"/>
        </w:rPr>
        <w:t xml:space="preserve">3.2.2 Duplicates</w:t>
      </w:r>
    </w:p>
    <w:p>
      <w:pPr>
        <w:spacing w:after="120" w:before="0" w:line="360" w:lineRule="auto"/>
        <w:jc w:val="both"/>
      </w:pPr>
      <w:r>
        <w:rPr>
          <w:rFonts w:ascii="Times New Roman" w:cs="Times New Roman" w:eastAsia="Times New Roman" w:hAnsi="Times New Roman"/>
        </w:rPr>
        <w:t xml:space="preserve">The respondent identifier is unique. Ignoring the identifier, 2,752 rows belong to groups of identical answers (2,270 removable copies). Inspection shows they answered on average only 4.5 of 27 questions versus 21.3 for the typical respondent: they are abandoned, almost-empty questionnaires that coincide by chance rather than double submissions. They are therefore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deleted from the raw data; exact duplicates are removed only inside the modelling cohorts (2 rows in the salary cohort).</w:t>
      </w:r>
    </w:p>
    <w:p>
      <w:pPr>
        <w:pStyle w:val="Heading3"/>
      </w:pPr>
      <w:r>
        <w:rPr>
          <w:rFonts w:ascii="Times New Roman" w:cs="Times New Roman" w:eastAsia="Times New Roman" w:hAnsi="Times New Roman"/>
        </w:rPr>
        <w:t xml:space="preserve">3.2.3 Inconsistent and implausible values</w:t>
      </w:r>
    </w:p>
    <w:p>
      <w:pPr>
        <w:spacing w:after="120" w:before="0" w:line="360" w:lineRule="auto"/>
        <w:jc w:val="left"/>
      </w:pPr>
      <w:r>
        <w:rPr>
          <w:rFonts w:ascii="Times New Roman" w:cs="Times New Roman" w:eastAsia="Times New Roman" w:hAnsi="Times New Roman"/>
        </w:rPr>
        <w:t xml:space="preserve">Table 6 lists the logical checks. Two findings deserve emphasis. First, 504 respondents report more years of </w:t>
      </w:r>
      <w:r>
        <w:rPr>
          <w:rFonts w:ascii="Times New Roman" w:cs="Times New Roman" w:eastAsia="Times New Roman" w:hAnsi="Times New Roman"/>
          <w:i/>
          <w:iCs/>
        </w:rPr>
        <w:t xml:space="preserve">professional</w:t>
      </w:r>
      <w:r>
        <w:rPr>
          <w:rFonts w:ascii="Times New Roman" w:cs="Times New Roman" w:eastAsia="Times New Roman" w:hAnsi="Times New Roman"/>
        </w:rPr>
        <w:t xml:space="preserve"> coding than </w:t>
      </w:r>
      <w:r>
        <w:rPr>
          <w:rFonts w:ascii="Times New Roman" w:cs="Times New Roman" w:eastAsia="Times New Roman" w:hAnsi="Times New Roman"/>
          <w:i/>
          <w:iCs/>
        </w:rPr>
        <w:t xml:space="preserve">total</w:t>
      </w:r>
      <w:r>
        <w:rPr>
          <w:rFonts w:ascii="Times New Roman" w:cs="Times New Roman" w:eastAsia="Times New Roman" w:hAnsi="Times New Roman"/>
        </w:rPr>
        <w:t xml:space="preserve"> coding, and a further 119 report professional experience that is impossible for their age bracket; these values are </w:t>
      </w:r>
      <w:r>
        <w:rPr>
          <w:rFonts w:ascii="Times New Roman" w:cs="Times New Roman" w:eastAsia="Times New Roman" w:hAnsi="Times New Roman"/>
          <w:i/>
          <w:iCs/>
        </w:rPr>
        <w:t xml:space="preserve">blanked and later imputed</w:t>
      </w:r>
      <w:r>
        <w:rPr>
          <w:rFonts w:ascii="Times New Roman" w:cs="Times New Roman" w:eastAsia="Times New Roman" w:hAnsi="Times New Roman"/>
        </w:rPr>
        <w:t xml:space="preserve"> rather than the whole respondent being dropped. Second, 10,305 respondents typed a salary in local currency but have no USD conversion, which silently removes them from any analysis based on </w:t>
      </w:r>
      <w:r>
        <w:rPr>
          <w:rFonts w:ascii="Courier New" w:cs="Courier New" w:eastAsia="Courier New" w:hAnsi="Courier New"/>
          <w:sz w:val="22"/>
          <w:szCs w:val="22"/>
        </w:rPr>
        <w:t xml:space="preserve">converted_comp_yearly</w:t>
      </w:r>
      <w:r>
        <w:rPr>
          <w:rFonts w:ascii="Times New Roman" w:cs="Times New Roman" w:eastAsia="Times New Roman" w:hAnsi="Times New Roman"/>
        </w:rPr>
        <w:t xml:space="preserve">.</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6</w:t>
      </w:r>
      <w:r>
        <w:fldChar w:fldCharType="end"/>
      </w:r>
      <w:r>
        <w:rPr>
          <w:rFonts w:ascii="Times New Roman" w:cs="Times New Roman" w:eastAsia="Times New Roman" w:hAnsi="Times New Roman"/>
          <w:sz w:val="22"/>
          <w:szCs w:val="22"/>
        </w:rPr>
        <w:t xml:space="preserve">: Logical inconsistencies and suspicious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79"/>
        <w:gridCol w:w="1547"/>
      </w:tblGrid>
      <w:tr>
        <w:trPr>
          <w:cantSplit/>
          <w:tblHeader/>
        </w:trPr>
        <w:tc>
          <w:tcPr>
            <w:tcW w:type="dxa" w:w="747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Check</w:t>
            </w:r>
          </w:p>
        </w:tc>
        <w:tc>
          <w:tcPr>
            <w:tcW w:type="dxa" w:w="154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Records affected</w:t>
            </w:r>
          </w:p>
        </w:tc>
      </w:tr>
      <w:tr>
        <w:trPr>
          <w:cantSplit/>
        </w:trPr>
        <w:tc>
          <w:tcPr>
            <w:tcW w:type="dxa" w:w="74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Professional years &gt; total years coded</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504</w:t>
            </w:r>
          </w:p>
        </w:tc>
      </w:tr>
      <w:tr>
        <w:trPr>
          <w:cantSplit/>
        </w:trPr>
        <w:tc>
          <w:tcPr>
            <w:tcW w:type="dxa" w:w="74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Professional years impossible for stated age bracket (age_upper - 14)</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119</w:t>
            </w:r>
          </w:p>
        </w:tc>
      </w:tr>
      <w:tr>
        <w:trPr>
          <w:cantSplit/>
        </w:trPr>
        <w:tc>
          <w:tcPr>
            <w:tcW w:type="dxa" w:w="74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Total years coded impossible for stated age bracket (age_upper - 4)</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31</w:t>
            </w:r>
          </w:p>
        </w:tc>
      </w:tr>
      <w:tr>
        <w:trPr>
          <w:cantSplit/>
        </w:trPr>
        <w:tc>
          <w:tcPr>
            <w:tcW w:type="dxa" w:w="74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Compensation below USD 1,000 per year</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545</w:t>
            </w:r>
          </w:p>
        </w:tc>
      </w:tr>
      <w:tr>
        <w:trPr>
          <w:cantSplit/>
        </w:trPr>
        <w:tc>
          <w:tcPr>
            <w:tcW w:type="dxa" w:w="74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Compensation above USD 1,000,000 per year</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41</w:t>
            </w:r>
          </w:p>
        </w:tc>
      </w:tr>
      <w:tr>
        <w:trPr>
          <w:cantSplit/>
        </w:trPr>
        <w:tc>
          <w:tcPr>
            <w:tcW w:type="dxa" w:w="74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comp_total present but converted_comp_yearly missing (currency conversion failed)</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10,305</w:t>
            </w:r>
          </w:p>
        </w:tc>
      </w:tr>
      <w:tr>
        <w:trPr>
          <w:cantSplit/>
        </w:trPr>
        <w:tc>
          <w:tcPr>
            <w:tcW w:type="dxa" w:w="74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Non-professional respondents reporting a salary</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1,886</w:t>
            </w:r>
          </w:p>
        </w:tc>
      </w:tr>
      <w:tr>
        <w:trPr>
          <w:cantSplit/>
        </w:trPr>
        <w:tc>
          <w:tcPr>
            <w:tcW w:type="dxa" w:w="74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Age = 'Prefer not to say'</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322</w:t>
            </w:r>
          </w:p>
        </w:tc>
      </w:tr>
      <w:tr>
        <w:trPr>
          <w:cantSplit/>
        </w:trPr>
        <w:tc>
          <w:tcPr>
            <w:tcW w:type="dxa" w:w="74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 = 'I don't know' (treated as missing)</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1,068</w:t>
            </w:r>
          </w:p>
        </w:tc>
      </w:tr>
      <w:tr>
        <w:trPr>
          <w:cantSplit/>
        </w:trPr>
        <w:tc>
          <w:tcPr>
            <w:tcW w:type="dxa" w:w="74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years_code / years_code_pro top-coded at 51 (more than 50 years)</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255</w:t>
            </w:r>
          </w:p>
        </w:tc>
      </w:tr>
    </w:tbl>
    <w:p>
      <w:pPr>
        <w:spacing w:after="160" w:before="0" w:line="240" w:lineRule="auto"/>
      </w:pPr>
    </w:p>
    <w:p>
      <w:pPr>
        <w:pStyle w:val="Heading3"/>
      </w:pPr>
      <w:r>
        <w:rPr>
          <w:rFonts w:ascii="Times New Roman" w:cs="Times New Roman" w:eastAsia="Times New Roman" w:hAnsi="Times New Roman"/>
        </w:rPr>
        <w:t xml:space="preserve">3.2.4 Outliers</w:t>
      </w:r>
    </w:p>
    <w:p>
      <w:pPr>
        <w:spacing w:after="120" w:before="0" w:line="360" w:lineRule="auto"/>
        <w:jc w:val="both"/>
      </w:pPr>
      <w:r>
        <w:rPr>
          <w:rFonts w:ascii="Times New Roman" w:cs="Times New Roman" w:eastAsia="Times New Roman" w:hAnsi="Times New Roman"/>
        </w:rPr>
        <w:t xml:space="preserve">Three classical rules were compared on compensation (Table 7). On the raw dollar scale Tukey’s fences flag 4.2 % of values and the |z| &gt; 3 rule only 0.4 %, because the extreme values inflate the standard deviation that the z-score itself depends on (masking). After a log transform the picture changes: the z-score rule flags 1.9 %, the percentile rule 2.0 % and Tukey’s fences 7.4 %, and the skewness moves from 52.9 to -2.33 for the whole sample — the remaining outlier problem is now the </w:t>
      </w:r>
      <w:r>
        <w:rPr>
          <w:rFonts w:ascii="Times New Roman" w:cs="Times New Roman" w:eastAsia="Times New Roman" w:hAnsi="Times New Roman"/>
          <w:i/>
          <w:iCs/>
        </w:rPr>
        <w:t xml:space="preserve">lower</w:t>
      </w:r>
      <w:r>
        <w:rPr>
          <w:rFonts w:ascii="Times New Roman" w:cs="Times New Roman" w:eastAsia="Times New Roman" w:hAnsi="Times New Roman"/>
        </w:rPr>
        <w:t xml:space="preserve"> tail (implausibly small salaries, down to USD 1), which is why a lower plausibility bound is part of the cleaning policy. Figure 2 shows the raw and log distributions.</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7</w:t>
      </w:r>
      <w:r>
        <w:fldChar w:fldCharType="end"/>
      </w:r>
      <w:r>
        <w:rPr>
          <w:rFonts w:ascii="Times New Roman" w:cs="Times New Roman" w:eastAsia="Times New Roman" w:hAnsi="Times New Roman"/>
          <w:sz w:val="22"/>
          <w:szCs w:val="22"/>
        </w:rPr>
        <w:t xml:space="preserve">: Outliers flagged in annual compensation by three rules (raw and log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3"/>
        <w:gridCol w:w="4778"/>
        <w:gridCol w:w="1327"/>
        <w:gridCol w:w="1328"/>
      </w:tblGrid>
      <w:tr>
        <w:trPr>
          <w:cantSplit/>
          <w:tblHeader/>
        </w:trPr>
        <w:tc>
          <w:tcPr>
            <w:tcW w:type="dxa" w:w="159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Scale</w:t>
            </w:r>
          </w:p>
        </w:tc>
        <w:tc>
          <w:tcPr>
            <w:tcW w:type="dxa" w:w="477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Rule</w:t>
            </w:r>
          </w:p>
        </w:tc>
        <w:tc>
          <w:tcPr>
            <w:tcW w:type="dxa" w:w="132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Flagged</w:t>
            </w:r>
          </w:p>
        </w:tc>
        <w:tc>
          <w:tcPr>
            <w:tcW w:type="dxa" w:w="132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 flagged</w:t>
            </w:r>
          </w:p>
        </w:tc>
      </w:tr>
      <w:tr>
        <w:trPr>
          <w:cantSplit/>
        </w:trPr>
        <w:tc>
          <w:tcPr>
            <w:tcW w:type="dxa" w:w="15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USD</w:t>
            </w:r>
          </w:p>
        </w:tc>
        <w:tc>
          <w:tcPr>
            <w:tcW w:type="dxa" w:w="477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Tukey IQR fences (1.5 x IQR)</w:t>
            </w:r>
          </w:p>
        </w:tc>
        <w:tc>
          <w:tcPr>
            <w:tcW w:type="dxa" w:w="132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978</w:t>
            </w:r>
          </w:p>
        </w:tc>
        <w:tc>
          <w:tcPr>
            <w:tcW w:type="dxa" w:w="13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4.17</w:t>
            </w:r>
          </w:p>
        </w:tc>
      </w:tr>
      <w:tr>
        <w:trPr>
          <w:cantSplit/>
        </w:trPr>
        <w:tc>
          <w:tcPr>
            <w:tcW w:type="dxa" w:w="15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USD</w:t>
            </w:r>
          </w:p>
        </w:tc>
        <w:tc>
          <w:tcPr>
            <w:tcW w:type="dxa" w:w="477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Z-score |z| &gt; 3</w:t>
            </w:r>
          </w:p>
        </w:tc>
        <w:tc>
          <w:tcPr>
            <w:tcW w:type="dxa" w:w="132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89</w:t>
            </w:r>
          </w:p>
        </w:tc>
        <w:tc>
          <w:tcPr>
            <w:tcW w:type="dxa" w:w="13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0.38</w:t>
            </w:r>
          </w:p>
        </w:tc>
      </w:tr>
      <w:tr>
        <w:trPr>
          <w:cantSplit/>
        </w:trPr>
        <w:tc>
          <w:tcPr>
            <w:tcW w:type="dxa" w:w="15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USD</w:t>
            </w:r>
          </w:p>
        </w:tc>
        <w:tc>
          <w:tcPr>
            <w:tcW w:type="dxa" w:w="477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Outside 1st-99th percentile</w:t>
            </w:r>
          </w:p>
        </w:tc>
        <w:tc>
          <w:tcPr>
            <w:tcW w:type="dxa" w:w="132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470</w:t>
            </w:r>
          </w:p>
        </w:tc>
        <w:tc>
          <w:tcPr>
            <w:tcW w:type="dxa" w:w="13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2.01</w:t>
            </w:r>
          </w:p>
        </w:tc>
      </w:tr>
      <w:tr>
        <w:trPr>
          <w:cantSplit/>
        </w:trPr>
        <w:tc>
          <w:tcPr>
            <w:tcW w:type="dxa" w:w="15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log(USD)</w:t>
            </w:r>
          </w:p>
        </w:tc>
        <w:tc>
          <w:tcPr>
            <w:tcW w:type="dxa" w:w="477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Tukey IQR fences (1.5 x IQR)</w:t>
            </w:r>
          </w:p>
        </w:tc>
        <w:tc>
          <w:tcPr>
            <w:tcW w:type="dxa" w:w="132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1,723</w:t>
            </w:r>
          </w:p>
        </w:tc>
        <w:tc>
          <w:tcPr>
            <w:tcW w:type="dxa" w:w="13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7.35</w:t>
            </w:r>
          </w:p>
        </w:tc>
      </w:tr>
      <w:tr>
        <w:trPr>
          <w:cantSplit/>
        </w:trPr>
        <w:tc>
          <w:tcPr>
            <w:tcW w:type="dxa" w:w="15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log(USD)</w:t>
            </w:r>
          </w:p>
        </w:tc>
        <w:tc>
          <w:tcPr>
            <w:tcW w:type="dxa" w:w="477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Z-score |z| &gt; 3</w:t>
            </w:r>
          </w:p>
        </w:tc>
        <w:tc>
          <w:tcPr>
            <w:tcW w:type="dxa" w:w="132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451</w:t>
            </w:r>
          </w:p>
        </w:tc>
        <w:tc>
          <w:tcPr>
            <w:tcW w:type="dxa" w:w="13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1.92</w:t>
            </w:r>
          </w:p>
        </w:tc>
      </w:tr>
      <w:tr>
        <w:trPr>
          <w:cantSplit/>
        </w:trPr>
        <w:tc>
          <w:tcPr>
            <w:tcW w:type="dxa" w:w="15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log(USD)</w:t>
            </w:r>
          </w:p>
        </w:tc>
        <w:tc>
          <w:tcPr>
            <w:tcW w:type="dxa" w:w="477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Outside 1st-99th percentile</w:t>
            </w:r>
          </w:p>
        </w:tc>
        <w:tc>
          <w:tcPr>
            <w:tcW w:type="dxa" w:w="132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470</w:t>
            </w:r>
          </w:p>
        </w:tc>
        <w:tc>
          <w:tcPr>
            <w:tcW w:type="dxa" w:w="13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2.01</w:t>
            </w:r>
          </w:p>
        </w:tc>
      </w:tr>
    </w:tbl>
    <w:p>
      <w:pPr>
        <w:spacing w:after="160" w:before="0" w:line="240" w:lineRule="auto"/>
      </w:pPr>
    </w:p>
    <w:p>
      <w:pPr>
        <w:keepNext/>
        <w:spacing w:after="0" w:before="120" w:line="240" w:lineRule="auto"/>
        <w:jc w:val="center"/>
      </w:pPr>
      <w:r>
        <w:drawing>
          <wp:inline distT="0" distB="0" distL="0" distR="0">
            <wp:extent cx="5715000" cy="2000250"/>
            <wp:effectExtent t="0" r="0" b="0" l="0"/>
            <wp:docPr id="1" name="fig02_comp_distribution.png" descr="Distribution of annual compensation: heavily right-skewed in USD (a), far less skewed after a log transform (b), with extreme tails visible in (c)." title="Distribution of annual compensation: heavily right-skewed in USD (a), far less skewed after a log transform (b), with extreme tails visib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w:t>
      </w:r>
      <w:r>
        <w:fldChar w:fldCharType="end"/>
      </w:r>
      <w:r>
        <w:rPr>
          <w:rFonts w:ascii="Times New Roman" w:cs="Times New Roman" w:eastAsia="Times New Roman" w:hAnsi="Times New Roman"/>
          <w:sz w:val="22"/>
          <w:szCs w:val="22"/>
        </w:rPr>
        <w:t xml:space="preserve">: Distribution of annual compensation: heavily right-skewed in USD (a), far less skewed after a log transform (b), with extreme tails visible in (c).</w:t>
      </w:r>
    </w:p>
    <w:p>
      <w:pPr>
        <w:pStyle w:val="Heading2"/>
      </w:pPr>
      <w:r>
        <w:rPr>
          <w:rFonts w:ascii="Times New Roman" w:cs="Times New Roman" w:eastAsia="Times New Roman" w:hAnsi="Times New Roman"/>
        </w:rPr>
        <w:t xml:space="preserve">3.3 Cleaning policy and cohort construction</w:t>
      </w:r>
    </w:p>
    <w:p>
      <w:pPr>
        <w:spacing w:after="120" w:before="0" w:line="360" w:lineRule="auto"/>
        <w:jc w:val="left"/>
      </w:pPr>
      <w:r>
        <w:rPr>
          <w:rFonts w:ascii="Times New Roman" w:cs="Times New Roman" w:eastAsia="Times New Roman" w:hAnsi="Times New Roman"/>
        </w:rPr>
        <w:t xml:space="preserve">Cleaning decisions were documented as explicit, reproducible rules (function </w:t>
      </w:r>
      <w:r>
        <w:rPr>
          <w:rFonts w:ascii="Courier New" w:cs="Courier New" w:eastAsia="Courier New" w:hAnsi="Courier New"/>
          <w:sz w:val="22"/>
          <w:szCs w:val="22"/>
        </w:rPr>
        <w:t xml:space="preserve">build_salary_cohort()</w:t>
      </w:r>
      <w:r>
        <w:rPr>
          <w:rFonts w:ascii="Times New Roman" w:cs="Times New Roman" w:eastAsia="Times New Roman" w:hAnsi="Times New Roman"/>
        </w:rPr>
        <w:t xml:space="preserve">):</w:t>
      </w:r>
    </w:p>
    <w:p>
      <w:pPr>
        <w:pStyle w:val="ListParagraph"/>
        <w:numPr>
          <w:ilvl w:val="0"/>
          <w:numId w:val="3"/>
        </w:numPr>
        <w:spacing w:after="60" w:before="0" w:line="360" w:lineRule="auto"/>
        <w:jc w:val="both"/>
      </w:pPr>
      <w:r>
        <w:rPr>
          <w:rFonts w:ascii="Times New Roman" w:cs="Times New Roman" w:eastAsia="Times New Roman" w:hAnsi="Times New Roman"/>
        </w:rPr>
        <w:t xml:space="preserve">Keep </w:t>
      </w:r>
      <w:r>
        <w:rPr>
          <w:rFonts w:ascii="Times New Roman" w:cs="Times New Roman" w:eastAsia="Times New Roman" w:hAnsi="Times New Roman"/>
          <w:b/>
          <w:bCs/>
        </w:rPr>
        <w:t xml:space="preserve">professional developers</w:t>
      </w:r>
      <w:r>
        <w:rPr>
          <w:rFonts w:ascii="Times New Roman" w:cs="Times New Roman" w:eastAsia="Times New Roman" w:hAnsi="Times New Roman"/>
        </w:rPr>
        <w:t xml:space="preserve"> (main_branch = “I am a developer by profession”) who reported a converted salary and a country.</w:t>
      </w:r>
    </w:p>
    <w:p>
      <w:pPr>
        <w:pStyle w:val="ListParagraph"/>
        <w:numPr>
          <w:ilvl w:val="0"/>
          <w:numId w:val="3"/>
        </w:numPr>
        <w:spacing w:after="60" w:before="0" w:line="360" w:lineRule="auto"/>
        <w:jc w:val="both"/>
      </w:pPr>
      <w:r>
        <w:rPr>
          <w:rFonts w:ascii="Times New Roman" w:cs="Times New Roman" w:eastAsia="Times New Roman" w:hAnsi="Times New Roman"/>
        </w:rPr>
        <w:t xml:space="preserve">Apply </w:t>
      </w:r>
      <w:r>
        <w:rPr>
          <w:rFonts w:ascii="Times New Roman" w:cs="Times New Roman" w:eastAsia="Times New Roman" w:hAnsi="Times New Roman"/>
          <w:b/>
          <w:bCs/>
        </w:rPr>
        <w:t xml:space="preserve">absolute plausibility bounds</w:t>
      </w:r>
      <w:r>
        <w:rPr>
          <w:rFonts w:ascii="Times New Roman" w:cs="Times New Roman" w:eastAsia="Times New Roman" w:hAnsi="Times New Roman"/>
        </w:rPr>
        <w:t xml:space="preserve"> of USD 1,000–1,000,000 (smaller values are probably monthly salaries or typing errors; larger values cannot be verified).</w:t>
      </w:r>
    </w:p>
    <w:p>
      <w:pPr>
        <w:pStyle w:val="ListParagraph"/>
        <w:numPr>
          <w:ilvl w:val="0"/>
          <w:numId w:val="3"/>
        </w:numPr>
        <w:spacing w:after="60" w:before="0" w:line="360" w:lineRule="auto"/>
        <w:jc w:val="both"/>
      </w:pPr>
      <w:r>
        <w:rPr>
          <w:rFonts w:ascii="Times New Roman" w:cs="Times New Roman" w:eastAsia="Times New Roman" w:hAnsi="Times New Roman"/>
        </w:rPr>
        <w:t xml:space="preserve">Apply </w:t>
      </w:r>
      <w:r>
        <w:rPr>
          <w:rFonts w:ascii="Times New Roman" w:cs="Times New Roman" w:eastAsia="Times New Roman" w:hAnsi="Times New Roman"/>
          <w:b/>
          <w:bCs/>
        </w:rPr>
        <w:t xml:space="preserve">country-specific 3 × IQR fences on log-salary</w:t>
      </w:r>
      <w:r>
        <w:rPr>
          <w:rFonts w:ascii="Times New Roman" w:cs="Times New Roman" w:eastAsia="Times New Roman" w:hAnsi="Times New Roman"/>
        </w:rPr>
        <w:t xml:space="preserve"> for countries with at least 50 salaries. A single global fence would delete almost every salary from low-income countries and thus bias the study; country-aware fencing removes only values that are extreme </w:t>
      </w:r>
      <w:r>
        <w:rPr>
          <w:rFonts w:ascii="Times New Roman" w:cs="Times New Roman" w:eastAsia="Times New Roman" w:hAnsi="Times New Roman"/>
          <w:i/>
          <w:iCs/>
        </w:rPr>
        <w:t xml:space="preserve">for their own market</w:t>
      </w:r>
      <w:r>
        <w:rPr>
          <w:rFonts w:ascii="Times New Roman" w:cs="Times New Roman" w:eastAsia="Times New Roman" w:hAnsi="Times New Roman"/>
        </w:rPr>
        <w:t xml:space="preserve">.</w:t>
      </w:r>
    </w:p>
    <w:p>
      <w:pPr>
        <w:pStyle w:val="ListParagraph"/>
        <w:numPr>
          <w:ilvl w:val="0"/>
          <w:numId w:val="3"/>
        </w:numPr>
        <w:spacing w:after="60" w:before="0" w:line="360" w:lineRule="auto"/>
        <w:jc w:val="both"/>
      </w:pPr>
      <w:r>
        <w:rPr>
          <w:rFonts w:ascii="Times New Roman" w:cs="Times New Roman" w:eastAsia="Times New Roman" w:hAnsi="Times New Roman"/>
          <w:b/>
          <w:bCs/>
        </w:rPr>
        <w:t xml:space="preserve">Blank</w:t>
      </w:r>
      <w:r>
        <w:rPr>
          <w:rFonts w:ascii="Times New Roman" w:cs="Times New Roman" w:eastAsia="Times New Roman" w:hAnsi="Times New Roman"/>
        </w:rPr>
        <w:t xml:space="preserve"> logically impossible experience values (rows are kept; values are imputed later inside the pipeline).</w:t>
      </w:r>
    </w:p>
    <w:p>
      <w:pPr>
        <w:pStyle w:val="ListParagraph"/>
        <w:numPr>
          <w:ilvl w:val="0"/>
          <w:numId w:val="3"/>
        </w:numPr>
        <w:spacing w:after="60" w:before="0" w:line="360" w:lineRule="auto"/>
        <w:jc w:val="both"/>
      </w:pPr>
      <w:r>
        <w:rPr>
          <w:rFonts w:ascii="Times New Roman" w:cs="Times New Roman" w:eastAsia="Times New Roman" w:hAnsi="Times New Roman"/>
        </w:rPr>
        <w:t xml:space="preserve">Remove exact duplicate rows inside the cohort.</w:t>
      </w:r>
    </w:p>
    <w:p>
      <w:pPr>
        <w:spacing w:after="120" w:before="0" w:line="360" w:lineRule="auto"/>
        <w:jc w:val="both"/>
      </w:pPr>
      <w:r>
        <w:rPr>
          <w:rFonts w:ascii="Times New Roman" w:cs="Times New Roman" w:eastAsia="Times New Roman" w:hAnsi="Times New Roman"/>
        </w:rPr>
        <w:t xml:space="preserve">Table 8 and Figure 3 show the attrition. The final salary cohort has 20,794 respondents from 160 countries, including 966 from India and 4,211 from the USA. For the AI analyses a second cohort of 60,907 respondents (all with a known AI-adoption answer) is used; 61.8 % of them currently use AI tools.</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8</w:t>
      </w:r>
      <w:r>
        <w:fldChar w:fldCharType="end"/>
      </w:r>
      <w:r>
        <w:rPr>
          <w:rFonts w:ascii="Times New Roman" w:cs="Times New Roman" w:eastAsia="Times New Roman" w:hAnsi="Times New Roman"/>
          <w:sz w:val="22"/>
          <w:szCs w:val="22"/>
        </w:rPr>
        <w:t xml:space="preserve">: Row attrition at each step of salary-cohort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31"/>
        <w:gridCol w:w="1547"/>
        <w:gridCol w:w="1548"/>
      </w:tblGrid>
      <w:tr>
        <w:trPr>
          <w:cantSplit/>
          <w:tblHeader/>
        </w:trPr>
        <w:tc>
          <w:tcPr>
            <w:tcW w:type="dxa" w:w="593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Step</w:t>
            </w:r>
          </w:p>
        </w:tc>
        <w:tc>
          <w:tcPr>
            <w:tcW w:type="dxa" w:w="154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Rows remaining</w:t>
            </w:r>
          </w:p>
        </w:tc>
        <w:tc>
          <w:tcPr>
            <w:tcW w:type="dxa" w:w="154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Rows removed</w:t>
            </w:r>
          </w:p>
        </w:tc>
      </w:tr>
      <w:tr>
        <w:trPr>
          <w:cantSplit/>
        </w:trPr>
        <w:tc>
          <w:tcPr>
            <w:tcW w:type="dxa" w:w="593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All respondents</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65,437</w:t>
            </w:r>
          </w:p>
        </w:tc>
        <w:tc>
          <w:tcPr>
            <w:tcW w:type="dxa" w:w="154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w:t>
            </w:r>
          </w:p>
        </w:tc>
      </w:tr>
      <w:tr>
        <w:trPr>
          <w:cantSplit/>
        </w:trPr>
        <w:tc>
          <w:tcPr>
            <w:tcW w:type="dxa" w:w="593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Professional developers (main_branch = 1)</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50,207</w:t>
            </w:r>
          </w:p>
        </w:tc>
        <w:tc>
          <w:tcPr>
            <w:tcW w:type="dxa" w:w="154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15,230</w:t>
            </w:r>
          </w:p>
        </w:tc>
      </w:tr>
      <w:tr>
        <w:trPr>
          <w:cantSplit/>
        </w:trPr>
        <w:tc>
          <w:tcPr>
            <w:tcW w:type="dxa" w:w="593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Reported converted yearly compensation</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21,549</w:t>
            </w:r>
          </w:p>
        </w:tc>
        <w:tc>
          <w:tcPr>
            <w:tcW w:type="dxa" w:w="154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28,658</w:t>
            </w:r>
          </w:p>
        </w:tc>
      </w:tr>
      <w:tr>
        <w:trPr>
          <w:cantSplit/>
        </w:trPr>
        <w:tc>
          <w:tcPr>
            <w:tcW w:type="dxa" w:w="593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 available</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21,549</w:t>
            </w:r>
          </w:p>
        </w:tc>
        <w:tc>
          <w:tcPr>
            <w:tcW w:type="dxa" w:w="154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w:t>
            </w:r>
          </w:p>
        </w:tc>
      </w:tr>
      <w:tr>
        <w:trPr>
          <w:cantSplit/>
        </w:trPr>
        <w:tc>
          <w:tcPr>
            <w:tcW w:type="dxa" w:w="593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Absolute plausibility bounds USD 1,000-1,000,000</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21,007</w:t>
            </w:r>
          </w:p>
        </w:tc>
        <w:tc>
          <w:tcPr>
            <w:tcW w:type="dxa" w:w="154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542</w:t>
            </w:r>
          </w:p>
        </w:tc>
      </w:tr>
      <w:tr>
        <w:trPr>
          <w:cantSplit/>
        </w:trPr>
        <w:tc>
          <w:tcPr>
            <w:tcW w:type="dxa" w:w="593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Within-country 3 x IQR fences on log(comp)</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20,796</w:t>
            </w:r>
          </w:p>
        </w:tc>
        <w:tc>
          <w:tcPr>
            <w:tcW w:type="dxa" w:w="154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211</w:t>
            </w:r>
          </w:p>
        </w:tc>
      </w:tr>
      <w:tr>
        <w:trPr>
          <w:cantSplit/>
        </w:trPr>
        <w:tc>
          <w:tcPr>
            <w:tcW w:type="dxa" w:w="593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Inconsistent professional-years values blanked (rows kept)</w:t>
            </w:r>
          </w:p>
        </w:tc>
        <w:tc>
          <w:tcPr>
            <w:tcW w:type="dxa" w:w="15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20,796</w:t>
            </w:r>
          </w:p>
        </w:tc>
        <w:tc>
          <w:tcPr>
            <w:tcW w:type="dxa" w:w="154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w:t>
            </w:r>
          </w:p>
        </w:tc>
      </w:tr>
      <w:tr>
        <w:trPr>
          <w:cantSplit/>
        </w:trPr>
        <w:tc>
          <w:tcPr>
            <w:tcW w:type="dxa" w:w="593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Exact duplicate rows removed</w:t>
            </w:r>
          </w:p>
        </w:tc>
        <w:tc>
          <w:tcPr>
            <w:tcW w:type="dxa" w:w="15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20,794</w:t>
            </w:r>
          </w:p>
        </w:tc>
        <w:tc>
          <w:tcPr>
            <w:tcW w:type="dxa" w:w="154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w:t>
            </w:r>
          </w:p>
        </w:tc>
      </w:tr>
    </w:tbl>
    <w:p>
      <w:pPr>
        <w:spacing w:after="160" w:before="0" w:line="240" w:lineRule="auto"/>
      </w:pPr>
    </w:p>
    <w:p>
      <w:pPr>
        <w:keepNext/>
        <w:spacing w:after="0" w:before="120" w:line="240" w:lineRule="auto"/>
        <w:jc w:val="center"/>
      </w:pPr>
      <w:r>
        <w:drawing>
          <wp:inline distT="0" distB="0" distL="0" distR="0">
            <wp:extent cx="4572000" cy="2324100"/>
            <wp:effectExtent t="0" r="0" b="0" l="0"/>
            <wp:docPr id="1" name="fig03_cohort_attrition.png" descr="Rows retained at each step of salary-cohort construction." title="Rows retained at each step of salary-cohort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241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w:t>
      </w:r>
      <w:r>
        <w:fldChar w:fldCharType="end"/>
      </w:r>
      <w:r>
        <w:rPr>
          <w:rFonts w:ascii="Times New Roman" w:cs="Times New Roman" w:eastAsia="Times New Roman" w:hAnsi="Times New Roman"/>
          <w:sz w:val="22"/>
          <w:szCs w:val="22"/>
        </w:rPr>
        <w:t xml:space="preserve">: Rows retained at each step of salary-cohort construction.</w:t>
      </w:r>
    </w:p>
    <w:p>
      <w:pPr>
        <w:spacing w:after="120" w:before="0" w:line="360" w:lineRule="auto"/>
        <w:jc w:val="both"/>
      </w:pPr>
      <w:r>
        <w:rPr>
          <w:rFonts w:ascii="Times New Roman" w:cs="Times New Roman" w:eastAsia="Times New Roman" w:hAnsi="Times New Roman"/>
        </w:rPr>
        <w:t xml:space="preserve">A sensitivity analysis in Section 4.6 re-fits one model (HistGradientBoosting) under three outlier policies. It shows that the </w:t>
      </w:r>
      <w:r>
        <w:rPr>
          <w:rFonts w:ascii="Times New Roman" w:cs="Times New Roman" w:eastAsia="Times New Roman" w:hAnsi="Times New Roman"/>
          <w:i/>
          <w:iCs/>
        </w:rPr>
        <w:t xml:space="preserve">absolute</w:t>
      </w:r>
      <w:r>
        <w:rPr>
          <w:rFonts w:ascii="Times New Roman" w:cs="Times New Roman" w:eastAsia="Times New Roman" w:hAnsi="Times New Roman"/>
        </w:rPr>
        <w:t xml:space="preserve"> error level depends on the policy — stricter filters leave fewer extreme salaries and therefore give lower RMSE — so error figures in this report should be read as conditional on the chosen 3 × IQR rule. The full model comparison was not repeated under the other policies.</w:t>
      </w:r>
    </w:p>
    <w:p>
      <w:pPr>
        <w:pStyle w:val="Heading2"/>
      </w:pPr>
      <w:r>
        <w:rPr>
          <w:rFonts w:ascii="Times New Roman" w:cs="Times New Roman" w:eastAsia="Times New Roman" w:hAnsi="Times New Roman"/>
        </w:rPr>
        <w:t xml:space="preserve">3.4 Univariate exploration</w:t>
      </w:r>
    </w:p>
    <w:p>
      <w:pPr>
        <w:spacing w:after="120" w:before="0" w:line="360" w:lineRule="auto"/>
        <w:jc w:val="both"/>
      </w:pPr>
      <w:r>
        <w:rPr>
          <w:rFonts w:ascii="Times New Roman" w:cs="Times New Roman" w:eastAsia="Times New Roman" w:hAnsi="Times New Roman"/>
        </w:rPr>
        <w:t xml:space="preserve">Figure 4 profiles the cohort. Respondents are mostly aged 25–44, work in full-stack and back-end roles, and are concentrated in the USA, Germany, the UK, Ukraine and India. Median professional experience is 8.0 years (mean 10.4, maximum 51); the distribution is right-skewed with a spike at the top-code of 51 years. Remote and hybrid work dominate (about 8,700 respondents each) over in-person work (about 3,300). Compensation in the cohort has a median of USD 68,734 and a mean of USD 84,887; log-salary has a skewness of -1.14.</w:t>
      </w:r>
    </w:p>
    <w:p>
      <w:pPr>
        <w:keepNext/>
        <w:spacing w:after="0" w:before="120" w:line="240" w:lineRule="auto"/>
        <w:jc w:val="center"/>
      </w:pPr>
      <w:r>
        <w:drawing>
          <wp:inline distT="0" distB="0" distL="0" distR="0">
            <wp:extent cx="5715000" cy="3505200"/>
            <wp:effectExtent t="0" r="0" b="0" l="0"/>
            <wp:docPr id="1" name="fig04_univariate_profile.png" descr="Univariate profile of the 20,794 professional developers in the salary cohort." title="Univariate profile of the 20,794 professional developers in the salary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052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4</w:t>
      </w:r>
      <w:r>
        <w:fldChar w:fldCharType="end"/>
      </w:r>
      <w:r>
        <w:rPr>
          <w:rFonts w:ascii="Times New Roman" w:cs="Times New Roman" w:eastAsia="Times New Roman" w:hAnsi="Times New Roman"/>
          <w:sz w:val="22"/>
          <w:szCs w:val="22"/>
        </w:rPr>
        <w:t xml:space="preserve">: Univariate profile of the 20,794 professional developers in the salary cohort.</w:t>
      </w:r>
    </w:p>
    <w:p>
      <w:pPr>
        <w:pStyle w:val="Heading2"/>
      </w:pPr>
      <w:r>
        <w:rPr>
          <w:rFonts w:ascii="Times New Roman" w:cs="Times New Roman" w:eastAsia="Times New Roman" w:hAnsi="Times New Roman"/>
        </w:rPr>
        <w:t xml:space="preserve">3.5 Group comparisons</w:t>
      </w:r>
    </w:p>
    <w:p>
      <w:pPr>
        <w:spacing w:after="120" w:before="0" w:line="360" w:lineRule="auto"/>
        <w:jc w:val="both"/>
      </w:pPr>
      <w:r>
        <w:rPr>
          <w:rFonts w:ascii="Times New Roman" w:cs="Times New Roman" w:eastAsia="Times New Roman" w:hAnsi="Times New Roman"/>
        </w:rPr>
        <w:t xml:space="preserve">Figure 5 gives an unadjusted look at median pay by work arrangement, organisation size and education. Remote workers, employees of very large organisations and holders of postgraduate degrees earn more at face value. These raw gaps are confounded by </w:t>
      </w:r>
      <w:r>
        <w:rPr>
          <w:rFonts w:ascii="Times New Roman" w:cs="Times New Roman" w:eastAsia="Times New Roman" w:hAnsi="Times New Roman"/>
          <w:i/>
          <w:iCs/>
        </w:rPr>
        <w:t xml:space="preserve">country mix</w:t>
      </w:r>
      <w:r>
        <w:rPr>
          <w:rFonts w:ascii="Times New Roman" w:cs="Times New Roman" w:eastAsia="Times New Roman" w:hAnsi="Times New Roman"/>
        </w:rPr>
        <w:t xml:space="preserve"> (for instance, remote work may be more common among developers of high-wage countries), which is why Objective O3 re-estimates them after adjustment.</w:t>
      </w:r>
    </w:p>
    <w:p>
      <w:pPr>
        <w:keepNext/>
        <w:spacing w:after="0" w:before="120" w:line="240" w:lineRule="auto"/>
        <w:jc w:val="center"/>
      </w:pPr>
      <w:r>
        <w:drawing>
          <wp:inline distT="0" distB="0" distL="0" distR="0">
            <wp:extent cx="5715000" cy="2105025"/>
            <wp:effectExtent t="0" r="0" b="0" l="0"/>
            <wp:docPr id="1" name="fig05_group_medians.png" descr="Raw (unadjusted) median compensation by work arrangement, organisation size and education. Country mix confounds these gaps (see O3)." title="Raw (unadjusted) median compensation by work arrangement, organisation size and education. Country mix confounds these gaps (see 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050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5</w:t>
      </w:r>
      <w:r>
        <w:fldChar w:fldCharType="end"/>
      </w:r>
      <w:r>
        <w:rPr>
          <w:rFonts w:ascii="Times New Roman" w:cs="Times New Roman" w:eastAsia="Times New Roman" w:hAnsi="Times New Roman"/>
          <w:sz w:val="22"/>
          <w:szCs w:val="22"/>
        </w:rPr>
        <w:t xml:space="preserve">: Raw (unadjusted) median compensation by work arrangement, organisation size and education. Country mix confounds these gaps (see O3).</w:t>
      </w:r>
    </w:p>
    <w:p>
      <w:pPr>
        <w:pStyle w:val="Heading2"/>
      </w:pPr>
      <w:r>
        <w:rPr>
          <w:rFonts w:ascii="Times New Roman" w:cs="Times New Roman" w:eastAsia="Times New Roman" w:hAnsi="Times New Roman"/>
        </w:rPr>
        <w:t xml:space="preserve">3.6 Correlation and association analysis</w:t>
      </w:r>
    </w:p>
    <w:p>
      <w:pPr>
        <w:spacing w:after="120" w:before="0" w:line="360" w:lineRule="auto"/>
        <w:jc w:val="left"/>
      </w:pPr>
      <w:r>
        <w:rPr>
          <w:rFonts w:ascii="Times New Roman" w:cs="Times New Roman" w:eastAsia="Times New Roman" w:hAnsi="Times New Roman"/>
        </w:rPr>
        <w:t xml:space="preserve">Figure 6 shows Spearman correlations. Among the numeric variables, log-salary is most strongly associated with </w:t>
      </w:r>
      <w:r>
        <w:rPr>
          <w:rFonts w:ascii="Courier New" w:cs="Courier New" w:eastAsia="Courier New" w:hAnsi="Courier New"/>
          <w:sz w:val="22"/>
          <w:szCs w:val="22"/>
        </w:rPr>
        <w:t xml:space="preserve">years_code_pro</w:t>
      </w:r>
      <w:r>
        <w:rPr>
          <w:rFonts w:ascii="Times New Roman" w:cs="Times New Roman" w:eastAsia="Times New Roman" w:hAnsi="Times New Roman"/>
        </w:rPr>
        <w:t xml:space="preserve"> (ρ = 0.48), </w:t>
      </w:r>
      <w:r>
        <w:rPr>
          <w:rFonts w:ascii="Courier New" w:cs="Courier New" w:eastAsia="Courier New" w:hAnsi="Courier New"/>
          <w:sz w:val="22"/>
          <w:szCs w:val="22"/>
        </w:rPr>
        <w:t xml:space="preserve">years_code</w:t>
      </w:r>
      <w:r>
        <w:rPr>
          <w:rFonts w:ascii="Times New Roman" w:cs="Times New Roman" w:eastAsia="Times New Roman" w:hAnsi="Times New Roman"/>
        </w:rPr>
        <w:t xml:space="preserve"> (ρ = 0.47) and </w:t>
      </w:r>
      <w:r>
        <w:rPr>
          <w:rFonts w:ascii="Courier New" w:cs="Courier New" w:eastAsia="Courier New" w:hAnsi="Courier New"/>
          <w:sz w:val="22"/>
          <w:szCs w:val="22"/>
        </w:rPr>
        <w:t xml:space="preserve">age_mid</w:t>
      </w:r>
      <w:r>
        <w:rPr>
          <w:rFonts w:ascii="Times New Roman" w:cs="Times New Roman" w:eastAsia="Times New Roman" w:hAnsi="Times New Roman"/>
        </w:rPr>
        <w:t xml:space="preserve"> (ρ = 0.41); organisation size (ρ = 0.20) and education rank (ρ = 0.09) are weaker, and Stack Overflow visit frequency is weakly </w:t>
      </w:r>
      <w:r>
        <w:rPr>
          <w:rFonts w:ascii="Times New Roman" w:cs="Times New Roman" w:eastAsia="Times New Roman" w:hAnsi="Times New Roman"/>
          <w:i/>
          <w:iCs/>
        </w:rPr>
        <w:t xml:space="preserve">negatively</w:t>
      </w:r>
      <w:r>
        <w:rPr>
          <w:rFonts w:ascii="Times New Roman" w:cs="Times New Roman" w:eastAsia="Times New Roman" w:hAnsi="Times New Roman"/>
        </w:rPr>
        <w:t xml:space="preserve"> correlated (ρ = -0.12). The three experience-type variables are strongly inter-correlated, which raises a multicollinearity concern. Variance-inflation factors (Table 9) of about 7.1 and 8.5 for </w:t>
      </w:r>
      <w:r>
        <w:rPr>
          <w:rFonts w:ascii="Courier New" w:cs="Courier New" w:eastAsia="Courier New" w:hAnsi="Courier New"/>
          <w:sz w:val="22"/>
          <w:szCs w:val="22"/>
        </w:rPr>
        <w:t xml:space="preserve">years_code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years_code_pro</w:t>
      </w:r>
      <w:r>
        <w:rPr>
          <w:rFonts w:ascii="Times New Roman" w:cs="Times New Roman" w:eastAsia="Times New Roman" w:hAnsi="Times New Roman"/>
        </w:rPr>
        <w:t xml:space="preserve"> are above the conventional threshold of 5 but below 10. Tree-based models are insensitive to this, Ridge regularisation absorbs it for prediction, and for the inferential regressions of O2 and O3 only </w:t>
      </w:r>
      <w:r>
        <w:rPr>
          <w:rFonts w:ascii="Courier New" w:cs="Courier New" w:eastAsia="Courier New" w:hAnsi="Courier New"/>
          <w:sz w:val="22"/>
          <w:szCs w:val="22"/>
        </w:rPr>
        <w:t xml:space="preserve">years_code_pro</w:t>
      </w:r>
      <w:r>
        <w:rPr>
          <w:rFonts w:ascii="Times New Roman" w:cs="Times New Roman" w:eastAsia="Times New Roman" w:hAnsi="Times New Roman"/>
        </w:rPr>
        <w:t xml:space="preserve"> is used.</w:t>
      </w:r>
    </w:p>
    <w:p>
      <w:pPr>
        <w:keepNext/>
        <w:spacing w:after="0" w:before="120" w:line="240" w:lineRule="auto"/>
        <w:jc w:val="center"/>
      </w:pPr>
      <w:r>
        <w:drawing>
          <wp:inline distT="0" distB="0" distL="0" distR="0">
            <wp:extent cx="4476750" cy="4010025"/>
            <wp:effectExtent t="0" r="0" b="0" l="0"/>
            <wp:docPr id="1" name="fig06_spearman_corr.png" descr="Spearman rank-correlation matrix of numeric and ordinal variables including log-compensation." title="Spearman rank-correlation matrix of numeric and ordinal variables including log-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0100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6</w:t>
      </w:r>
      <w:r>
        <w:fldChar w:fldCharType="end"/>
      </w:r>
      <w:r>
        <w:rPr>
          <w:rFonts w:ascii="Times New Roman" w:cs="Times New Roman" w:eastAsia="Times New Roman" w:hAnsi="Times New Roman"/>
          <w:sz w:val="22"/>
          <w:szCs w:val="22"/>
        </w:rPr>
        <w:t xml:space="preserve">: Spearman rank-correlation matrix of numeric and ordinal variables including log-compensation.</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9</w:t>
      </w:r>
      <w:r>
        <w:fldChar w:fldCharType="end"/>
      </w:r>
      <w:r>
        <w:rPr>
          <w:rFonts w:ascii="Times New Roman" w:cs="Times New Roman" w:eastAsia="Times New Roman" w:hAnsi="Times New Roman"/>
          <w:sz w:val="22"/>
          <w:szCs w:val="22"/>
        </w:rPr>
        <w:t xml:space="preserve">: Variance inflation factors of the numeric predictors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cantSplit/>
          <w:tblHeader/>
        </w:trPr>
        <w:tc>
          <w:tcPr>
            <w:tcW w:type="dxa" w:w="601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Variable</w:t>
            </w:r>
          </w:p>
        </w:tc>
        <w:tc>
          <w:tcPr>
            <w:tcW w:type="dxa" w:w="300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VIF</w:t>
            </w:r>
          </w:p>
        </w:tc>
      </w:tr>
      <w:tr>
        <w:trPr>
          <w:cantSplit/>
        </w:trPr>
        <w:tc>
          <w:tcPr>
            <w:tcW w:type="dxa" w:w="601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years_code</w:t>
            </w:r>
          </w:p>
        </w:tc>
        <w:tc>
          <w:tcPr>
            <w:tcW w:type="dxa" w:w="300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7.07</w:t>
            </w:r>
          </w:p>
        </w:tc>
      </w:tr>
      <w:tr>
        <w:trPr>
          <w:cantSplit/>
        </w:trPr>
        <w:tc>
          <w:tcPr>
            <w:tcW w:type="dxa" w:w="601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years_code_pro</w:t>
            </w:r>
          </w:p>
        </w:tc>
        <w:tc>
          <w:tcPr>
            <w:tcW w:type="dxa" w:w="300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8.52</w:t>
            </w:r>
          </w:p>
        </w:tc>
      </w:tr>
      <w:tr>
        <w:trPr>
          <w:cantSplit/>
        </w:trPr>
        <w:tc>
          <w:tcPr>
            <w:tcW w:type="dxa" w:w="601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age_mid</w:t>
            </w:r>
          </w:p>
        </w:tc>
        <w:tc>
          <w:tcPr>
            <w:tcW w:type="dxa" w:w="300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3.57</w:t>
            </w:r>
          </w:p>
        </w:tc>
      </w:tr>
      <w:tr>
        <w:trPr>
          <w:cantSplit/>
        </w:trPr>
        <w:tc>
          <w:tcPr>
            <w:tcW w:type="dxa" w:w="601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org_log</w:t>
            </w:r>
          </w:p>
        </w:tc>
        <w:tc>
          <w:tcPr>
            <w:tcW w:type="dxa" w:w="300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1.01</w:t>
            </w:r>
          </w:p>
        </w:tc>
      </w:tr>
      <w:tr>
        <w:trPr>
          <w:cantSplit/>
        </w:trPr>
        <w:tc>
          <w:tcPr>
            <w:tcW w:type="dxa" w:w="601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ed_rank</w:t>
            </w:r>
          </w:p>
        </w:tc>
        <w:tc>
          <w:tcPr>
            <w:tcW w:type="dxa" w:w="300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1.04</w:t>
            </w:r>
          </w:p>
        </w:tc>
      </w:tr>
      <w:tr>
        <w:trPr>
          <w:cantSplit/>
        </w:trPr>
        <w:tc>
          <w:tcPr>
            <w:tcW w:type="dxa" w:w="601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so_visit_rank</w:t>
            </w:r>
          </w:p>
        </w:tc>
        <w:tc>
          <w:tcPr>
            <w:tcW w:type="dxa" w:w="300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1.01</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For categorical variables, bias-corrected Cramér’s V was used (Figure 7). The strongest association is between organisation size and purchase influence (V ≈ 0.34; people in small organisations naturally have more say over purchases), followed by country and work arrangement (V ≈ 0.30), which confirms that raw remote-work pay gaps are confounded by country. All other pairs are weaker (V ≤ 0.19) and no pair of categorical predictors is so strongly associated as to be redundant.</w:t>
      </w:r>
    </w:p>
    <w:p>
      <w:pPr>
        <w:keepNext/>
        <w:spacing w:after="0" w:before="120" w:line="240" w:lineRule="auto"/>
        <w:jc w:val="center"/>
      </w:pPr>
      <w:r>
        <w:drawing>
          <wp:inline distT="0" distB="0" distL="0" distR="0">
            <wp:extent cx="4476750" cy="4086225"/>
            <wp:effectExtent t="0" r="0" b="0" l="0"/>
            <wp:docPr id="1" name="fig07_cramers_v.png" descr="Bias-corrected Cramér's V between categorical variables (0 = independent, 1 = perfectly associated)." title="Bias-corrected Cramér's V between categorical variables (0 = independent, 1 = perfectly associ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0862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7</w:t>
      </w:r>
      <w:r>
        <w:fldChar w:fldCharType="end"/>
      </w:r>
      <w:r>
        <w:rPr>
          <w:rFonts w:ascii="Times New Roman" w:cs="Times New Roman" w:eastAsia="Times New Roman" w:hAnsi="Times New Roman"/>
          <w:sz w:val="22"/>
          <w:szCs w:val="22"/>
        </w:rPr>
        <w:t xml:space="preserve">: Bias-corrected Cramér's V between categorical variables (0 = independent, 1 = perfectly associated).</w:t>
      </w:r>
    </w:p>
    <w:p>
      <w:pPr>
        <w:pStyle w:val="Heading2"/>
      </w:pPr>
      <w:r>
        <w:rPr>
          <w:rFonts w:ascii="Times New Roman" w:cs="Times New Roman" w:eastAsia="Times New Roman" w:hAnsi="Times New Roman"/>
        </w:rPr>
        <w:t xml:space="preserve">3.7 Distributional assumptions</w:t>
      </w:r>
    </w:p>
    <w:p>
      <w:pPr>
        <w:spacing w:after="120" w:before="0" w:line="360" w:lineRule="auto"/>
        <w:jc w:val="both"/>
      </w:pPr>
      <w:r>
        <w:rPr>
          <w:rFonts w:ascii="Times New Roman" w:cs="Times New Roman" w:eastAsia="Times New Roman" w:hAnsi="Times New Roman"/>
        </w:rPr>
        <w:t xml:space="preserve">A D’Agostino–Pearson test rejects normality of log-salary (K² = 939, p &lt; 0.001); the distribution is left-skewed (skew -1.14) with excess kurtosis 1.79. Levene’s test rejects equal variances across the eight largest countries (W = 385, p &lt; 0.001). Figure 8 illustrates both. With such large samples </w:t>
      </w:r>
      <w:r>
        <w:rPr>
          <w:rFonts w:ascii="Times New Roman" w:cs="Times New Roman" w:eastAsia="Times New Roman" w:hAnsi="Times New Roman"/>
          <w:i/>
          <w:iCs/>
        </w:rPr>
        <w:t xml:space="preserve">any</w:t>
      </w:r>
      <w:r>
        <w:rPr>
          <w:rFonts w:ascii="Times New Roman" w:cs="Times New Roman" w:eastAsia="Times New Roman" w:hAnsi="Times New Roman"/>
        </w:rPr>
        <w:t xml:space="preserve"> departure becomes significant, so the practical consequence is what matters: we model log-salary (not raw dollars), use rank-based tests (Kruskal–Wallis, Mann–Whitney, Spearman) and heteroscedasticity-robust (HC3) standard errors.</w:t>
      </w:r>
    </w:p>
    <w:p>
      <w:pPr>
        <w:keepNext/>
        <w:spacing w:after="0" w:before="120" w:line="240" w:lineRule="auto"/>
        <w:jc w:val="center"/>
      </w:pPr>
      <w:r>
        <w:drawing>
          <wp:inline distT="0" distB="0" distL="0" distR="0">
            <wp:extent cx="4762500" cy="1943100"/>
            <wp:effectExtent t="0" r="0" b="0" l="0"/>
            <wp:docPr id="1" name="fig08_normality_checks.png" descr="Q–Q plot of log-salary (a) and country-wise densities (b): log-salary is left-skewed and heavy-tailed rather than normal, with unequal location and spread across countries." title="Q–Q plot of log-salary (a) and country-wise densities (b): log-salary is left-skewed and heavy-tailed rather than normal, with unequal location and spread across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9431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8</w:t>
      </w:r>
      <w:r>
        <w:fldChar w:fldCharType="end"/>
      </w:r>
      <w:r>
        <w:rPr>
          <w:rFonts w:ascii="Times New Roman" w:cs="Times New Roman" w:eastAsia="Times New Roman" w:hAnsi="Times New Roman"/>
          <w:sz w:val="22"/>
          <w:szCs w:val="22"/>
        </w:rPr>
        <w:t xml:space="preserve">: Q–Q plot of log-salary (a) and country-wise densities (b): log-salary is left-skewed and heavy-tailed rather than normal, with unequal location and spread across countries.</w:t>
      </w:r>
    </w:p>
    <w:p>
      <w:pPr>
        <w:pStyle w:val="Heading2"/>
      </w:pPr>
      <w:r>
        <w:rPr>
          <w:rFonts w:ascii="Times New Roman" w:cs="Times New Roman" w:eastAsia="Times New Roman" w:hAnsi="Times New Roman"/>
        </w:rPr>
        <w:t xml:space="preserve">3.8 Feature engineering</w:t>
      </w:r>
    </w:p>
    <w:p>
      <w:pPr>
        <w:spacing w:after="120" w:before="0" w:line="360" w:lineRule="auto"/>
        <w:jc w:val="both"/>
      </w:pPr>
      <w:r>
        <w:rPr>
          <w:rFonts w:ascii="Times New Roman" w:cs="Times New Roman" w:eastAsia="Times New Roman" w:hAnsi="Times New Roman"/>
        </w:rPr>
        <w:t xml:space="preserve">Table 10 lists every engineered feature with its justification. All are </w:t>
      </w:r>
      <w:r>
        <w:rPr>
          <w:rFonts w:ascii="Times New Roman" w:cs="Times New Roman" w:eastAsia="Times New Roman" w:hAnsi="Times New Roman"/>
          <w:i/>
          <w:iCs/>
        </w:rPr>
        <w:t xml:space="preserve">stateless</w:t>
      </w:r>
      <w:r>
        <w:rPr>
          <w:rFonts w:ascii="Times New Roman" w:cs="Times New Roman" w:eastAsia="Times New Roman" w:hAnsi="Times New Roman"/>
        </w:rPr>
        <w:t xml:space="preserve"> (row-wise arithmetic or recoding), so they can be computed before the train/test split without leakage. Anything that learns from data — imputation, scaling, one-hot vocabularies and target encoding — lives inside scikit-learn pipelines and is re-fitted on the training part of each cross-validation fold.</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10</w:t>
      </w:r>
      <w:r>
        <w:fldChar w:fldCharType="end"/>
      </w:r>
      <w:r>
        <w:rPr>
          <w:rFonts w:ascii="Times New Roman" w:cs="Times New Roman" w:eastAsia="Times New Roman" w:hAnsi="Times New Roman"/>
          <w:sz w:val="22"/>
          <w:szCs w:val="22"/>
        </w:rPr>
        <w:t xml:space="preserve">: Engineered features and their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4"/>
        <w:gridCol w:w="2805"/>
        <w:gridCol w:w="4147"/>
      </w:tblGrid>
      <w:tr>
        <w:trPr>
          <w:cantSplit/>
          <w:tblHeader/>
        </w:trPr>
        <w:tc>
          <w:tcPr>
            <w:tcW w:type="dxa" w:w="207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Feature</w:t>
            </w:r>
          </w:p>
        </w:tc>
        <w:tc>
          <w:tcPr>
            <w:tcW w:type="dxa" w:w="280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Definition</w:t>
            </w:r>
          </w:p>
        </w:tc>
        <w:tc>
          <w:tcPr>
            <w:tcW w:type="dxa" w:w="414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Justification</w:t>
            </w:r>
          </w:p>
        </w:tc>
      </w:tr>
      <w:tr>
        <w:trPr>
          <w:cantSplit/>
        </w:trPr>
        <w:tc>
          <w:tcPr>
            <w:tcW w:type="dxa" w:w="20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age_mid</w:t>
            </w:r>
          </w:p>
        </w:tc>
        <w:tc>
          <w:tcPr>
            <w:tcW w:type="dxa" w:w="280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Midpoint of age bracket</w:t>
            </w:r>
          </w:p>
        </w:tc>
        <w:tc>
          <w:tcPr>
            <w:tcW w:type="dxa" w:w="41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Turns an ordinal bracket into a numeric scale usable by all models</w:t>
            </w:r>
          </w:p>
        </w:tc>
      </w:tr>
      <w:tr>
        <w:trPr>
          <w:cantSplit/>
        </w:trPr>
        <w:tc>
          <w:tcPr>
            <w:tcW w:type="dxa" w:w="20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ed_rank</w:t>
            </w:r>
          </w:p>
        </w:tc>
        <w:tc>
          <w:tcPr>
            <w:tcW w:type="dxa" w:w="280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Education level -&gt; 1…7</w:t>
            </w:r>
          </w:p>
        </w:tc>
        <w:tc>
          <w:tcPr>
            <w:tcW w:type="dxa" w:w="41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Preserves natural order of qualifications</w:t>
            </w:r>
          </w:p>
        </w:tc>
      </w:tr>
      <w:tr>
        <w:trPr>
          <w:cantSplit/>
        </w:trPr>
        <w:tc>
          <w:tcPr>
            <w:tcW w:type="dxa" w:w="20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org_log</w:t>
            </w:r>
          </w:p>
        </w:tc>
        <w:tc>
          <w:tcPr>
            <w:tcW w:type="dxa" w:w="280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log10(midpoint of organisation size)</w:t>
            </w:r>
          </w:p>
        </w:tc>
        <w:tc>
          <w:tcPr>
            <w:tcW w:type="dxa" w:w="41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Company size spans 4 orders of magnitude; log makes effect approx. linear</w:t>
            </w:r>
          </w:p>
        </w:tc>
      </w:tr>
      <w:tr>
        <w:trPr>
          <w:cantSplit/>
        </w:trPr>
        <w:tc>
          <w:tcPr>
            <w:tcW w:type="dxa" w:w="20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so_visit_rank</w:t>
            </w:r>
          </w:p>
        </w:tc>
        <w:tc>
          <w:tcPr>
            <w:tcW w:type="dxa" w:w="280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Stack Overflow visit frequency -&gt; 1…5</w:t>
            </w:r>
          </w:p>
        </w:tc>
        <w:tc>
          <w:tcPr>
            <w:tcW w:type="dxa" w:w="41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Proxy for engagement / learning intensity</w:t>
            </w:r>
          </w:p>
        </w:tc>
      </w:tr>
      <w:tr>
        <w:trPr>
          <w:cantSplit/>
        </w:trPr>
        <w:tc>
          <w:tcPr>
            <w:tcW w:type="dxa" w:w="20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exp_gap</w:t>
            </w:r>
          </w:p>
        </w:tc>
        <w:tc>
          <w:tcPr>
            <w:tcW w:type="dxa" w:w="280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years_code − years_code_pro</w:t>
            </w:r>
          </w:p>
        </w:tc>
        <w:tc>
          <w:tcPr>
            <w:tcW w:type="dxa" w:w="41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Years of coding before first paid job (education / hobby head-start)</w:t>
            </w:r>
          </w:p>
        </w:tc>
      </w:tr>
      <w:tr>
        <w:trPr>
          <w:cantSplit/>
        </w:trPr>
        <w:tc>
          <w:tcPr>
            <w:tcW w:type="dxa" w:w="20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pro_share</w:t>
            </w:r>
          </w:p>
        </w:tc>
        <w:tc>
          <w:tcPr>
            <w:tcW w:type="dxa" w:w="280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years_code_pro / years_code</w:t>
            </w:r>
          </w:p>
        </w:tc>
        <w:tc>
          <w:tcPr>
            <w:tcW w:type="dxa" w:w="41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Share of the coding life spent professionally (career stage)</w:t>
            </w:r>
          </w:p>
        </w:tc>
      </w:tr>
      <w:tr>
        <w:trPr>
          <w:cantSplit/>
        </w:trPr>
        <w:tc>
          <w:tcPr>
            <w:tcW w:type="dxa" w:w="20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years_pro_sq</w:t>
            </w:r>
          </w:p>
        </w:tc>
        <w:tc>
          <w:tcPr>
            <w:tcW w:type="dxa" w:w="280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years_code_pro²</w:t>
            </w:r>
          </w:p>
        </w:tc>
        <w:tc>
          <w:tcPr>
            <w:tcW w:type="dxa" w:w="41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Captures diminishing returns of experience in linear models</w:t>
            </w:r>
          </w:p>
        </w:tc>
      </w:tr>
      <w:tr>
        <w:trPr>
          <w:cantSplit/>
        </w:trPr>
        <w:tc>
          <w:tcPr>
            <w:tcW w:type="dxa" w:w="20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Missing indicators</w:t>
            </w:r>
          </w:p>
        </w:tc>
        <w:tc>
          <w:tcPr>
            <w:tcW w:type="dxa" w:w="280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SimpleImputer(add_indicator=True)</w:t>
            </w:r>
          </w:p>
        </w:tc>
        <w:tc>
          <w:tcPr>
            <w:tcW w:type="dxa" w:w="41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Non-response itself can be informative</w:t>
            </w:r>
          </w:p>
        </w:tc>
      </w:tr>
      <w:tr>
        <w:trPr>
          <w:cantSplit/>
        </w:trPr>
        <w:tc>
          <w:tcPr>
            <w:tcW w:type="dxa" w:w="20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Target-encoded country / dev_type</w:t>
            </w:r>
          </w:p>
        </w:tc>
        <w:tc>
          <w:tcPr>
            <w:tcW w:type="dxa" w:w="280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Cross-fitted mean of target by category</w:t>
            </w:r>
          </w:p>
        </w:tc>
        <w:tc>
          <w:tcPr>
            <w:tcW w:type="dxa" w:w="41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Compact numeric representation of high-cardinality variables, leakage-safe</w:t>
            </w:r>
          </w:p>
        </w:tc>
      </w:tr>
    </w:tbl>
    <w:p>
      <w:pPr>
        <w:spacing w:after="160" w:before="0" w:line="240" w:lineRule="auto"/>
      </w:pPr>
    </w:p>
    <w:p>
      <w:pPr>
        <w:pStyle w:val="Heading2"/>
      </w:pPr>
      <w:r>
        <w:rPr>
          <w:rFonts w:ascii="Times New Roman" w:cs="Times New Roman" w:eastAsia="Times New Roman" w:hAnsi="Times New Roman"/>
        </w:rPr>
        <w:t xml:space="preserve">3.9 Leakage prevention and data splitting</w:t>
      </w:r>
    </w:p>
    <w:p>
      <w:pPr>
        <w:spacing w:after="120" w:before="0" w:line="360" w:lineRule="auto"/>
        <w:jc w:val="left"/>
      </w:pPr>
      <w:r>
        <w:rPr>
          <w:rFonts w:ascii="Times New Roman" w:cs="Times New Roman" w:eastAsia="Times New Roman" w:hAnsi="Times New Roman"/>
        </w:rPr>
        <w:t xml:space="preserve">Target leakage is the most common cause of over-optimistic results. Table 11 is the project’s </w:t>
      </w:r>
      <w:r>
        <w:rPr>
          <w:rFonts w:ascii="Times New Roman" w:cs="Times New Roman" w:eastAsia="Times New Roman" w:hAnsi="Times New Roman"/>
          <w:i/>
          <w:iCs/>
        </w:rPr>
        <w:t xml:space="preserve">leakage register</w:t>
      </w:r>
      <w:r>
        <w:rPr>
          <w:rFonts w:ascii="Times New Roman" w:cs="Times New Roman" w:eastAsia="Times New Roman" w:hAnsi="Times New Roman"/>
        </w:rPr>
        <w:t xml:space="preserve">. The most important entries are </w:t>
      </w:r>
      <w:r>
        <w:rPr>
          <w:rFonts w:ascii="Courier New" w:cs="Courier New" w:eastAsia="Courier New" w:hAnsi="Courier New"/>
          <w:sz w:val="22"/>
          <w:szCs w:val="22"/>
        </w:rPr>
        <w:t xml:space="preserve">comp_total</w:t>
      </w:r>
      <w:r>
        <w:rPr>
          <w:rFonts w:ascii="Times New Roman" w:cs="Times New Roman" w:eastAsia="Times New Roman" w:hAnsi="Times New Roman"/>
        </w:rPr>
        <w:t xml:space="preserve"> (the local-currency version of the salary target) and the four AI follow-up questions (</w:t>
      </w:r>
      <w:r>
        <w:rPr>
          <w:rFonts w:ascii="Courier New" w:cs="Courier New" w:eastAsia="Courier New" w:hAnsi="Courier New"/>
          <w:sz w:val="22"/>
          <w:szCs w:val="22"/>
        </w:rPr>
        <w:t xml:space="preserve">ai_sent</w:t>
      </w:r>
      <w:r>
        <w:rPr>
          <w:rFonts w:ascii="Times New Roman" w:cs="Times New Roman" w:eastAsia="Times New Roman" w:hAnsi="Times New Roman"/>
        </w:rPr>
        <w:t xml:space="preserve">, </w:t>
      </w:r>
      <w:r>
        <w:rPr>
          <w:rFonts w:ascii="Courier New" w:cs="Courier New" w:eastAsia="Courier New" w:hAnsi="Courier New"/>
          <w:sz w:val="22"/>
          <w:szCs w:val="22"/>
        </w:rPr>
        <w:t xml:space="preserve">ai_acc</w:t>
      </w:r>
      <w:r>
        <w:rPr>
          <w:rFonts w:ascii="Times New Roman" w:cs="Times New Roman" w:eastAsia="Times New Roman" w:hAnsi="Times New Roman"/>
        </w:rPr>
        <w:t xml:space="preserve">, </w:t>
      </w:r>
      <w:r>
        <w:rPr>
          <w:rFonts w:ascii="Courier New" w:cs="Courier New" w:eastAsia="Courier New" w:hAnsi="Courier New"/>
          <w:sz w:val="22"/>
          <w:szCs w:val="22"/>
        </w:rPr>
        <w:t xml:space="preserve">ai_complex</w:t>
      </w:r>
      <w:r>
        <w:rPr>
          <w:rFonts w:ascii="Times New Roman" w:cs="Times New Roman" w:eastAsia="Times New Roman" w:hAnsi="Times New Roman"/>
        </w:rPr>
        <w:t xml:space="preserve">, </w:t>
      </w:r>
      <w:r>
        <w:rPr>
          <w:rFonts w:ascii="Courier New" w:cs="Courier New" w:eastAsia="Courier New" w:hAnsi="Courier New"/>
          <w:sz w:val="22"/>
          <w:szCs w:val="22"/>
        </w:rPr>
        <w:t xml:space="preserve">ai_threat</w:t>
      </w:r>
      <w:r>
        <w:rPr>
          <w:rFonts w:ascii="Times New Roman" w:cs="Times New Roman" w:eastAsia="Times New Roman" w:hAnsi="Times New Roman"/>
        </w:rPr>
        <w:t xml:space="preserve">). The latter were asked only of respondents who already use (or plan to use) AI, so their </w:t>
      </w:r>
      <w:r>
        <w:rPr>
          <w:rFonts w:ascii="Times New Roman" w:cs="Times New Roman" w:eastAsia="Times New Roman" w:hAnsi="Times New Roman"/>
          <w:i/>
          <w:iCs/>
        </w:rPr>
        <w:t xml:space="preserve">mere presence</w:t>
      </w:r>
      <w:r>
        <w:rPr>
          <w:rFonts w:ascii="Times New Roman" w:cs="Times New Roman" w:eastAsia="Times New Roman" w:hAnsi="Times New Roman"/>
        </w:rPr>
        <w:t xml:space="preserve"> reveals the adoption label; Section 4.7 measures how much they would inflate performance.</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11</w:t>
      </w:r>
      <w:r>
        <w:fldChar w:fldCharType="end"/>
      </w:r>
      <w:r>
        <w:rPr>
          <w:rFonts w:ascii="Times New Roman" w:cs="Times New Roman" w:eastAsia="Times New Roman" w:hAnsi="Times New Roman"/>
          <w:sz w:val="22"/>
          <w:szCs w:val="22"/>
        </w:rPr>
        <w:t xml:space="preserve">: Leakage register: columns excluded from predictors and the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6963"/>
      </w:tblGrid>
      <w:tr>
        <w:trPr>
          <w:cantSplit/>
          <w:tblHeader/>
        </w:trPr>
        <w:tc>
          <w:tcPr>
            <w:tcW w:type="dxa" w:w="20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Column</w:t>
            </w:r>
          </w:p>
        </w:tc>
        <w:tc>
          <w:tcPr>
            <w:tcW w:type="dxa" w:w="69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8"/>
                <w:szCs w:val="18"/>
              </w:rPr>
              <w:t xml:space="preserve">Reason excluded / restricted</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comp_total</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Local-currency twin of the target (converted_comp_yearly = comp_total x FX rate).</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converted_comp_yearly</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Target of the salary task.</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log_comp</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Transform of the target.</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currency</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Near-duplicate of country (information already encoded; adds sparse dummies).</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response_id</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Identifier - no predictive meaning.</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survey_length</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Opinion about the survey itself - unrelated to the prediction problem.</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survey_ease</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Opinion about the survey itself - unrelated to the prediction problem.</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ai_sent</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Asked ONLY if ai_select in {Yes, plan to} -&gt; its mere presence reveals the target.</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ai_acc</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Asked ONLY if ai_select = Yes -&gt; reveals the target of the adoption task.</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ai_complex</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Asked ONLY if ai_select = Yes -&gt; reveals the target of the adoption task.</w:t>
            </w:r>
          </w:p>
        </w:tc>
      </w:tr>
      <w:tr>
        <w:trPr>
          <w:cantSplit/>
        </w:trPr>
        <w:tc>
          <w:tcPr>
            <w:tcW w:type="dxa" w:w="20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ai_threat</w:t>
            </w:r>
          </w:p>
        </w:tc>
        <w:tc>
          <w:tcPr>
            <w:tcW w:type="dxa" w:w="6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Asked ONLY if ai_select in {Yes, plan to} -&gt; reveals the target.</w:t>
            </w:r>
          </w:p>
        </w:tc>
      </w:tr>
      <w:tr>
        <w:trPr>
          <w:cantSplit/>
        </w:trPr>
        <w:tc>
          <w:tcPr>
            <w:tcW w:type="dxa" w:w="20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ai_select</w:t>
            </w:r>
          </w:p>
        </w:tc>
        <w:tc>
          <w:tcPr>
            <w:tcW w:type="dxa" w:w="6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8"/>
                <w:szCs w:val="18"/>
              </w:rPr>
              <w:t xml:space="preserve">Target of the adoption task (allowed as a predictor in the salary task).</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Both tasks use a stratified 80 / 20 hold-out split with seed 42 (salary: 16,635 training and 4,159 test rows, stratified by large country; adoption: stratified by the label). All model selection uses 5-fold cross-validation </w:t>
      </w:r>
      <w:r>
        <w:rPr>
          <w:rFonts w:ascii="Times New Roman" w:cs="Times New Roman" w:eastAsia="Times New Roman" w:hAnsi="Times New Roman"/>
          <w:i/>
          <w:iCs/>
        </w:rPr>
        <w:t xml:space="preserve">inside the training set</w:t>
      </w:r>
      <w:r>
        <w:rPr>
          <w:rFonts w:ascii="Times New Roman" w:cs="Times New Roman" w:eastAsia="Times New Roman" w:hAnsi="Times New Roman"/>
        </w:rPr>
        <w:t xml:space="preserve">; the test set is evaluated once, after selection.</w:t>
      </w:r>
    </w:p>
    <w:p>
      <w:pPr>
        <w:pStyle w:val="Heading2"/>
      </w:pPr>
      <w:r>
        <w:rPr>
          <w:rFonts w:ascii="Times New Roman" w:cs="Times New Roman" w:eastAsia="Times New Roman" w:hAnsi="Times New Roman"/>
        </w:rPr>
        <w:t xml:space="preserve">3.10 Summary of EDA decisions</w:t>
      </w:r>
    </w:p>
    <w:p>
      <w:pPr>
        <w:pStyle w:val="ListParagraph"/>
        <w:numPr>
          <w:ilvl w:val="0"/>
          <w:numId w:val="2"/>
        </w:numPr>
        <w:spacing w:after="60" w:before="0" w:line="360" w:lineRule="auto"/>
        <w:jc w:val="both"/>
      </w:pPr>
      <w:r>
        <w:rPr>
          <w:rFonts w:ascii="Times New Roman" w:cs="Times New Roman" w:eastAsia="Times New Roman" w:hAnsi="Times New Roman"/>
        </w:rPr>
        <w:t xml:space="preserve">Model </w:t>
      </w:r>
      <w:r>
        <w:rPr>
          <w:rFonts w:ascii="Times New Roman" w:cs="Times New Roman" w:eastAsia="Times New Roman" w:hAnsi="Times New Roman"/>
          <w:b/>
          <w:bCs/>
        </w:rPr>
        <w:t xml:space="preserve">log-salary</w:t>
      </w:r>
      <w:r>
        <w:rPr>
          <w:rFonts w:ascii="Times New Roman" w:cs="Times New Roman" w:eastAsia="Times New Roman" w:hAnsi="Times New Roman"/>
        </w:rPr>
        <w:t xml:space="preserve">; report errors on both the log and the USD scale.</w:t>
      </w:r>
    </w:p>
    <w:p>
      <w:pPr>
        <w:pStyle w:val="ListParagraph"/>
        <w:numPr>
          <w:ilvl w:val="0"/>
          <w:numId w:val="2"/>
        </w:numPr>
        <w:spacing w:after="60" w:before="0" w:line="360" w:lineRule="auto"/>
        <w:jc w:val="both"/>
      </w:pPr>
      <w:r>
        <w:rPr>
          <w:rFonts w:ascii="Times New Roman" w:cs="Times New Roman" w:eastAsia="Times New Roman" w:hAnsi="Times New Roman"/>
        </w:rPr>
        <w:t xml:space="preserve">Use </w:t>
      </w:r>
      <w:r>
        <w:rPr>
          <w:rFonts w:ascii="Times New Roman" w:cs="Times New Roman" w:eastAsia="Times New Roman" w:hAnsi="Times New Roman"/>
          <w:b/>
          <w:bCs/>
        </w:rPr>
        <w:t xml:space="preserve">rank-based tests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HC3-robust OLS</w:t>
      </w:r>
      <w:r>
        <w:rPr>
          <w:rFonts w:ascii="Times New Roman" w:cs="Times New Roman" w:eastAsia="Times New Roman" w:hAnsi="Times New Roman"/>
        </w:rPr>
        <w:t xml:space="preserve"> for inference.</w:t>
      </w:r>
    </w:p>
    <w:p>
      <w:pPr>
        <w:pStyle w:val="ListParagraph"/>
        <w:numPr>
          <w:ilvl w:val="0"/>
          <w:numId w:val="2"/>
        </w:numPr>
        <w:spacing w:after="60" w:before="0" w:line="360" w:lineRule="auto"/>
        <w:jc w:val="both"/>
      </w:pPr>
      <w:r>
        <w:rPr>
          <w:rFonts w:ascii="Times New Roman" w:cs="Times New Roman" w:eastAsia="Times New Roman" w:hAnsi="Times New Roman"/>
        </w:rPr>
        <w:t xml:space="preserve">Treat missingness as structural: never impute targets; impute predictors inside pipelines.</w:t>
      </w:r>
    </w:p>
    <w:p>
      <w:pPr>
        <w:pStyle w:val="ListParagraph"/>
        <w:numPr>
          <w:ilvl w:val="0"/>
          <w:numId w:val="2"/>
        </w:numPr>
        <w:spacing w:after="60" w:before="0" w:line="360" w:lineRule="auto"/>
        <w:jc w:val="both"/>
      </w:pPr>
      <w:r>
        <w:rPr>
          <w:rFonts w:ascii="Times New Roman" w:cs="Times New Roman" w:eastAsia="Times New Roman" w:hAnsi="Times New Roman"/>
        </w:rPr>
        <w:t xml:space="preserve">Use </w:t>
      </w:r>
      <w:r>
        <w:rPr>
          <w:rFonts w:ascii="Times New Roman" w:cs="Times New Roman" w:eastAsia="Times New Roman" w:hAnsi="Times New Roman"/>
          <w:b/>
          <w:bCs/>
        </w:rPr>
        <w:t xml:space="preserve">country-aware</w:t>
      </w:r>
      <w:r>
        <w:rPr>
          <w:rFonts w:ascii="Times New Roman" w:cs="Times New Roman" w:eastAsia="Times New Roman" w:hAnsi="Times New Roman"/>
        </w:rPr>
        <w:t xml:space="preserve"> outlier handling; blank (not drop) impossible experience values.</w:t>
      </w:r>
    </w:p>
    <w:p>
      <w:pPr>
        <w:pStyle w:val="ListParagraph"/>
        <w:numPr>
          <w:ilvl w:val="0"/>
          <w:numId w:val="2"/>
        </w:numPr>
        <w:spacing w:after="60" w:before="0" w:line="360" w:lineRule="auto"/>
        <w:jc w:val="both"/>
      </w:pPr>
      <w:r>
        <w:rPr>
          <w:rFonts w:ascii="Times New Roman" w:cs="Times New Roman" w:eastAsia="Times New Roman" w:hAnsi="Times New Roman"/>
        </w:rPr>
        <w:t xml:space="preserve">Exclude </w:t>
      </w:r>
      <w:r>
        <w:rPr>
          <w:rFonts w:ascii="Courier New" w:cs="Courier New" w:eastAsia="Courier New" w:hAnsi="Courier New"/>
          <w:sz w:val="22"/>
          <w:szCs w:val="22"/>
        </w:rPr>
        <w:t xml:space="preserve">comp_total</w:t>
      </w:r>
      <w:r>
        <w:rPr>
          <w:rFonts w:ascii="Times New Roman" w:cs="Times New Roman" w:eastAsia="Times New Roman" w:hAnsi="Times New Roman"/>
        </w:rPr>
        <w:t xml:space="preserve">, </w:t>
      </w:r>
      <w:r>
        <w:rPr>
          <w:rFonts w:ascii="Courier New" w:cs="Courier New" w:eastAsia="Courier New" w:hAnsi="Courier New"/>
          <w:sz w:val="22"/>
          <w:szCs w:val="22"/>
        </w:rPr>
        <w:t xml:space="preserve">currency</w:t>
      </w:r>
      <w:r>
        <w:rPr>
          <w:rFonts w:ascii="Times New Roman" w:cs="Times New Roman" w:eastAsia="Times New Roman" w:hAnsi="Times New Roman"/>
        </w:rPr>
        <w:t xml:space="preserve"> and all conditional AI follow-up variables from predictors where they leak the target.</w:t>
      </w:r>
    </w:p>
    <w:p>
      <w:pPr>
        <w:pStyle w:val="ListParagraph"/>
        <w:numPr>
          <w:ilvl w:val="0"/>
          <w:numId w:val="2"/>
        </w:numPr>
        <w:spacing w:after="60" w:before="0" w:line="360" w:lineRule="auto"/>
        <w:jc w:val="both"/>
      </w:pPr>
      <w:r>
        <w:rPr>
          <w:rFonts w:ascii="Times New Roman" w:cs="Times New Roman" w:eastAsia="Times New Roman" w:hAnsi="Times New Roman"/>
        </w:rPr>
        <w:t xml:space="preserve">Handle high-cardinality </w:t>
      </w:r>
      <w:r>
        <w:rPr>
          <w:rFonts w:ascii="Courier New" w:cs="Courier New" w:eastAsia="Courier New" w:hAnsi="Courier New"/>
          <w:sz w:val="22"/>
          <w:szCs w:val="22"/>
        </w:rPr>
        <w:t xml:space="preserve">country</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dev_type</w:t>
      </w:r>
      <w:r>
        <w:rPr>
          <w:rFonts w:ascii="Times New Roman" w:cs="Times New Roman" w:eastAsia="Times New Roman" w:hAnsi="Times New Roman"/>
        </w:rPr>
        <w:t xml:space="preserve"> with </w:t>
      </w:r>
      <w:r>
        <w:rPr>
          <w:rFonts w:ascii="Times New Roman" w:cs="Times New Roman" w:eastAsia="Times New Roman" w:hAnsi="Times New Roman"/>
          <w:b/>
          <w:bCs/>
        </w:rPr>
        <w:t xml:space="preserve">cross-fitted target encoding</w:t>
      </w:r>
      <w:r>
        <w:rPr>
          <w:rFonts w:ascii="Times New Roman" w:cs="Times New Roman" w:eastAsia="Times New Roman" w:hAnsi="Times New Roman"/>
        </w:rPr>
        <w:t xml:space="preserve"> (trees) or pooled one-hot (Ridge).</w:t>
      </w:r>
    </w:p>
    <w:p>
      <w:pPr>
        <w:pStyle w:val="Heading1"/>
        <w:pageBreakBefore/>
      </w:pPr>
      <w:r>
        <w:rPr>
          <w:rFonts w:ascii="Times New Roman" w:cs="Times New Roman" w:eastAsia="Times New Roman" w:hAnsi="Times New Roman"/>
        </w:rPr>
        <w:t xml:space="preserve">4. Analysis on Dataset</w:t>
      </w:r>
    </w:p>
    <w:p>
      <w:pPr>
        <w:spacing w:after="120" w:before="0" w:line="360" w:lineRule="auto"/>
        <w:jc w:val="both"/>
      </w:pPr>
      <w:r>
        <w:rPr>
          <w:rFonts w:ascii="Times New Roman" w:cs="Times New Roman" w:eastAsia="Times New Roman" w:hAnsi="Times New Roman"/>
        </w:rPr>
        <w:t xml:space="preserve">Each analysis below follows the prescribed structure: (i) Introduction, (ii) General Description, (iii) Specific Requirements, Functions and Formulas, (iv) Analysis Results, and (v) Visualization and Interpretation. All results quoted are copied programmatically from the executed notebook.</w:t>
      </w:r>
    </w:p>
    <w:p>
      <w:pPr>
        <w:pStyle w:val="Heading2"/>
      </w:pPr>
      <w:r>
        <w:rPr>
          <w:rFonts w:ascii="Times New Roman" w:cs="Times New Roman" w:eastAsia="Times New Roman" w:hAnsi="Times New Roman"/>
        </w:rPr>
        <w:t xml:space="preserve">4.1 Objective O1 — Geographic compensation inequality and India’s position</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Where a developer lives is widely believed to be the single biggest determinant of pay. O1 turns this belief into numbers: how much of the variation in compensation is explained by country alone, and how does India compare with the other large developer markets? The answer matters for salary benchmarking, offshoring decisions and for students weighing emigration against local careers.</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The analysis uses the salary cohort (20,794 professionals, 160 countries). For pairwise comparisons only the 28 countries with at least 150 salary reports are retained (17,389 respondents), so that each country median has a usable confidence interval. Pay is nominal USD as reported; it is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adjusted for purchasing power or taxes, so a low USD figure does not by itself mean a low standard of living.</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Variables: </w:t>
      </w:r>
      <w:r>
        <w:rPr>
          <w:rFonts w:ascii="Courier New" w:cs="Courier New" w:eastAsia="Courier New" w:hAnsi="Courier New"/>
          <w:sz w:val="22"/>
          <w:szCs w:val="22"/>
        </w:rPr>
        <w:t xml:space="preserve">country</w:t>
      </w:r>
      <w:r>
        <w:rPr>
          <w:rFonts w:ascii="Times New Roman" w:cs="Times New Roman" w:eastAsia="Times New Roman" w:hAnsi="Times New Roman"/>
        </w:rPr>
        <w:t xml:space="preserve">, </w:t>
      </w:r>
      <w:r>
        <w:rPr>
          <w:rFonts w:ascii="Courier New" w:cs="Courier New" w:eastAsia="Courier New" w:hAnsi="Courier New"/>
          <w:sz w:val="22"/>
          <w:szCs w:val="22"/>
        </w:rPr>
        <w:t xml:space="preserve">converted_comp_yearly</w:t>
      </w:r>
      <w:r>
        <w:rPr>
          <w:rFonts w:ascii="Times New Roman" w:cs="Times New Roman" w:eastAsia="Times New Roman" w:hAnsi="Times New Roman"/>
        </w:rPr>
        <w:t xml:space="preserve"> and its logarithm </w:t>
      </w:r>
      <w:r>
        <w:rPr>
          <w:rFonts w:ascii="Courier New" w:cs="Courier New" w:eastAsia="Courier New" w:hAnsi="Courier New"/>
          <w:sz w:val="22"/>
          <w:szCs w:val="22"/>
        </w:rPr>
        <w:t xml:space="preserve">log_comp</w:t>
      </w:r>
      <w:r>
        <w:rPr>
          <w:rFonts w:ascii="Times New Roman" w:cs="Times New Roman" w:eastAsia="Times New Roman" w:hAnsi="Times New Roman"/>
        </w:rPr>
        <w:t xml:space="preserve">. Functions: </w:t>
      </w:r>
      <w:r>
        <w:rPr>
          <w:rFonts w:ascii="Courier New" w:cs="Courier New" w:eastAsia="Courier New" w:hAnsi="Courier New"/>
          <w:sz w:val="22"/>
          <w:szCs w:val="22"/>
        </w:rPr>
        <w:t xml:space="preserve">groupby().median()</w:t>
      </w:r>
      <w:r>
        <w:rPr>
          <w:rFonts w:ascii="Times New Roman" w:cs="Times New Roman" w:eastAsia="Times New Roman" w:hAnsi="Times New Roman"/>
        </w:rPr>
        <w:t xml:space="preserve">, </w:t>
      </w:r>
      <w:r>
        <w:rPr>
          <w:rFonts w:ascii="Courier New" w:cs="Courier New" w:eastAsia="Courier New" w:hAnsi="Courier New"/>
          <w:sz w:val="22"/>
          <w:szCs w:val="22"/>
        </w:rPr>
        <w:t xml:space="preserve">scipy.stats.kruskal</w:t>
      </w:r>
      <w:r>
        <w:rPr>
          <w:rFonts w:ascii="Times New Roman" w:cs="Times New Roman" w:eastAsia="Times New Roman" w:hAnsi="Times New Roman"/>
        </w:rPr>
        <w:t xml:space="preserve">, </w:t>
      </w:r>
      <w:r>
        <w:rPr>
          <w:rFonts w:ascii="Courier New" w:cs="Courier New" w:eastAsia="Courier New" w:hAnsi="Courier New"/>
          <w:sz w:val="22"/>
          <w:szCs w:val="22"/>
        </w:rPr>
        <w:t xml:space="preserve">statsmodels.formula.api.ols("log_comp ~ C(country)")</w:t>
      </w:r>
      <w:r>
        <w:rPr>
          <w:rFonts w:ascii="Times New Roman" w:cs="Times New Roman" w:eastAsia="Times New Roman" w:hAnsi="Times New Roman"/>
        </w:rPr>
        <w:t xml:space="preserve">, </w:t>
      </w:r>
      <w:r>
        <w:rPr>
          <w:rFonts w:ascii="Courier New" w:cs="Courier New" w:eastAsia="Courier New" w:hAnsi="Courier New"/>
          <w:sz w:val="22"/>
          <w:szCs w:val="22"/>
        </w:rPr>
        <w:t xml:space="preserve">scipy.stats.mannwhitneyu</w:t>
      </w:r>
      <w:r>
        <w:rPr>
          <w:rFonts w:ascii="Times New Roman" w:cs="Times New Roman" w:eastAsia="Times New Roman" w:hAnsi="Times New Roman"/>
        </w:rPr>
        <w:t xml:space="preserve">, </w:t>
      </w:r>
      <w:r>
        <w:rPr>
          <w:rFonts w:ascii="Courier New" w:cs="Courier New" w:eastAsia="Courier New" w:hAnsi="Courier New"/>
          <w:sz w:val="22"/>
          <w:szCs w:val="22"/>
        </w:rPr>
        <w:t xml:space="preserve">statsmodels…multipletests(method="holm")</w:t>
      </w:r>
      <w:r>
        <w:rPr>
          <w:rFonts w:ascii="Times New Roman" w:cs="Times New Roman" w:eastAsia="Times New Roman" w:hAnsi="Times New Roman"/>
        </w:rPr>
        <w:t xml:space="preserve">, and the project helpers </w:t>
      </w:r>
      <w:r>
        <w:rPr>
          <w:rFonts w:ascii="Courier New" w:cs="Courier New" w:eastAsia="Courier New" w:hAnsi="Courier New"/>
          <w:sz w:val="22"/>
          <w:szCs w:val="22"/>
        </w:rPr>
        <w:t xml:space="preserve">eta_squared_from_groups</w:t>
      </w:r>
      <w:r>
        <w:rPr>
          <w:rFonts w:ascii="Times New Roman" w:cs="Times New Roman" w:eastAsia="Times New Roman" w:hAnsi="Times New Roman"/>
        </w:rPr>
        <w:t xml:space="preserve">, </w:t>
      </w:r>
      <w:r>
        <w:rPr>
          <w:rFonts w:ascii="Courier New" w:cs="Courier New" w:eastAsia="Courier New" w:hAnsi="Courier New"/>
          <w:sz w:val="22"/>
          <w:szCs w:val="22"/>
        </w:rPr>
        <w:t xml:space="preserve">epsilon_squared_kruskal</w:t>
      </w:r>
      <w:r>
        <w:rPr>
          <w:rFonts w:ascii="Times New Roman" w:cs="Times New Roman" w:eastAsia="Times New Roman" w:hAnsi="Times New Roman"/>
        </w:rPr>
        <w:t xml:space="preserve">, </w:t>
      </w:r>
      <w:r>
        <w:rPr>
          <w:rFonts w:ascii="Courier New" w:cs="Courier New" w:eastAsia="Courier New" w:hAnsi="Courier New"/>
          <w:sz w:val="22"/>
          <w:szCs w:val="22"/>
        </w:rPr>
        <w:t xml:space="preserve">cliffs_delta</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boot_median_ci</w:t>
      </w:r>
      <w:r>
        <w:rPr>
          <w:rFonts w:ascii="Times New Roman" w:cs="Times New Roman" w:eastAsia="Times New Roman" w:hAnsi="Times New Roman"/>
        </w:rPr>
        <w:t xml:space="preserve"> (1,000 bootstrap resamples).</w:t>
      </w:r>
    </w:p>
    <w:p>
      <w:pPr>
        <w:spacing w:after="120" w:before="60" w:line="360" w:lineRule="auto"/>
        <w:jc w:val="center"/>
      </w:pPr>
      <w:r>
        <w:rPr>
          <w:rFonts w:ascii="Times New Roman" w:cs="Times New Roman" w:eastAsia="Times New Roman" w:hAnsi="Times New Roman"/>
          <w:sz w:val="22"/>
          <w:szCs w:val="22"/>
        </w:rPr>
        <w:t xml:space="preserve">H = [12 / (N(N+1))]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n</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− 3(N+1),     ε</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H / (N − 1)     (Kruskal–Wallis and effect size)</w:t>
      </w:r>
    </w:p>
    <w:p>
      <w:pPr>
        <w:spacing w:after="120" w:before="60" w:line="360" w:lineRule="auto"/>
        <w:jc w:val="center"/>
      </w:pPr>
      <w:r>
        <w:rPr>
          <w:rFonts w:ascii="Times New Roman" w:cs="Times New Roman" w:eastAsia="Times New Roman" w:hAnsi="Times New Roman"/>
          <w:sz w:val="22"/>
          <w:szCs w:val="22"/>
        </w:rPr>
        <w:t xml:space="preserve">η</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SS</w:t>
      </w:r>
      <w:r>
        <w:rPr>
          <w:rFonts w:ascii="Times New Roman" w:cs="Times New Roman" w:eastAsia="Times New Roman" w:hAnsi="Times New Roman"/>
          <w:sz w:val="22"/>
          <w:szCs w:val="22"/>
          <w:vertAlign w:val="subscript"/>
        </w:rPr>
        <w:t xml:space="preserve">between</w:t>
      </w:r>
      <w:r>
        <w:rPr>
          <w:rFonts w:ascii="Times New Roman" w:cs="Times New Roman" w:eastAsia="Times New Roman" w:hAnsi="Times New Roman"/>
          <w:sz w:val="22"/>
          <w:szCs w:val="22"/>
        </w:rPr>
        <w:t xml:space="preserve"> / SS</w:t>
      </w:r>
      <w:r>
        <w:rPr>
          <w:rFonts w:ascii="Times New Roman" w:cs="Times New Roman" w:eastAsia="Times New Roman" w:hAnsi="Times New Roman"/>
          <w:sz w:val="22"/>
          <w:szCs w:val="22"/>
          <w:vertAlign w:val="subscript"/>
        </w:rPr>
        <w:t xml:space="preserve">total</w:t>
      </w:r>
      <w:r>
        <w:rPr>
          <w:rFonts w:ascii="Times New Roman" w:cs="Times New Roman" w:eastAsia="Times New Roman" w:hAnsi="Times New Roman"/>
          <w:sz w:val="22"/>
          <w:szCs w:val="22"/>
        </w:rPr>
        <w:t xml:space="preserve"> (variance in log-pay explained by country);     δ = 2U / (n</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n</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− 1  (Cliff’s delta)</w:t>
      </w:r>
    </w:p>
    <w:p>
      <w:pPr>
        <w:spacing w:after="120" w:before="60" w:line="360" w:lineRule="auto"/>
        <w:jc w:val="center"/>
      </w:pPr>
      <w:r>
        <w:rPr>
          <w:rFonts w:ascii="Times New Roman" w:cs="Times New Roman" w:eastAsia="Times New Roman" w:hAnsi="Times New Roman"/>
          <w:sz w:val="22"/>
          <w:szCs w:val="22"/>
        </w:rPr>
        <w:t xml:space="preserve">95 % bootstrap CI of a median = [2.5th, 97.5th percentile] of the medians of B = 1,000 resamples drawn with replacement</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rPr>
        <w:t xml:space="preserve">The Kruskal–Wallis test strongly rejects equal pay across the 28 large countries (H = 9,238, p &lt; 0.001) with a large effect size (ε² = 0.53; η² = 0.49). A regression of log-pay on country dummies </w:t>
      </w:r>
      <w:r>
        <w:rPr>
          <w:rFonts w:ascii="Times New Roman" w:cs="Times New Roman" w:eastAsia="Times New Roman" w:hAnsi="Times New Roman"/>
          <w:i/>
          <w:iCs/>
        </w:rPr>
        <w:t xml:space="preserve">for all 160 countries</w:t>
      </w:r>
      <w:r>
        <w:rPr>
          <w:rFonts w:ascii="Times New Roman" w:cs="Times New Roman" w:eastAsia="Times New Roman" w:hAnsi="Times New Roman"/>
        </w:rPr>
        <w:t xml:space="preserve"> gives R² = 0.507 (adjusted R² = 0.503); in other words, </w:t>
      </w:r>
      <w:r>
        <w:rPr>
          <w:rFonts w:ascii="Times New Roman" w:cs="Times New Roman" w:eastAsia="Times New Roman" w:hAnsi="Times New Roman"/>
          <w:b/>
          <w:bCs/>
        </w:rPr>
        <w:t xml:space="preserve">country alone explains about half of all variation in developer pay</w:t>
      </w:r>
      <w:r>
        <w:rPr>
          <w:rFonts w:ascii="Times New Roman" w:cs="Times New Roman" w:eastAsia="Times New Roman" w:hAnsi="Times New Roman"/>
        </w:rPr>
        <w:t xml:space="preserve">.</w:t>
      </w:r>
    </w:p>
    <w:p>
      <w:pPr>
        <w:spacing w:after="120" w:before="0" w:line="360" w:lineRule="auto"/>
        <w:jc w:val="both"/>
      </w:pPr>
      <w:r>
        <w:rPr>
          <w:rFonts w:ascii="Times New Roman" w:cs="Times New Roman" w:eastAsia="Times New Roman" w:hAnsi="Times New Roman"/>
        </w:rPr>
        <w:t xml:space="preserve">Table 12 lists the median pay of every large country. The highest median is USD 148,000 (USA) and the lowest USD 17,945 (India), a ratio of 8.2 to 1. India’s median (USD 17,945, n = 966) is </w:t>
      </w:r>
      <w:r>
        <w:rPr>
          <w:rFonts w:ascii="Times New Roman" w:cs="Times New Roman" w:eastAsia="Times New Roman" w:hAnsi="Times New Roman"/>
          <w:b/>
          <w:bCs/>
        </w:rPr>
        <w:t xml:space="preserve">0.12 times</w:t>
      </w:r>
      <w:r>
        <w:rPr>
          <w:rFonts w:ascii="Times New Roman" w:cs="Times New Roman" w:eastAsia="Times New Roman" w:hAnsi="Times New Roman"/>
        </w:rPr>
        <w:t xml:space="preserve"> the USA median (95 % bootstrap CI 0.11–0.13) and ranks 28 of 28. After Holm correction, India’s pay distribution is significantly lower than that of all 27 other countries and higher than none.</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12</w:t>
      </w:r>
      <w:r>
        <w:fldChar w:fldCharType="end"/>
      </w:r>
      <w:r>
        <w:rPr>
          <w:rFonts w:ascii="Times New Roman" w:cs="Times New Roman" w:eastAsia="Times New Roman" w:hAnsi="Times New Roman"/>
          <w:sz w:val="22"/>
          <w:szCs w:val="22"/>
        </w:rPr>
        <w:t xml:space="preserve">: Median annual compensation (USD) by country, with 95 % bootstrap CI, ratio to the USA median and Cliff’s δ of India versus that country (negative = India lower)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1886"/>
        <w:gridCol w:w="808"/>
        <w:gridCol w:w="1482"/>
        <w:gridCol w:w="2021"/>
        <w:gridCol w:w="943"/>
        <w:gridCol w:w="1212"/>
      </w:tblGrid>
      <w:tr>
        <w:trPr>
          <w:cantSplit/>
          <w:tblHeader/>
        </w:trPr>
        <w:tc>
          <w:tcPr>
            <w:tcW w:type="dxa" w:w="67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Rank</w:t>
            </w:r>
          </w:p>
        </w:tc>
        <w:tc>
          <w:tcPr>
            <w:tcW w:type="dxa" w:w="188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Country</w:t>
            </w:r>
          </w:p>
        </w:tc>
        <w:tc>
          <w:tcPr>
            <w:tcW w:type="dxa" w:w="80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n</w:t>
            </w:r>
          </w:p>
        </w:tc>
        <w:tc>
          <w:tcPr>
            <w:tcW w:type="dxa" w:w="148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Median (USD)</w:t>
            </w:r>
          </w:p>
        </w:tc>
        <w:tc>
          <w:tcPr>
            <w:tcW w:type="dxa" w:w="202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95 % CI</w:t>
            </w:r>
          </w:p>
        </w:tc>
        <w:tc>
          <w:tcPr>
            <w:tcW w:type="dxa" w:w="94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 USA</w:t>
            </w:r>
          </w:p>
        </w:tc>
        <w:tc>
          <w:tcPr>
            <w:tcW w:type="dxa" w:w="121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δ (India vs)</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4,211</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148,000</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145,000–150,000</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1.00</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-0.96</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Israel</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198</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120,754</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113,334–129,524</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0.82</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-0.94</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Switzerland</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334</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116,988</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111,417–122,559</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0.79</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-0.95</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4</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Australia</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449</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95,796</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91,832–99,099</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0.65</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-0.91</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5</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Denmark</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180</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91,378</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86,401–100,801</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-0.92</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6</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Canada</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799</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87,231</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83,597–87,231</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0.59</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-0.88</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7</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UK</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1,270</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85,350</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82,802–89,172</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0.58</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-0.88</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8</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Norway</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207</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81,424</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76,745–84,232</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0.55</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-0.90</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9</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Germany</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1,754</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75,184</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73,036–75,184</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0.51</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-0.83</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10</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Netherlands</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529</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69,814</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66,592–75,184</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0.47</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-0.82</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11</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Austria</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304</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66,693</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64,444–69,814</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0.45</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-0.80</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12</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Finland</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150</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66,377</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59,610–69,814</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0.45</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-0.79</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13</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Belgium</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183</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64,444</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59,073–69,814</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0.43</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-0.81</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14</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Sweden</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404</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59,424</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57,230–62,316</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0.40</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-0.80</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15</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Poland</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539</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56,917</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53,452–59,391</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0.39</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16</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France</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837</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53,703</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53,703–55,851</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0.36</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-0.74</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17</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Portugal</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177</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53,426</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47,232–55,851</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0.36</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18</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Czechia</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248</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52,122</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46,910–53,686</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0.35</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19</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Spain</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505</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51,555</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48,333–53,703</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0.35</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-0.67</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20</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Romania</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158</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50,707</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43,155–56,101</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0.34</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-0.50</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21</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South Africa</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150</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45,468</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38,742–52,306</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0.31</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-0.51</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22</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Italy</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490</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41,163</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38,666–42,962</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0.28</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-0.59</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23</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Greece</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154</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38,129</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33,833–43,395</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0.26</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-0.51</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24</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Ukraine</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1,181</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35,545</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30,000–36,779</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0.24</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-0.23</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25</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Russia</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220</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28,011</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26,891–32,269</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0.19</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-0.24</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26</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Turkey</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171</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27,822</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24,731–30,914</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0.19</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-0.23</w:t>
            </w:r>
          </w:p>
        </w:tc>
      </w:tr>
      <w:tr>
        <w:trPr>
          <w:cantSplit/>
        </w:trPr>
        <w:tc>
          <w:tcPr>
            <w:tcW w:type="dxa" w:w="67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27</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Brazil</w:t>
            </w:r>
          </w:p>
        </w:tc>
        <w:tc>
          <w:tcPr>
            <w:tcW w:type="dxa" w:w="80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621</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24,243</w:t>
            </w:r>
          </w:p>
        </w:tc>
        <w:tc>
          <w:tcPr>
            <w:tcW w:type="dxa" w:w="202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22,378–25,777</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0.16</w:t>
            </w:r>
          </w:p>
        </w:tc>
        <w:tc>
          <w:tcPr>
            <w:tcW w:type="dxa" w:w="121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-0.20</w:t>
            </w:r>
          </w:p>
        </w:tc>
      </w:tr>
      <w:tr>
        <w:trPr>
          <w:cantSplit/>
        </w:trPr>
        <w:tc>
          <w:tcPr>
            <w:tcW w:type="dxa" w:w="67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7"/>
                <w:szCs w:val="17"/>
              </w:rPr>
              <w:t xml:space="preserve">28</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India</w:t>
            </w:r>
          </w:p>
        </w:tc>
        <w:tc>
          <w:tcPr>
            <w:tcW w:type="dxa" w:w="80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966</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17,945</w:t>
            </w:r>
          </w:p>
        </w:tc>
        <w:tc>
          <w:tcPr>
            <w:tcW w:type="dxa" w:w="202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15,553–19,142</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0.12</w:t>
            </w:r>
          </w:p>
        </w:tc>
        <w:tc>
          <w:tcPr>
            <w:tcW w:type="dxa" w:w="121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w:t>
            </w:r>
          </w:p>
        </w:tc>
      </w:tr>
    </w:tbl>
    <w:p>
      <w:pPr>
        <w:spacing w:after="160" w:before="0" w:line="240" w:lineRule="auto"/>
      </w:pP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4953000" cy="4162425"/>
            <wp:effectExtent t="0" r="0" b="0" l="0"/>
            <wp:docPr id="1" name="fig09_country_boxplot.png" descr="Distribution of annual compensation (USD, log axis) by country, ordered by median. India is highlighted in orange." title="Distribution of annual compensation (USD, log axis) by country, ordered by median. India is highlight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1624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9</w:t>
      </w:r>
      <w:r>
        <w:fldChar w:fldCharType="end"/>
      </w:r>
      <w:r>
        <w:rPr>
          <w:rFonts w:ascii="Times New Roman" w:cs="Times New Roman" w:eastAsia="Times New Roman" w:hAnsi="Times New Roman"/>
          <w:sz w:val="22"/>
          <w:szCs w:val="22"/>
        </w:rPr>
        <w:t xml:space="preserve">: Distribution of annual compensation (USD, log axis) by country, ordered by median. India is highlighted in orange.</w:t>
      </w:r>
    </w:p>
    <w:p>
      <w:pPr>
        <w:keepNext/>
        <w:spacing w:after="0" w:before="120" w:line="240" w:lineRule="auto"/>
        <w:jc w:val="center"/>
      </w:pPr>
      <w:r>
        <w:drawing>
          <wp:inline distT="0" distB="0" distL="0" distR="0">
            <wp:extent cx="4953000" cy="4162425"/>
            <wp:effectExtent t="0" r="0" b="0" l="0"/>
            <wp:docPr id="1" name="fig10_country_median_ci.png" descr="Median annual compensation with 95 % bootstrap confidence intervals; labels give the ratio to the USA median." title="Median annual compensation with 95 % bootstrap confidence intervals; labels give the ratio to the USA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1624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10</w:t>
      </w:r>
      <w:r>
        <w:fldChar w:fldCharType="end"/>
      </w:r>
      <w:r>
        <w:rPr>
          <w:rFonts w:ascii="Times New Roman" w:cs="Times New Roman" w:eastAsia="Times New Roman" w:hAnsi="Times New Roman"/>
          <w:sz w:val="22"/>
          <w:szCs w:val="22"/>
        </w:rPr>
        <w:t xml:space="preserve">: Median annual compensation with 95 % bootstrap confidence intervals; labels give the ratio to the USA median.</w:t>
      </w:r>
    </w:p>
    <w:p>
      <w:pPr>
        <w:spacing w:after="120" w:before="0" w:line="360" w:lineRule="auto"/>
        <w:jc w:val="both"/>
      </w:pPr>
      <w:r>
        <w:rPr>
          <w:rFonts w:ascii="Times New Roman" w:cs="Times New Roman" w:eastAsia="Times New Roman" w:hAnsi="Times New Roman"/>
        </w:rPr>
        <w:t xml:space="preserve">Figure 9 shows that the </w:t>
      </w:r>
      <w:r>
        <w:rPr>
          <w:rFonts w:ascii="Times New Roman" w:cs="Times New Roman" w:eastAsia="Times New Roman" w:hAnsi="Times New Roman"/>
          <w:i/>
          <w:iCs/>
        </w:rPr>
        <w:t xml:space="preserve">whole distribution</w:t>
      </w:r>
      <w:r>
        <w:rPr>
          <w:rFonts w:ascii="Times New Roman" w:cs="Times New Roman" w:eastAsia="Times New Roman" w:hAnsi="Times New Roman"/>
        </w:rPr>
        <w:t xml:space="preserve"> of pay shifts with country, not just the median: the interquartile ranges of high-pay markets (USA, Israel, Switzerland) barely overlap with those of India or Brazil. Figure 10 confirms with confidence intervals that the ordering is statistically reliable. India’s gap to the USA is very large (Cliff’s δ close to −1: almost every Indian respondent earns less than almost every American respondent), whereas the gap to Ukraine, Russia, Turkey and Brazil is far smaller (|δ| ≈ 0.2). </w:t>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location of employment is the dominant structural factor in nominal developer pay. Because these are nominal dollars, the gap overstates differences in purchasing power; and because the sample is self-selected, it should not be read as the national average for any country.</w:t>
      </w:r>
    </w:p>
    <w:p>
      <w:pPr>
        <w:pStyle w:val="Heading2"/>
      </w:pPr>
      <w:r>
        <w:rPr>
          <w:rFonts w:ascii="Times New Roman" w:cs="Times New Roman" w:eastAsia="Times New Roman" w:hAnsi="Times New Roman"/>
        </w:rPr>
        <w:t xml:space="preserve">4.2 Objective O2 — The experience premium and diminishing returns</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Experience is the other classic driver of pay. O2 asks how strongly professional experience is associated with compensation, how many percent an additional year is worth at different career stages, where the returns flatten, and whether the pattern differs in India.</w:t>
      </w:r>
    </w:p>
    <w:p>
      <w:pPr>
        <w:pStyle w:val="Heading3"/>
      </w:pPr>
      <w:r>
        <w:rPr>
          <w:rFonts w:ascii="Times New Roman" w:cs="Times New Roman" w:eastAsia="Times New Roman" w:hAnsi="Times New Roman"/>
        </w:rPr>
        <w:t xml:space="preserve">(ii) General Description</w:t>
      </w:r>
    </w:p>
    <w:p>
      <w:pPr>
        <w:spacing w:after="120" w:before="0" w:line="360" w:lineRule="auto"/>
        <w:jc w:val="left"/>
      </w:pPr>
      <w:r>
        <w:rPr>
          <w:rFonts w:ascii="Times New Roman" w:cs="Times New Roman" w:eastAsia="Times New Roman" w:hAnsi="Times New Roman"/>
        </w:rPr>
        <w:t xml:space="preserve">The analysis uses the 20,571 cohort members with a valid </w:t>
      </w:r>
      <w:r>
        <w:rPr>
          <w:rFonts w:ascii="Courier New" w:cs="Courier New" w:eastAsia="Courier New" w:hAnsi="Courier New"/>
          <w:sz w:val="22"/>
          <w:szCs w:val="22"/>
        </w:rPr>
        <w:t xml:space="preserve">years_code_pro</w:t>
      </w:r>
      <w:r>
        <w:rPr>
          <w:rFonts w:ascii="Times New Roman" w:cs="Times New Roman" w:eastAsia="Times New Roman" w:hAnsi="Times New Roman"/>
        </w:rPr>
        <w:t xml:space="preserve">. Experience is modelled both non-parametrically (median pay by experience band and a LOWESS smoother) and parametrically (a quadratic log-linear regression with country fixed effects), because a straight line cannot represent diminishing returns.</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w:t>
      </w:r>
      <w:r>
        <w:rPr>
          <w:rFonts w:ascii="Courier New" w:cs="Courier New" w:eastAsia="Courier New" w:hAnsi="Courier New"/>
          <w:sz w:val="22"/>
          <w:szCs w:val="22"/>
        </w:rPr>
        <w:t xml:space="preserve">scipy.stats.spearmanr</w:t>
      </w:r>
      <w:r>
        <w:rPr>
          <w:rFonts w:ascii="Times New Roman" w:cs="Times New Roman" w:eastAsia="Times New Roman" w:hAnsi="Times New Roman"/>
        </w:rPr>
        <w:t xml:space="preserve"> (with a Bonett–Wright confidence interval for ρ), </w:t>
      </w:r>
      <w:r>
        <w:rPr>
          <w:rFonts w:ascii="Courier New" w:cs="Courier New" w:eastAsia="Courier New" w:hAnsi="Courier New"/>
          <w:sz w:val="22"/>
          <w:szCs w:val="22"/>
        </w:rPr>
        <w:t xml:space="preserve">statsmodels.formula.api.ols("log_comp ~ years_code_pro + years_pro_sq + C(country)").fit(cov_type="HC3")</w:t>
      </w:r>
      <w:r>
        <w:rPr>
          <w:rFonts w:ascii="Times New Roman" w:cs="Times New Roman" w:eastAsia="Times New Roman" w:hAnsi="Times New Roman"/>
        </w:rPr>
        <w:t xml:space="preserve">, </w:t>
      </w:r>
      <w:r>
        <w:rPr>
          <w:rFonts w:ascii="Courier New" w:cs="Courier New" w:eastAsia="Courier New" w:hAnsi="Courier New"/>
          <w:sz w:val="22"/>
          <w:szCs w:val="22"/>
        </w:rPr>
        <w:t xml:space="preserve">statsmodels…lowess</w:t>
      </w:r>
      <w:r>
        <w:rPr>
          <w:rFonts w:ascii="Times New Roman" w:cs="Times New Roman" w:eastAsia="Times New Roman" w:hAnsi="Times New Roman"/>
        </w:rPr>
        <w:t xml:space="preserve">, and a delta-method confidence interval for the marginal effect.</w:t>
      </w:r>
    </w:p>
    <w:p>
      <w:pPr>
        <w:spacing w:after="120" w:before="60" w:line="360" w:lineRule="auto"/>
        <w:jc w:val="center"/>
      </w:pPr>
      <w:r>
        <w:rPr>
          <w:rFonts w:ascii="Times New Roman" w:cs="Times New Roman" w:eastAsia="Times New Roman" w:hAnsi="Times New Roman"/>
          <w:sz w:val="22"/>
          <w:szCs w:val="22"/>
        </w:rPr>
        <w:t xml:space="preserve">ln(Pay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β</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β</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β</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γ</w:t>
      </w:r>
      <w:r>
        <w:rPr>
          <w:rFonts w:ascii="Times New Roman" w:cs="Times New Roman" w:eastAsia="Times New Roman" w:hAnsi="Times New Roman"/>
          <w:sz w:val="22"/>
          <w:szCs w:val="22"/>
          <w:vertAlign w:val="subscript"/>
        </w:rPr>
        <w:t xml:space="preserve">country(i)</w:t>
      </w:r>
      <w:r>
        <w:rPr>
          <w:rFonts w:ascii="Times New Roman" w:cs="Times New Roman" w:eastAsia="Times New Roman" w:hAnsi="Times New Roman"/>
          <w:sz w:val="22"/>
          <w:szCs w:val="22"/>
        </w:rPr>
        <w:t xml:space="preserve"> + ε</w:t>
      </w:r>
      <w:r>
        <w:rPr>
          <w:rFonts w:ascii="Times New Roman" w:cs="Times New Roman" w:eastAsia="Times New Roman" w:hAnsi="Times New Roman"/>
          <w:sz w:val="22"/>
          <w:szCs w:val="22"/>
          <w:vertAlign w:val="subscript"/>
        </w:rPr>
        <w:t xml:space="preserve">i</w:t>
      </w:r>
    </w:p>
    <w:p>
      <w:pPr>
        <w:spacing w:after="120" w:before="60" w:line="360" w:lineRule="auto"/>
        <w:jc w:val="center"/>
      </w:pPr>
      <w:r>
        <w:rPr>
          <w:rFonts w:ascii="Times New Roman" w:cs="Times New Roman" w:eastAsia="Times New Roman" w:hAnsi="Times New Roman"/>
          <w:sz w:val="22"/>
          <w:szCs w:val="22"/>
        </w:rPr>
        <w:t xml:space="preserve">Marginal return at x:  100 · (exp(β</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+ 2β</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x) − 1) % per extra year;     turning point x* = −β</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(2β</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20" w:before="60" w:line="360" w:lineRule="auto"/>
        <w:jc w:val="center"/>
      </w:pPr>
      <w:r>
        <w:rPr>
          <w:rFonts w:ascii="Times New Roman" w:cs="Times New Roman" w:eastAsia="Times New Roman" w:hAnsi="Times New Roman"/>
          <w:sz w:val="22"/>
          <w:szCs w:val="22"/>
        </w:rPr>
        <w:t xml:space="preserve">Var(β</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+ 2β</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x) = g′ V g,  g = (1, 2x)′,  V = HC3 covariance of (β</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β</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95 % CI = estimate ± 1.96·SE</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rPr>
        <w:t xml:space="preserve">Overall, pay and professional experience are moderately and positively rank-correlated (Spearman ρ = 0.48, 95 % CI 0.47–0.49, n = 20,571; bootstrap CI 0.47–0.49). Within individual countries the correlation ranges from 0.35 to 0.62 (Table 13).</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13</w:t>
      </w:r>
      <w:r>
        <w:fldChar w:fldCharType="end"/>
      </w:r>
      <w:r>
        <w:rPr>
          <w:rFonts w:ascii="Times New Roman" w:cs="Times New Roman" w:eastAsia="Times New Roman" w:hAnsi="Times New Roman"/>
          <w:sz w:val="22"/>
          <w:szCs w:val="22"/>
        </w:rPr>
        <w:t xml:space="preserve">: Spearman correlation between professional experience and log-pay, overall and by country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8"/>
        <w:gridCol w:w="1289"/>
        <w:gridCol w:w="1289"/>
        <w:gridCol w:w="2579"/>
        <w:gridCol w:w="1451"/>
      </w:tblGrid>
      <w:tr>
        <w:trPr>
          <w:cantSplit/>
          <w:tblHeader/>
        </w:trPr>
        <w:tc>
          <w:tcPr>
            <w:tcW w:type="dxa" w:w="241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Group</w:t>
            </w:r>
          </w:p>
        </w:tc>
        <w:tc>
          <w:tcPr>
            <w:tcW w:type="dxa" w:w="128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c>
          <w:tcPr>
            <w:tcW w:type="dxa" w:w="128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ρ</w:t>
            </w:r>
          </w:p>
        </w:tc>
        <w:tc>
          <w:tcPr>
            <w:tcW w:type="dxa" w:w="257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95 % CI</w:t>
            </w:r>
          </w:p>
        </w:tc>
        <w:tc>
          <w:tcPr>
            <w:tcW w:type="dxa" w:w="145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w:t>
            </w:r>
          </w:p>
        </w:tc>
      </w:tr>
      <w:tr>
        <w:trPr>
          <w:cantSplit/>
        </w:trPr>
        <w:tc>
          <w:tcPr>
            <w:tcW w:type="dxa" w:w="241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All</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20,571</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0.48</w:t>
            </w:r>
          </w:p>
        </w:tc>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0.47–0.49</w:t>
            </w:r>
          </w:p>
        </w:tc>
        <w:tc>
          <w:tcPr>
            <w:tcW w:type="dxa" w:w="145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USA</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4,181</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0.44</w:t>
            </w:r>
          </w:p>
        </w:tc>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0.41–0.47</w:t>
            </w:r>
          </w:p>
        </w:tc>
        <w:tc>
          <w:tcPr>
            <w:tcW w:type="dxa" w:w="145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India</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943</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0.62</w:t>
            </w:r>
          </w:p>
        </w:tc>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0.57–0.66</w:t>
            </w:r>
          </w:p>
        </w:tc>
        <w:tc>
          <w:tcPr>
            <w:tcW w:type="dxa" w:w="145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Germany</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1,737</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0.55</w:t>
            </w:r>
          </w:p>
        </w:tc>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0.51–0.58</w:t>
            </w:r>
          </w:p>
        </w:tc>
        <w:tc>
          <w:tcPr>
            <w:tcW w:type="dxa" w:w="145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UK</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1,252</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0.45</w:t>
            </w:r>
          </w:p>
        </w:tc>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0.40–0.49</w:t>
            </w:r>
          </w:p>
        </w:tc>
        <w:tc>
          <w:tcPr>
            <w:tcW w:type="dxa" w:w="145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Ukraine</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1,162</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0.35</w:t>
            </w:r>
          </w:p>
        </w:tc>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0.30–0.40</w:t>
            </w:r>
          </w:p>
        </w:tc>
        <w:tc>
          <w:tcPr>
            <w:tcW w:type="dxa" w:w="145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France</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830</w:t>
            </w:r>
          </w:p>
        </w:tc>
        <w:tc>
          <w:tcPr>
            <w:tcW w:type="dxa" w:w="12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0.57</w:t>
            </w:r>
          </w:p>
        </w:tc>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0.52–0.62</w:t>
            </w:r>
          </w:p>
        </w:tc>
        <w:tc>
          <w:tcPr>
            <w:tcW w:type="dxa" w:w="145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241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Canada</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796</w:t>
            </w:r>
          </w:p>
        </w:tc>
        <w:tc>
          <w:tcPr>
            <w:tcW w:type="dxa" w:w="12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0.48</w:t>
            </w:r>
          </w:p>
        </w:tc>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0.42–0.54</w:t>
            </w:r>
          </w:p>
        </w:tc>
        <w:tc>
          <w:tcPr>
            <w:tcW w:type="dxa" w:w="145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The quadratic model (R² = 0.588 including country effects) has β₁ = 0.088 and β₂ = -0.00186 (both p &lt; 0.001), implying a turning point at about </w:t>
      </w:r>
      <w:r>
        <w:rPr>
          <w:rFonts w:ascii="Times New Roman" w:cs="Times New Roman" w:eastAsia="Times New Roman" w:hAnsi="Times New Roman"/>
          <w:b/>
          <w:bCs/>
        </w:rPr>
        <w:t xml:space="preserve">23.8 years</w:t>
      </w:r>
      <w:r>
        <w:rPr>
          <w:rFonts w:ascii="Times New Roman" w:cs="Times New Roman" w:eastAsia="Times New Roman" w:hAnsi="Times New Roman"/>
        </w:rPr>
        <w:t xml:space="preserve">. Table 14 converts the coefficients into the estimated pay change per additional year: 9.2 % at entry level, 7.2 % at five years, 5.3 % at ten years and only 1.4 % at twenty years.</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14</w:t>
      </w:r>
      <w:r>
        <w:fldChar w:fldCharType="end"/>
      </w:r>
      <w:r>
        <w:rPr>
          <w:rFonts w:ascii="Times New Roman" w:cs="Times New Roman" w:eastAsia="Times New Roman" w:hAnsi="Times New Roman"/>
          <w:sz w:val="22"/>
          <w:szCs w:val="22"/>
        </w:rPr>
        <w:t xml:space="preserve">: Estimated % change in pay per additional year of professional experience (country fixed effects;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257"/>
        <w:gridCol w:w="2095"/>
        <w:gridCol w:w="2095"/>
      </w:tblGrid>
      <w:tr>
        <w:trPr>
          <w:cantSplit/>
          <w:tblHeader/>
        </w:trPr>
        <w:tc>
          <w:tcPr>
            <w:tcW w:type="dxa" w:w="257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Years of experience</w:t>
            </w:r>
          </w:p>
        </w:tc>
        <w:tc>
          <w:tcPr>
            <w:tcW w:type="dxa" w:w="225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 per extra year</w:t>
            </w:r>
          </w:p>
        </w:tc>
        <w:tc>
          <w:tcPr>
            <w:tcW w:type="dxa" w:w="209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95 % CI low</w:t>
            </w:r>
          </w:p>
        </w:tc>
        <w:tc>
          <w:tcPr>
            <w:tcW w:type="dxa" w:w="209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95 % CI high</w:t>
            </w:r>
          </w:p>
        </w:tc>
      </w:tr>
      <w:tr>
        <w:trPr>
          <w:cantSplit/>
        </w:trPr>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225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9.24</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8.85</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9.63</w:t>
            </w:r>
          </w:p>
        </w:tc>
      </w:tr>
      <w:tr>
        <w:trPr>
          <w:cantSplit/>
        </w:trPr>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2</w:t>
            </w:r>
          </w:p>
        </w:tc>
        <w:tc>
          <w:tcPr>
            <w:tcW w:type="dxa" w:w="225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8.43</w:t>
            </w:r>
          </w:p>
        </w:tc>
        <w:tc>
          <w:tcPr>
            <w:tcW w:type="dxa" w:w="20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8.09</w:t>
            </w:r>
          </w:p>
        </w:tc>
        <w:tc>
          <w:tcPr>
            <w:tcW w:type="dxa" w:w="20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8.77</w:t>
            </w:r>
          </w:p>
        </w:tc>
      </w:tr>
      <w:tr>
        <w:trPr>
          <w:cantSplit/>
        </w:trPr>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5</w:t>
            </w:r>
          </w:p>
        </w:tc>
        <w:tc>
          <w:tcPr>
            <w:tcW w:type="dxa" w:w="225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7.23</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6.96</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7.50</w:t>
            </w:r>
          </w:p>
        </w:tc>
      </w:tr>
      <w:tr>
        <w:trPr>
          <w:cantSplit/>
        </w:trPr>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10</w:t>
            </w:r>
          </w:p>
        </w:tc>
        <w:tc>
          <w:tcPr>
            <w:tcW w:type="dxa" w:w="225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5.26</w:t>
            </w:r>
          </w:p>
        </w:tc>
        <w:tc>
          <w:tcPr>
            <w:tcW w:type="dxa" w:w="20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5.09</w:t>
            </w:r>
          </w:p>
        </w:tc>
        <w:tc>
          <w:tcPr>
            <w:tcW w:type="dxa" w:w="20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5.43</w:t>
            </w:r>
          </w:p>
        </w:tc>
      </w:tr>
      <w:tr>
        <w:trPr>
          <w:cantSplit/>
        </w:trPr>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15</w:t>
            </w:r>
          </w:p>
        </w:tc>
        <w:tc>
          <w:tcPr>
            <w:tcW w:type="dxa" w:w="225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3.32</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3.21</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3.43</w:t>
            </w:r>
          </w:p>
        </w:tc>
      </w:tr>
      <w:tr>
        <w:trPr>
          <w:cantSplit/>
        </w:trPr>
        <w:tc>
          <w:tcPr>
            <w:tcW w:type="dxa" w:w="25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20</w:t>
            </w:r>
          </w:p>
        </w:tc>
        <w:tc>
          <w:tcPr>
            <w:tcW w:type="dxa" w:w="225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1.42</w:t>
            </w:r>
          </w:p>
        </w:tc>
        <w:tc>
          <w:tcPr>
            <w:tcW w:type="dxa" w:w="20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1.27</w:t>
            </w:r>
          </w:p>
        </w:tc>
        <w:tc>
          <w:tcPr>
            <w:tcW w:type="dxa" w:w="20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1.57</w:t>
            </w:r>
          </w:p>
        </w:tc>
      </w:tr>
      <w:tr>
        <w:trPr>
          <w:cantSplit/>
        </w:trPr>
        <w:tc>
          <w:tcPr>
            <w:tcW w:type="dxa" w:w="25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30</w:t>
            </w:r>
          </w:p>
        </w:tc>
        <w:tc>
          <w:tcPr>
            <w:tcW w:type="dxa" w:w="225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-2.28</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-2.61</w:t>
            </w:r>
          </w:p>
        </w:tc>
        <w:tc>
          <w:tcPr>
            <w:tcW w:type="dxa" w:w="20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-1.95</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Country-specific fits show that the </w:t>
      </w:r>
      <w:r>
        <w:rPr>
          <w:rFonts w:ascii="Times New Roman" w:cs="Times New Roman" w:eastAsia="Times New Roman" w:hAnsi="Times New Roman"/>
          <w:i/>
          <w:iCs/>
        </w:rPr>
        <w:t xml:space="preserve">early-career</w:t>
      </w:r>
      <w:r>
        <w:rPr>
          <w:rFonts w:ascii="Times New Roman" w:cs="Times New Roman" w:eastAsia="Times New Roman" w:hAnsi="Times New Roman"/>
        </w:rPr>
        <w:t xml:space="preserve"> return is far steeper in India: 23.9 % per year at entry level versus 6.0 % in the USA, 7.6 % in Germany and 7.1 % in the UK; at five years the figures are 17.0 %, 4.8 %, 6.1 % and 5.6 %. A formal India-versus-USA test of the experience-slope difference (interaction term, HC3) gives a coefficient of 0.156 (p &lt; 0.001) and for the curvature -0.005 (p = 0.002).</w:t>
      </w: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5715000" cy="2324100"/>
            <wp:effectExtent t="0" r="0" b="0" l="0"/>
            <wp:docPr id="1" name="fig11_experience_vs_pay.png" descr="Relationship between professional experience and pay: hexbin density with LOWESS trend (a) and median pay by experience band for selected countries with 95 % bootstrap CIs (b)." title="Relationship between professional experience and pay: hexbin density with LOWESS trend (a) and median pay by experience band for selected countries with 95 % bootstrap CI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241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11</w:t>
      </w:r>
      <w:r>
        <w:fldChar w:fldCharType="end"/>
      </w:r>
      <w:r>
        <w:rPr>
          <w:rFonts w:ascii="Times New Roman" w:cs="Times New Roman" w:eastAsia="Times New Roman" w:hAnsi="Times New Roman"/>
          <w:sz w:val="22"/>
          <w:szCs w:val="22"/>
        </w:rPr>
        <w:t xml:space="preserve">: Relationship between professional experience and pay: hexbin density with LOWESS trend (a) and median pay by experience band for selected countries with 95 % bootstrap CIs (b).</w:t>
      </w:r>
    </w:p>
    <w:p>
      <w:pPr>
        <w:keepNext/>
        <w:spacing w:after="0" w:before="120" w:line="240" w:lineRule="auto"/>
        <w:jc w:val="center"/>
      </w:pPr>
      <w:r>
        <w:drawing>
          <wp:inline distT="0" distB="0" distL="0" distR="0">
            <wp:extent cx="5715000" cy="2219325"/>
            <wp:effectExtent t="0" r="0" b="0" l="0"/>
            <wp:docPr id="1" name="fig12_experience_marginal.png" descr="Quadratic log-linear model: cumulative premium with 95 % CI (a) and marginal percentage return per additional year, pooled and by country (b)." title="Quadratic log-linear model: cumulative premium with 95 % CI (a) and marginal percentage return per additional year, pooled and by countr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193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12</w:t>
      </w:r>
      <w:r>
        <w:fldChar w:fldCharType="end"/>
      </w:r>
      <w:r>
        <w:rPr>
          <w:rFonts w:ascii="Times New Roman" w:cs="Times New Roman" w:eastAsia="Times New Roman" w:hAnsi="Times New Roman"/>
          <w:sz w:val="22"/>
          <w:szCs w:val="22"/>
        </w:rPr>
        <w:t xml:space="preserve">: Quadratic log-linear model: cumulative premium with 95 % CI (a) and marginal percentage return per additional year, pooled and by country (b).</w:t>
      </w:r>
    </w:p>
    <w:p>
      <w:pPr>
        <w:spacing w:after="120" w:before="0" w:line="360" w:lineRule="auto"/>
        <w:jc w:val="both"/>
      </w:pPr>
      <w:r>
        <w:rPr>
          <w:rFonts w:ascii="Times New Roman" w:cs="Times New Roman" w:eastAsia="Times New Roman" w:hAnsi="Times New Roman"/>
        </w:rPr>
        <w:t xml:space="preserve">Figure 11 (a) shows a wide scatter — experience explains only part of pay — but the LOWESS curve rises steeply in the first ten years and then flattens. Panel (b) shows the same pattern by experience band: the USA curve lies far above the others and flattens after about 11 years, while India’s curve starts much lower but climbs more steeply in relative terms. Figure 12 (a) gives the cumulative country-adjusted premium; (b) shows that the marginal return declines roughly linearly and crosses zero near 20–25 years. </w:t>
      </w:r>
      <w:r>
        <w:rPr>
          <w:rFonts w:ascii="Times New Roman" w:cs="Times New Roman" w:eastAsia="Times New Roman" w:hAnsi="Times New Roman"/>
          <w:b/>
          <w:bCs/>
        </w:rPr>
        <w:t xml:space="preserve">Caution:</w:t>
      </w:r>
      <w:r>
        <w:rPr>
          <w:rFonts w:ascii="Times New Roman" w:cs="Times New Roman" w:eastAsia="Times New Roman" w:hAnsi="Times New Roman"/>
        </w:rPr>
        <w:t xml:space="preserve"> the quadratic form forces the curve to bend downwards after its turning point; the non-parametric LOWESS curve and the band medians show a </w:t>
      </w:r>
      <w:r>
        <w:rPr>
          <w:rFonts w:ascii="Times New Roman" w:cs="Times New Roman" w:eastAsia="Times New Roman" w:hAnsi="Times New Roman"/>
          <w:i/>
          <w:iCs/>
        </w:rPr>
        <w:t xml:space="preserve">plateau</w:t>
      </w:r>
      <w:r>
        <w:rPr>
          <w:rFonts w:ascii="Times New Roman" w:cs="Times New Roman" w:eastAsia="Times New Roman" w:hAnsi="Times New Roman"/>
        </w:rPr>
        <w:t xml:space="preserve">, not a decline. The correct reading is therefore “returns flatten after roughly two decades”, not “pay falls”. India’s steeper early slope is partly arithmetic — a low starting salary grows faster in percentage terms — and does not mean Indian developers ever catch up in absolute dollars.</w:t>
      </w:r>
    </w:p>
    <w:p>
      <w:pPr>
        <w:pStyle w:val="Heading2"/>
      </w:pPr>
      <w:r>
        <w:rPr>
          <w:rFonts w:ascii="Times New Roman" w:cs="Times New Roman" w:eastAsia="Times New Roman" w:hAnsi="Times New Roman"/>
        </w:rPr>
        <w:t xml:space="preserve">4.3 Objective O3 — Net effects of role, work arrangement, organisation size and education</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Raw group differences (Section 3.5) mix genuine effects with country and experience mix. O3 estimates the </w:t>
      </w:r>
      <w:r>
        <w:rPr>
          <w:rFonts w:ascii="Times New Roman" w:cs="Times New Roman" w:eastAsia="Times New Roman" w:hAnsi="Times New Roman"/>
          <w:i/>
          <w:iCs/>
        </w:rPr>
        <w:t xml:space="preserve">adjusted</w:t>
      </w:r>
      <w:r>
        <w:rPr>
          <w:rFonts w:ascii="Times New Roman" w:cs="Times New Roman" w:eastAsia="Times New Roman" w:hAnsi="Times New Roman"/>
        </w:rPr>
        <w:t xml:space="preserve"> differences — comparing developers from the same country and with the same experience — and asks which blocks of characteristics add explanatory power beyond country and experience.</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A multiple linear regression on log-pay is estimated on 20,084 respondents with complete information (the model includes 19 role groups, country groups with at least 100 respondents plus an “other countries” group, experience and its square, organisation size, work arrangement and education). Roles and countries with fewer than 100 respondents are pooled. Reference categories are Full-stack dev, In-person, 100 to 499 employees and Bachelor’s degree. Coefficients are converted into percentage differences, 100·(e^β − 1) %.</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w:t>
      </w:r>
      <w:r>
        <w:rPr>
          <w:rFonts w:ascii="Courier New" w:cs="Courier New" w:eastAsia="Courier New" w:hAnsi="Courier New"/>
          <w:sz w:val="22"/>
          <w:szCs w:val="22"/>
        </w:rPr>
        <w:t xml:space="preserve">statsmodels.formula.api.ols</w:t>
      </w:r>
      <w:r>
        <w:rPr>
          <w:rFonts w:ascii="Times New Roman" w:cs="Times New Roman" w:eastAsia="Times New Roman" w:hAnsi="Times New Roman"/>
        </w:rPr>
        <w:t xml:space="preserve"> with </w:t>
      </w:r>
      <w:r>
        <w:rPr>
          <w:rFonts w:ascii="Courier New" w:cs="Courier New" w:eastAsia="Courier New" w:hAnsi="Courier New"/>
          <w:sz w:val="22"/>
          <w:szCs w:val="22"/>
        </w:rPr>
        <w:t xml:space="preserve">cov_type="HC3"</w:t>
      </w:r>
      <w:r>
        <w:rPr>
          <w:rFonts w:ascii="Times New Roman" w:cs="Times New Roman" w:eastAsia="Times New Roman" w:hAnsi="Times New Roman"/>
        </w:rPr>
        <w:t xml:space="preserve">; </w:t>
      </w:r>
      <w:r>
        <w:rPr>
          <w:rFonts w:ascii="Courier New" w:cs="Courier New" w:eastAsia="Courier New" w:hAnsi="Courier New"/>
          <w:sz w:val="22"/>
          <w:szCs w:val="22"/>
        </w:rPr>
        <w:t xml:space="preserve">anova_lm(typ=2)</w:t>
      </w:r>
      <w:r>
        <w:rPr>
          <w:rFonts w:ascii="Times New Roman" w:cs="Times New Roman" w:eastAsia="Times New Roman" w:hAnsi="Times New Roman"/>
        </w:rPr>
        <w:t xml:space="preserve"> for partial η²; </w:t>
      </w:r>
      <w:r>
        <w:rPr>
          <w:rFonts w:ascii="Courier New" w:cs="Courier New" w:eastAsia="Courier New" w:hAnsi="Courier New"/>
          <w:sz w:val="22"/>
          <w:szCs w:val="22"/>
        </w:rPr>
        <w:t xml:space="preserve">compare_f_test</w:t>
      </w:r>
      <w:r>
        <w:rPr>
          <w:rFonts w:ascii="Times New Roman" w:cs="Times New Roman" w:eastAsia="Times New Roman" w:hAnsi="Times New Roman"/>
        </w:rPr>
        <w:t xml:space="preserve"> for the incremental F-test of each nested block.</w:t>
      </w:r>
    </w:p>
    <w:p>
      <w:pPr>
        <w:spacing w:after="120" w:before="60" w:line="360" w:lineRule="auto"/>
        <w:jc w:val="center"/>
      </w:pPr>
      <w:r>
        <w:rPr>
          <w:rFonts w:ascii="Times New Roman" w:cs="Times New Roman" w:eastAsia="Times New Roman" w:hAnsi="Times New Roman"/>
          <w:sz w:val="22"/>
          <w:szCs w:val="22"/>
        </w:rPr>
        <w:t xml:space="preserve">ln(Pay) = β</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country + β</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x + β</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role + org. size + work mode + education + ε</w:t>
      </w:r>
    </w:p>
    <w:p>
      <w:pPr>
        <w:spacing w:after="120" w:before="60" w:line="360" w:lineRule="auto"/>
        <w:jc w:val="center"/>
      </w:pPr>
      <w:r>
        <w:rPr>
          <w:rFonts w:ascii="Times New Roman" w:cs="Times New Roman" w:eastAsia="Times New Roman" w:hAnsi="Times New Roman"/>
          <w:sz w:val="22"/>
          <w:szCs w:val="22"/>
        </w:rPr>
        <w:t xml:space="preserve">Adjusted difference = 100·(e</w:t>
      </w:r>
      <w:r>
        <w:rPr>
          <w:rFonts w:ascii="Times New Roman" w:cs="Times New Roman" w:eastAsia="Times New Roman" w:hAnsi="Times New Roman"/>
          <w:sz w:val="22"/>
          <w:szCs w:val="22"/>
          <w:vertAlign w:val="superscript"/>
        </w:rPr>
        <w:t xml:space="preserve">β</w:t>
      </w:r>
      <w:r>
        <w:rPr>
          <w:rFonts w:ascii="Times New Roman" w:cs="Times New Roman" w:eastAsia="Times New Roman" w:hAnsi="Times New Roman"/>
          <w:sz w:val="22"/>
          <w:szCs w:val="22"/>
        </w:rPr>
        <w:t xml:space="preserve"> − 1) %;     ΔR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(M</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(M</w:t>
      </w:r>
      <w:r>
        <w:rPr>
          <w:rFonts w:ascii="Times New Roman" w:cs="Times New Roman" w:eastAsia="Times New Roman" w:hAnsi="Times New Roman"/>
          <w:sz w:val="22"/>
          <w:szCs w:val="22"/>
          <w:vertAlign w:val="subscript"/>
        </w:rPr>
        <w:t xml:space="preserve">k−1</w:t>
      </w:r>
      <w:r>
        <w:rPr>
          <w:rFonts w:ascii="Times New Roman" w:cs="Times New Roman" w:eastAsia="Times New Roman" w:hAnsi="Times New Roman"/>
          <w:sz w:val="22"/>
          <w:szCs w:val="22"/>
        </w:rPr>
        <w:t xml:space="preserve">);     η</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SS</w:t>
      </w:r>
      <w:r>
        <w:rPr>
          <w:rFonts w:ascii="Times New Roman" w:cs="Times New Roman" w:eastAsia="Times New Roman" w:hAnsi="Times New Roman"/>
          <w:sz w:val="22"/>
          <w:szCs w:val="22"/>
          <w:vertAlign w:val="subscript"/>
        </w:rPr>
        <w:t xml:space="preserve">effect</w:t>
      </w:r>
      <w:r>
        <w:rPr>
          <w:rFonts w:ascii="Times New Roman" w:cs="Times New Roman" w:eastAsia="Times New Roman" w:hAnsi="Times New Roman"/>
          <w:sz w:val="22"/>
          <w:szCs w:val="22"/>
        </w:rPr>
        <w:t xml:space="preserve"> / (SS</w:t>
      </w:r>
      <w:r>
        <w:rPr>
          <w:rFonts w:ascii="Times New Roman" w:cs="Times New Roman" w:eastAsia="Times New Roman" w:hAnsi="Times New Roman"/>
          <w:sz w:val="22"/>
          <w:szCs w:val="22"/>
          <w:vertAlign w:val="subscript"/>
        </w:rPr>
        <w:t xml:space="preserve">effect</w:t>
      </w:r>
      <w:r>
        <w:rPr>
          <w:rFonts w:ascii="Times New Roman" w:cs="Times New Roman" w:eastAsia="Times New Roman" w:hAnsi="Times New Roman"/>
          <w:sz w:val="22"/>
          <w:szCs w:val="22"/>
        </w:rPr>
        <w:t xml:space="preserve"> + SS</w:t>
      </w:r>
      <w:r>
        <w:rPr>
          <w:rFonts w:ascii="Times New Roman" w:cs="Times New Roman" w:eastAsia="Times New Roman" w:hAnsi="Times New Roman"/>
          <w:sz w:val="22"/>
          <w:szCs w:val="22"/>
          <w:vertAlign w:val="subscript"/>
        </w:rPr>
        <w:t xml:space="preserve">residual</w:t>
      </w:r>
      <w:r>
        <w:rPr>
          <w:rFonts w:ascii="Times New Roman" w:cs="Times New Roman" w:eastAsia="Times New Roman" w:hAnsi="Times New Roman"/>
          <w:sz w:val="22"/>
          <w:szCs w:val="22"/>
        </w:rPr>
        <w:t xml:space="preserve">)</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rPr>
        <w:t xml:space="preserve">Table 15 shows the nested models. Country alone gives R² = 0.449; adding experience raises it by 0.092; job role adds 0.012, organisation size 0.010, work arrangement 0.006 and education 0.005. Every block is statistically significant (incremental F-tests p &lt; 0.001), but their </w:t>
      </w:r>
      <w:r>
        <w:rPr>
          <w:rFonts w:ascii="Times New Roman" w:cs="Times New Roman" w:eastAsia="Times New Roman" w:hAnsi="Times New Roman"/>
          <w:i/>
          <w:iCs/>
        </w:rPr>
        <w:t xml:space="preserve">practical</w:t>
      </w:r>
      <w:r>
        <w:rPr>
          <w:rFonts w:ascii="Times New Roman" w:cs="Times New Roman" w:eastAsia="Times New Roman" w:hAnsi="Times New Roman"/>
        </w:rPr>
        <w:t xml:space="preserve"> contribution is small: the full model reaches R² = 0.574. Partial η² values are 0.435 for country, 0.102 for experience (linear term), and only 0.022, 0.019, 0.015 and 0.011 for organisation size, role, work arrangement and education.</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15</w:t>
      </w:r>
      <w:r>
        <w:fldChar w:fldCharType="end"/>
      </w:r>
      <w:r>
        <w:rPr>
          <w:rFonts w:ascii="Times New Roman" w:cs="Times New Roman" w:eastAsia="Times New Roman" w:hAnsi="Times New Roman"/>
          <w:sz w:val="22"/>
          <w:szCs w:val="22"/>
        </w:rPr>
        <w:t xml:space="preserve">: Nested OLS models for log-compensation: cumulative R² and incremental ΔR²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59"/>
        <w:gridCol w:w="1003"/>
        <w:gridCol w:w="1128"/>
        <w:gridCol w:w="1003"/>
        <w:gridCol w:w="1630"/>
        <w:gridCol w:w="1003"/>
      </w:tblGrid>
      <w:tr>
        <w:trPr>
          <w:cantSplit/>
          <w:tblHeader/>
        </w:trPr>
        <w:tc>
          <w:tcPr>
            <w:tcW w:type="dxa" w:w="325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Model</w:t>
            </w:r>
          </w:p>
        </w:tc>
        <w:tc>
          <w:tcPr>
            <w:tcW w:type="dxa" w:w="100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R²</w:t>
            </w:r>
          </w:p>
        </w:tc>
        <w:tc>
          <w:tcPr>
            <w:tcW w:type="dxa" w:w="112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Adj. R²</w:t>
            </w:r>
          </w:p>
        </w:tc>
        <w:tc>
          <w:tcPr>
            <w:tcW w:type="dxa" w:w="100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ΔR²</w:t>
            </w:r>
          </w:p>
        </w:tc>
        <w:tc>
          <w:tcPr>
            <w:tcW w:type="dxa" w:w="163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 (F-test of block)</w:t>
            </w:r>
          </w:p>
        </w:tc>
        <w:tc>
          <w:tcPr>
            <w:tcW w:type="dxa" w:w="100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r>
      <w:tr>
        <w:trPr>
          <w:cantSplit/>
        </w:trPr>
        <w:tc>
          <w:tcPr>
            <w:tcW w:type="dxa" w:w="325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M0: country only</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0.449</w:t>
            </w:r>
          </w:p>
        </w:tc>
        <w:tc>
          <w:tcPr>
            <w:tcW w:type="dxa" w:w="11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0.448</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0.449</w:t>
            </w:r>
          </w:p>
        </w:tc>
        <w:tc>
          <w:tcPr>
            <w:tcW w:type="dxa" w:w="163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20,084</w:t>
            </w:r>
          </w:p>
        </w:tc>
      </w:tr>
      <w:tr>
        <w:trPr>
          <w:cantSplit/>
        </w:trPr>
        <w:tc>
          <w:tcPr>
            <w:tcW w:type="dxa" w:w="325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M1: + experience</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0.540</w:t>
            </w:r>
          </w:p>
        </w:tc>
        <w:tc>
          <w:tcPr>
            <w:tcW w:type="dxa" w:w="11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0.539</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0.092</w:t>
            </w:r>
          </w:p>
        </w:tc>
        <w:tc>
          <w:tcPr>
            <w:tcW w:type="dxa" w:w="163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20,084</w:t>
            </w:r>
          </w:p>
        </w:tc>
      </w:tr>
      <w:tr>
        <w:trPr>
          <w:cantSplit/>
        </w:trPr>
        <w:tc>
          <w:tcPr>
            <w:tcW w:type="dxa" w:w="325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M2: + job role</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0.552</w:t>
            </w:r>
          </w:p>
        </w:tc>
        <w:tc>
          <w:tcPr>
            <w:tcW w:type="dxa" w:w="11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0.551</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0.012</w:t>
            </w:r>
          </w:p>
        </w:tc>
        <w:tc>
          <w:tcPr>
            <w:tcW w:type="dxa" w:w="163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20,084</w:t>
            </w:r>
          </w:p>
        </w:tc>
      </w:tr>
      <w:tr>
        <w:trPr>
          <w:cantSplit/>
        </w:trPr>
        <w:tc>
          <w:tcPr>
            <w:tcW w:type="dxa" w:w="325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M3: + organisation size</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0.563</w:t>
            </w:r>
          </w:p>
        </w:tc>
        <w:tc>
          <w:tcPr>
            <w:tcW w:type="dxa" w:w="11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0.561</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0.010</w:t>
            </w:r>
          </w:p>
        </w:tc>
        <w:tc>
          <w:tcPr>
            <w:tcW w:type="dxa" w:w="163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20,084</w:t>
            </w:r>
          </w:p>
        </w:tc>
      </w:tr>
      <w:tr>
        <w:trPr>
          <w:cantSplit/>
        </w:trPr>
        <w:tc>
          <w:tcPr>
            <w:tcW w:type="dxa" w:w="325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M4: + work arrangement</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0.569</w:t>
            </w:r>
          </w:p>
        </w:tc>
        <w:tc>
          <w:tcPr>
            <w:tcW w:type="dxa" w:w="11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0.568</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0.006</w:t>
            </w:r>
          </w:p>
        </w:tc>
        <w:tc>
          <w:tcPr>
            <w:tcW w:type="dxa" w:w="163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20,084</w:t>
            </w:r>
          </w:p>
        </w:tc>
      </w:tr>
      <w:tr>
        <w:trPr>
          <w:cantSplit/>
        </w:trPr>
        <w:tc>
          <w:tcPr>
            <w:tcW w:type="dxa" w:w="325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M5: + education</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0.574</w:t>
            </w:r>
          </w:p>
        </w:tc>
        <w:tc>
          <w:tcPr>
            <w:tcW w:type="dxa" w:w="11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0.572</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0.005</w:t>
            </w:r>
          </w:p>
        </w:tc>
        <w:tc>
          <w:tcPr>
            <w:tcW w:type="dxa" w:w="163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20,084</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Table 16 gives the adjusted effects. Compared with in-person work, </w:t>
      </w:r>
      <w:r>
        <w:rPr>
          <w:rFonts w:ascii="Times New Roman" w:cs="Times New Roman" w:eastAsia="Times New Roman" w:hAnsi="Times New Roman"/>
          <w:b/>
          <w:bCs/>
        </w:rPr>
        <w:t xml:space="preserve">remote workers earn 29.1 % more</w:t>
      </w:r>
      <w:r>
        <w:rPr>
          <w:rFonts w:ascii="Times New Roman" w:cs="Times New Roman" w:eastAsia="Times New Roman" w:hAnsi="Times New Roman"/>
        </w:rPr>
        <w:t xml:space="preserve"> (95 % CI 25.2–33.2) and hybrid workers 14.3 % more, holding country, role, experience, company size and education constant. Pay rises broadly with organisation size: relative to 100–499 employees, organisations with 10,000 or more employees pay 18.6 % more, whereas tiny organisations (2–9 employees) pay 19.3 % less. A Master’s degree is associated with 12.0 % higher pay than a Bachelor’s degree, whereas secondary education only is associated with 14.1 % lower pay.</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16</w:t>
      </w:r>
      <w:r>
        <w:fldChar w:fldCharType="end"/>
      </w:r>
      <w:r>
        <w:rPr>
          <w:rFonts w:ascii="Times New Roman" w:cs="Times New Roman" w:eastAsia="Times New Roman" w:hAnsi="Times New Roman"/>
          <w:sz w:val="22"/>
          <w:szCs w:val="22"/>
        </w:rPr>
        <w:t xml:space="preserve">: Adjusted percentage differences in pay (HC3 robust 95 % CI) for work arrangement, organisation size and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1"/>
        <w:gridCol w:w="2124"/>
        <w:gridCol w:w="1460"/>
        <w:gridCol w:w="2389"/>
        <w:gridCol w:w="1062"/>
      </w:tblGrid>
      <w:tr>
        <w:trPr>
          <w:cantSplit/>
          <w:tblHeader/>
        </w:trPr>
        <w:tc>
          <w:tcPr>
            <w:tcW w:type="dxa" w:w="199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Factor</w:t>
            </w:r>
          </w:p>
        </w:tc>
        <w:tc>
          <w:tcPr>
            <w:tcW w:type="dxa" w:w="212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Category</w:t>
            </w:r>
          </w:p>
        </w:tc>
        <w:tc>
          <w:tcPr>
            <w:tcW w:type="dxa" w:w="146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Difference (%)</w:t>
            </w:r>
          </w:p>
        </w:tc>
        <w:tc>
          <w:tcPr>
            <w:tcW w:type="dxa" w:w="238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95 % CI (%)</w:t>
            </w:r>
          </w:p>
        </w:tc>
        <w:tc>
          <w:tcPr>
            <w:tcW w:type="dxa" w:w="106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Work arrangement</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Remote</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+29.1</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+25.2 to +33.2</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Work arrangement</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Hybrid</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+14.3</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+11.1 to +17.6</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10,000 or more</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+18.6</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+14.7 to +22.5</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5,000 to 9,999</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+13.9</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+8.8 to +19.1</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1,000 to 4,999</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+8.1</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+4.5 to +11.8</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500 to 999</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+6.2</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 to +10.5</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 0.003</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20 to 99</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-2.4</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-5.1 to +0.4</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 0.098</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10 to 19</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-11.9</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-15.4 to -8.3</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Just me</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-13.4</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-18.6 to -7.7</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2 to 9</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-19.3</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-22.5 to -16.0</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Master's</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+12.0</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+9.3 to +14.7</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Doctorate/Prof.</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+10.8</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+5.7 to +16.2</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Some college</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-7.2</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-10.0 to -4.3</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Primary</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-8.9</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-22.7 to +7.3</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 0.263</w:t>
            </w:r>
          </w:p>
        </w:tc>
      </w:tr>
      <w:tr>
        <w:trPr>
          <w:cantSplit/>
        </w:trPr>
        <w:tc>
          <w:tcPr>
            <w:tcW w:type="dxa" w:w="199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21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Associate</w:t>
            </w:r>
          </w:p>
        </w:tc>
        <w:tc>
          <w:tcPr>
            <w:tcW w:type="dxa" w:w="14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-10.3</w:t>
            </w:r>
          </w:p>
        </w:tc>
        <w:tc>
          <w:tcPr>
            <w:tcW w:type="dxa" w:w="238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-14.6 to -5.7</w:t>
            </w:r>
          </w:p>
        </w:tc>
        <w:tc>
          <w:tcPr>
            <w:tcW w:type="dxa" w:w="106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r>
        <w:trPr>
          <w:cantSplit/>
        </w:trPr>
        <w:tc>
          <w:tcPr>
            <w:tcW w:type="dxa" w:w="199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21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Secondary</w:t>
            </w:r>
          </w:p>
        </w:tc>
        <w:tc>
          <w:tcPr>
            <w:tcW w:type="dxa" w:w="14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-14.1</w:t>
            </w:r>
          </w:p>
        </w:tc>
        <w:tc>
          <w:tcPr>
            <w:tcW w:type="dxa" w:w="238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-17.8 to -10.1</w:t>
            </w:r>
          </w:p>
        </w:tc>
        <w:tc>
          <w:tcPr>
            <w:tcW w:type="dxa" w:w="106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r>
    </w:tbl>
    <w:p>
      <w:pPr>
        <w:spacing w:after="160" w:before="60" w:line="240" w:lineRule="auto"/>
      </w:pPr>
      <w:r>
        <w:rPr>
          <w:rFonts w:ascii="Times New Roman" w:cs="Times New Roman" w:eastAsia="Times New Roman" w:hAnsi="Times New Roman"/>
          <w:i/>
          <w:iCs/>
          <w:sz w:val="20"/>
          <w:szCs w:val="20"/>
        </w:rPr>
        <w:t xml:space="preserve">References: In-person; 100 to 499 employees; Bachelor’s degree. Country, experience and role are controlled.</w:t>
      </w:r>
    </w:p>
    <w:p>
      <w:pPr>
        <w:spacing w:after="120" w:before="0" w:line="360" w:lineRule="auto"/>
        <w:jc w:val="both"/>
      </w:pPr>
      <w:r>
        <w:rPr>
          <w:rFonts w:ascii="Times New Roman" w:cs="Times New Roman" w:eastAsia="Times New Roman" w:hAnsi="Times New Roman"/>
        </w:rPr>
        <w:t xml:space="preserve">Among roles (reference: full-stack developer), the largest adjusted premiums are for senior executives (56.8 %), engineering managers (41.2 %), cloud-infrastructure engineers (29.2 %) and data scientists / ML specialists (21.5 %); academic researchers earn 28.5 % less. Front-end, desktop/enterprise, mobile and game developers do not differ significantly from full-stack developers.</w:t>
      </w: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4572000" cy="3724275"/>
            <wp:effectExtent t="0" r="0" b="0" l="0"/>
            <wp:docPr id="1" name="fig13_role_effects.png" descr="Adjusted pay difference by job role relative to full-stack developers (country and experience held constant; 95 % HC3 CIs; grey = not significant at 5 %)." title="Adjusted pay difference by job role relative to full-stack developers (country and experience held constant; 95 % HC3 CIs; grey = not significant at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7242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13</w:t>
      </w:r>
      <w:r>
        <w:fldChar w:fldCharType="end"/>
      </w:r>
      <w:r>
        <w:rPr>
          <w:rFonts w:ascii="Times New Roman" w:cs="Times New Roman" w:eastAsia="Times New Roman" w:hAnsi="Times New Roman"/>
          <w:sz w:val="22"/>
          <w:szCs w:val="22"/>
        </w:rPr>
        <w:t xml:space="preserve">: Adjusted pay difference by job role relative to full-stack developers (country and experience held constant; 95 % HC3 CIs; grey = not significant at 5 %).</w:t>
      </w:r>
    </w:p>
    <w:p>
      <w:pPr>
        <w:keepNext/>
        <w:spacing w:after="0" w:before="120" w:line="240" w:lineRule="auto"/>
        <w:jc w:val="center"/>
      </w:pPr>
      <w:r>
        <w:drawing>
          <wp:inline distT="0" distB="0" distL="0" distR="0">
            <wp:extent cx="5715000" cy="2009775"/>
            <wp:effectExtent t="0" r="0" b="0" l="0"/>
            <wp:docPr id="1" name="fig14_workmode_org_edu_effects.png" descr="Adjusted pay differences by work arrangement (a), organisation size (b) and education (c)." title="Adjusted pay differences by work arrangement (a), organisation size (b) and educatio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0097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14</w:t>
      </w:r>
      <w:r>
        <w:fldChar w:fldCharType="end"/>
      </w:r>
      <w:r>
        <w:rPr>
          <w:rFonts w:ascii="Times New Roman" w:cs="Times New Roman" w:eastAsia="Times New Roman" w:hAnsi="Times New Roman"/>
          <w:sz w:val="22"/>
          <w:szCs w:val="22"/>
        </w:rPr>
        <w:t xml:space="preserve">: Adjusted pay differences by work arrangement (a), organisation size (b) and education (c).</w:t>
      </w:r>
    </w:p>
    <w:p>
      <w:pPr>
        <w:keepNext/>
        <w:spacing w:after="0" w:before="120" w:line="240" w:lineRule="auto"/>
        <w:jc w:val="center"/>
      </w:pPr>
      <w:r>
        <w:drawing>
          <wp:inline distT="0" distB="0" distL="0" distR="0">
            <wp:extent cx="4381500" cy="2343150"/>
            <wp:effectExtent t="0" r="0" b="0" l="0"/>
            <wp:docPr id="1" name="fig15_variance_decomposition.png" descr="Cumulative R² and incremental ΔR² as predictor blocks are added to the OLS model for log-compensation." title="Cumulative R² and incremental ΔR² as predictor blocks are added to the OLS model for log-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34315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15</w:t>
      </w:r>
      <w:r>
        <w:fldChar w:fldCharType="end"/>
      </w:r>
      <w:r>
        <w:rPr>
          <w:rFonts w:ascii="Times New Roman" w:cs="Times New Roman" w:eastAsia="Times New Roman" w:hAnsi="Times New Roman"/>
          <w:sz w:val="22"/>
          <w:szCs w:val="22"/>
        </w:rPr>
        <w:t xml:space="preserve">: Cumulative R² and incremental ΔR² as predictor blocks are added to the OLS model for log-compensation.</w:t>
      </w:r>
    </w:p>
    <w:p>
      <w:pPr>
        <w:spacing w:after="120" w:before="0" w:line="360" w:lineRule="auto"/>
        <w:jc w:val="both"/>
      </w:pPr>
      <w:r>
        <w:rPr>
          <w:rFonts w:ascii="Times New Roman" w:cs="Times New Roman" w:eastAsia="Times New Roman" w:hAnsi="Times New Roman"/>
        </w:rPr>
        <w:t xml:space="preserve">Figure 13 and Figure 14 show that most differences are modest compared with the country gap of O1, and that the management track and cloud/data specialisations command the clearest premiums. Figure 15 makes the relative importance visible: </w:t>
      </w:r>
      <w:r>
        <w:rPr>
          <w:rFonts w:ascii="Times New Roman" w:cs="Times New Roman" w:eastAsia="Times New Roman" w:hAnsi="Times New Roman"/>
          <w:b/>
          <w:bCs/>
        </w:rPr>
        <w:t xml:space="preserve">where you work and how long you have worked explain most of what can be explained; role, company size, work mode and education add only a few percentage points of R² each.</w:t>
      </w:r>
      <w:r>
        <w:rPr>
          <w:rFonts w:ascii="Times New Roman" w:cs="Times New Roman" w:eastAsia="Times New Roman" w:hAnsi="Times New Roman"/>
        </w:rPr>
        <w:t xml:space="preserve"> </w:t>
      </w:r>
      <w:r>
        <w:rPr>
          <w:rFonts w:ascii="Times New Roman" w:cs="Times New Roman" w:eastAsia="Times New Roman" w:hAnsi="Times New Roman"/>
          <w:b/>
          <w:bCs/>
        </w:rPr>
        <w:t xml:space="preserve">Interpretation caution:</w:t>
      </w:r>
      <w:r>
        <w:rPr>
          <w:rFonts w:ascii="Times New Roman" w:cs="Times New Roman" w:eastAsia="Times New Roman" w:hAnsi="Times New Roman"/>
        </w:rPr>
        <w:t xml:space="preserve"> the remote-work premium is an association. Developers in lower-wage countries who work remotely for employers abroad, differences in seniority not captured by years of experience, and company type may all contribute; the data cannot separate these explanations.</w:t>
      </w:r>
    </w:p>
    <w:p>
      <w:pPr>
        <w:pStyle w:val="Heading2"/>
      </w:pPr>
      <w:r>
        <w:rPr>
          <w:rFonts w:ascii="Times New Roman" w:cs="Times New Roman" w:eastAsia="Times New Roman" w:hAnsi="Times New Roman"/>
        </w:rPr>
        <w:t xml:space="preserve">4.4 Objective O4 — Who uses AI tools? The adoption landscape</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AI coding assistants spread faster than almost any earlier developer tool. O4 maps current adoption across age, experience, role, country, organisation size and Stack Overflow engagement, ranks the factors by strength of association, and tests whether India differs from the rest of the world.</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The AI cohort contains 60,907 respondents who answered the question “Do you currently use AI tools in your development process?”. The answer has three levels — </w:t>
      </w:r>
      <w:r>
        <w:rPr>
          <w:rFonts w:ascii="Times New Roman" w:cs="Times New Roman" w:eastAsia="Times New Roman" w:hAnsi="Times New Roman"/>
          <w:i/>
          <w:iCs/>
        </w:rPr>
        <w:t xml:space="preserve">Yes</w:t>
      </w:r>
      <w:r>
        <w:rPr>
          <w:rFonts w:ascii="Times New Roman" w:cs="Times New Roman" w:eastAsia="Times New Roman" w:hAnsi="Times New Roman"/>
        </w:rPr>
        <w:t xml:space="preserve">, </w:t>
      </w:r>
      <w:r>
        <w:rPr>
          <w:rFonts w:ascii="Times New Roman" w:cs="Times New Roman" w:eastAsia="Times New Roman" w:hAnsi="Times New Roman"/>
          <w:i/>
          <w:iCs/>
        </w:rPr>
        <w:t xml:space="preserve">No, but I plan to soon</w:t>
      </w:r>
      <w:r>
        <w:rPr>
          <w:rFonts w:ascii="Times New Roman" w:cs="Times New Roman" w:eastAsia="Times New Roman" w:hAnsi="Times New Roman"/>
        </w:rPr>
        <w:t xml:space="preserve"> (13.8 %) and </w:t>
      </w:r>
      <w:r>
        <w:rPr>
          <w:rFonts w:ascii="Times New Roman" w:cs="Times New Roman" w:eastAsia="Times New Roman" w:hAnsi="Times New Roman"/>
          <w:i/>
          <w:iCs/>
        </w:rPr>
        <w:t xml:space="preserve">No, and I don’t plan to</w:t>
      </w:r>
      <w:r>
        <w:rPr>
          <w:rFonts w:ascii="Times New Roman" w:cs="Times New Roman" w:eastAsia="Times New Roman" w:hAnsi="Times New Roman"/>
        </w:rPr>
        <w:t xml:space="preserve"> (24.4 %). For the tests the outcome is binary (uses AI = Yes). Groups with fewer than 300 respondents are not shown for country and role so that every interval is reasonably tight.</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w:t>
      </w:r>
      <w:r>
        <w:rPr>
          <w:rFonts w:ascii="Courier New" w:cs="Courier New" w:eastAsia="Courier New" w:hAnsi="Courier New"/>
          <w:sz w:val="22"/>
          <w:szCs w:val="22"/>
        </w:rPr>
        <w:t xml:space="preserve">pd.crosstab</w:t>
      </w:r>
      <w:r>
        <w:rPr>
          <w:rFonts w:ascii="Times New Roman" w:cs="Times New Roman" w:eastAsia="Times New Roman" w:hAnsi="Times New Roman"/>
        </w:rPr>
        <w:t xml:space="preserve">, </w:t>
      </w:r>
      <w:r>
        <w:rPr>
          <w:rFonts w:ascii="Courier New" w:cs="Courier New" w:eastAsia="Courier New" w:hAnsi="Courier New"/>
          <w:sz w:val="22"/>
          <w:szCs w:val="22"/>
        </w:rPr>
        <w:t xml:space="preserve">scipy.stats.chi2_contingency</w:t>
      </w:r>
      <w:r>
        <w:rPr>
          <w:rFonts w:ascii="Times New Roman" w:cs="Times New Roman" w:eastAsia="Times New Roman" w:hAnsi="Times New Roman"/>
        </w:rPr>
        <w:t xml:space="preserve">, the project helpers </w:t>
      </w:r>
      <w:r>
        <w:rPr>
          <w:rFonts w:ascii="Courier New" w:cs="Courier New" w:eastAsia="Courier New" w:hAnsi="Courier New"/>
          <w:sz w:val="22"/>
          <w:szCs w:val="22"/>
        </w:rPr>
        <w:t xml:space="preserve">cramers_v</w:t>
      </w:r>
      <w:r>
        <w:rPr>
          <w:rFonts w:ascii="Times New Roman" w:cs="Times New Roman" w:eastAsia="Times New Roman" w:hAnsi="Times New Roman"/>
        </w:rPr>
        <w:t xml:space="preserve"> (bias-corrected), </w:t>
      </w:r>
      <w:r>
        <w:rPr>
          <w:rFonts w:ascii="Courier New" w:cs="Courier New" w:eastAsia="Courier New" w:hAnsi="Courier New"/>
          <w:sz w:val="22"/>
          <w:szCs w:val="22"/>
        </w:rPr>
        <w:t xml:space="preserve">wilson_ci</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two_prop_ztest</w:t>
      </w:r>
      <w:r>
        <w:rPr>
          <w:rFonts w:ascii="Times New Roman" w:cs="Times New Roman" w:eastAsia="Times New Roman" w:hAnsi="Times New Roman"/>
        </w:rPr>
        <w:t xml:space="preserve">.</w:t>
      </w:r>
    </w:p>
    <w:p>
      <w:pPr>
        <w:spacing w:after="120" w:before="60" w:line="360" w:lineRule="auto"/>
        <w:jc w:val="center"/>
      </w:pPr>
      <w:r>
        <w:rPr>
          <w:rFonts w:ascii="Times New Roman" w:cs="Times New Roman" w:eastAsia="Times New Roman" w:hAnsi="Times New Roman"/>
          <w:sz w:val="22"/>
          <w:szCs w:val="22"/>
        </w:rPr>
        <w:t xml:space="preserve">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Σ (O</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E</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E</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V = √(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/n / min(k−1, r−1) )    (bias-corrected Cramér’s V)</w:t>
      </w:r>
    </w:p>
    <w:p>
      <w:pPr>
        <w:spacing w:after="120" w:before="60" w:line="360" w:lineRule="auto"/>
        <w:jc w:val="center"/>
      </w:pPr>
      <w:r>
        <w:rPr>
          <w:rFonts w:ascii="Times New Roman" w:cs="Times New Roman" w:eastAsia="Times New Roman" w:hAnsi="Times New Roman"/>
          <w:sz w:val="22"/>
          <w:szCs w:val="22"/>
        </w:rPr>
        <w:t xml:space="preserve">Wilson interval:  [ p̂ + z²/2n ± z√( p̂(1−p̂)/n + z²/4n² ) ] / (1 + z²/n),     z-test: z =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p̂</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p̂(1−p̂)(1/n</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+ 1/n</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rPr>
        <w:t xml:space="preserve">Overall, </w:t>
      </w:r>
      <w:r>
        <w:rPr>
          <w:rFonts w:ascii="Times New Roman" w:cs="Times New Roman" w:eastAsia="Times New Roman" w:hAnsi="Times New Roman"/>
          <w:b/>
          <w:bCs/>
        </w:rPr>
        <w:t xml:space="preserve">61.8 %</w:t>
      </w:r>
      <w:r>
        <w:rPr>
          <w:rFonts w:ascii="Times New Roman" w:cs="Times New Roman" w:eastAsia="Times New Roman" w:hAnsi="Times New Roman"/>
        </w:rPr>
        <w:t xml:space="preserve"> of respondents use AI tools. All ten factors are statistically associated with adoption (p &lt; 0.001), but the effect sizes differ greatly (Table 17): the strongest are age (V = 0.161), professional experience (V = 0.156), job role (V = 0.147) and country (V = 0.138); all are </w:t>
      </w:r>
      <w:r>
        <w:rPr>
          <w:rFonts w:ascii="Times New Roman" w:cs="Times New Roman" w:eastAsia="Times New Roman" w:hAnsi="Times New Roman"/>
          <w:i/>
          <w:iCs/>
        </w:rPr>
        <w:t xml:space="preserve">small</w:t>
      </w:r>
      <w:r>
        <w:rPr>
          <w:rFonts w:ascii="Times New Roman" w:cs="Times New Roman" w:eastAsia="Times New Roman" w:hAnsi="Times New Roman"/>
        </w:rPr>
        <w:t xml:space="preserve"> effects (V of about 0.14–0.16), and Stack Overflow visit frequency (V = 0.021) and work arrangement (V = 0.027) are practically irrelevant.</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17</w:t>
      </w:r>
      <w:r>
        <w:fldChar w:fldCharType="end"/>
      </w:r>
      <w:r>
        <w:rPr>
          <w:rFonts w:ascii="Times New Roman" w:cs="Times New Roman" w:eastAsia="Times New Roman" w:hAnsi="Times New Roman"/>
          <w:sz w:val="22"/>
          <w:szCs w:val="22"/>
        </w:rPr>
        <w:t xml:space="preserve">: Chi-square tests of AI adoption against each factor, ranked by Cramér’s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8"/>
        <w:gridCol w:w="972"/>
        <w:gridCol w:w="1250"/>
        <w:gridCol w:w="1250"/>
        <w:gridCol w:w="833"/>
        <w:gridCol w:w="1111"/>
        <w:gridCol w:w="972"/>
      </w:tblGrid>
      <w:tr>
        <w:trPr>
          <w:cantSplit/>
          <w:tblHeader/>
        </w:trPr>
        <w:tc>
          <w:tcPr>
            <w:tcW w:type="dxa" w:w="263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Factor</w:t>
            </w:r>
          </w:p>
        </w:tc>
        <w:tc>
          <w:tcPr>
            <w:tcW w:type="dxa" w:w="97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Levels</w:t>
            </w:r>
          </w:p>
        </w:tc>
        <w:tc>
          <w:tcPr>
            <w:tcW w:type="dxa" w:w="125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c>
          <w:tcPr>
            <w:tcW w:type="dxa" w:w="125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χ²</w:t>
            </w:r>
          </w:p>
        </w:tc>
        <w:tc>
          <w:tcPr>
            <w:tcW w:type="dxa" w:w="83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df</w:t>
            </w:r>
          </w:p>
        </w:tc>
        <w:tc>
          <w:tcPr>
            <w:tcW w:type="dxa" w:w="1111"/>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w:t>
            </w:r>
          </w:p>
        </w:tc>
        <w:tc>
          <w:tcPr>
            <w:tcW w:type="dxa" w:w="97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V</w:t>
            </w:r>
          </w:p>
        </w:tc>
      </w:tr>
      <w:tr>
        <w:trPr>
          <w:cantSplit/>
        </w:trPr>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Age bracket</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60,630</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1,574</w:t>
            </w:r>
          </w:p>
        </w:tc>
        <w:tc>
          <w:tcPr>
            <w:tcW w:type="dxa" w:w="83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6</w:t>
            </w:r>
          </w:p>
        </w:tc>
        <w:tc>
          <w:tcPr>
            <w:tcW w:type="dxa" w:w="111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0.161</w:t>
            </w:r>
          </w:p>
        </w:tc>
      </w:tr>
      <w:tr>
        <w:trPr>
          <w:cantSplit/>
        </w:trPr>
        <w:tc>
          <w:tcPr>
            <w:tcW w:type="dxa" w:w="26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Professional experience</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49,722</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1,221</w:t>
            </w:r>
          </w:p>
        </w:tc>
        <w:tc>
          <w:tcPr>
            <w:tcW w:type="dxa" w:w="83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w:t>
            </w:r>
          </w:p>
        </w:tc>
        <w:tc>
          <w:tcPr>
            <w:tcW w:type="dxa" w:w="111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0.156</w:t>
            </w:r>
          </w:p>
        </w:tc>
      </w:tr>
      <w:tr>
        <w:trPr>
          <w:cantSplit/>
        </w:trPr>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Job role</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26</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56,641</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1,257</w:t>
            </w:r>
          </w:p>
        </w:tc>
        <w:tc>
          <w:tcPr>
            <w:tcW w:type="dxa" w:w="83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w:t>
            </w:r>
          </w:p>
        </w:tc>
        <w:tc>
          <w:tcPr>
            <w:tcW w:type="dxa" w:w="111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0.147</w:t>
            </w:r>
          </w:p>
        </w:tc>
      </w:tr>
      <w:tr>
        <w:trPr>
          <w:cantSplit/>
        </w:trPr>
        <w:tc>
          <w:tcPr>
            <w:tcW w:type="dxa" w:w="26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39</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51,116</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1,015</w:t>
            </w:r>
          </w:p>
        </w:tc>
        <w:tc>
          <w:tcPr>
            <w:tcW w:type="dxa" w:w="83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38</w:t>
            </w:r>
          </w:p>
        </w:tc>
        <w:tc>
          <w:tcPr>
            <w:tcW w:type="dxa" w:w="111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0.138</w:t>
            </w:r>
          </w:p>
        </w:tc>
      </w:tr>
      <w:tr>
        <w:trPr>
          <w:cantSplit/>
        </w:trPr>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Coding relationship</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60,907</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434</w:t>
            </w:r>
          </w:p>
        </w:tc>
        <w:tc>
          <w:tcPr>
            <w:tcW w:type="dxa" w:w="83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w:t>
            </w:r>
          </w:p>
        </w:tc>
        <w:tc>
          <w:tcPr>
            <w:tcW w:type="dxa" w:w="111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0.084</w:t>
            </w:r>
          </w:p>
        </w:tc>
      </w:tr>
      <w:tr>
        <w:trPr>
          <w:cantSplit/>
        </w:trPr>
        <w:tc>
          <w:tcPr>
            <w:tcW w:type="dxa" w:w="26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Organisation size</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46,343</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288</w:t>
            </w:r>
          </w:p>
        </w:tc>
        <w:tc>
          <w:tcPr>
            <w:tcW w:type="dxa" w:w="83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w:t>
            </w:r>
          </w:p>
        </w:tc>
        <w:tc>
          <w:tcPr>
            <w:tcW w:type="dxa" w:w="111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0.078</w:t>
            </w:r>
          </w:p>
        </w:tc>
      </w:tr>
      <w:tr>
        <w:trPr>
          <w:cantSplit/>
        </w:trPr>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Purchasing influence</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46,301</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158</w:t>
            </w:r>
          </w:p>
        </w:tc>
        <w:tc>
          <w:tcPr>
            <w:tcW w:type="dxa" w:w="83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w:t>
            </w:r>
          </w:p>
        </w:tc>
        <w:tc>
          <w:tcPr>
            <w:tcW w:type="dxa" w:w="111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0.058</w:t>
            </w:r>
          </w:p>
        </w:tc>
      </w:tr>
      <w:tr>
        <w:trPr>
          <w:cantSplit/>
        </w:trPr>
        <w:tc>
          <w:tcPr>
            <w:tcW w:type="dxa" w:w="26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Education</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58,896</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184</w:t>
            </w:r>
          </w:p>
        </w:tc>
        <w:tc>
          <w:tcPr>
            <w:tcW w:type="dxa" w:w="83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w:t>
            </w:r>
          </w:p>
        </w:tc>
        <w:tc>
          <w:tcPr>
            <w:tcW w:type="dxa" w:w="111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0.055</w:t>
            </w:r>
          </w:p>
        </w:tc>
      </w:tr>
      <w:tr>
        <w:trPr>
          <w:cantSplit/>
        </w:trPr>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Work arrangement</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51,100</w:t>
            </w:r>
          </w:p>
        </w:tc>
        <w:tc>
          <w:tcPr>
            <w:tcW w:type="dxa" w:w="125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39</w:t>
            </w:r>
          </w:p>
        </w:tc>
        <w:tc>
          <w:tcPr>
            <w:tcW w:type="dxa" w:w="83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w:t>
            </w:r>
          </w:p>
        </w:tc>
        <w:tc>
          <w:tcPr>
            <w:tcW w:type="dxa" w:w="1111"/>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0.027</w:t>
            </w:r>
          </w:p>
        </w:tc>
      </w:tr>
      <w:tr>
        <w:trPr>
          <w:cantSplit/>
        </w:trPr>
        <w:tc>
          <w:tcPr>
            <w:tcW w:type="dxa" w:w="263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Stack Overflow visits</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58,286</w:t>
            </w:r>
          </w:p>
        </w:tc>
        <w:tc>
          <w:tcPr>
            <w:tcW w:type="dxa" w:w="125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30</w:t>
            </w:r>
          </w:p>
        </w:tc>
        <w:tc>
          <w:tcPr>
            <w:tcW w:type="dxa" w:w="83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w:t>
            </w:r>
          </w:p>
        </w:tc>
        <w:tc>
          <w:tcPr>
            <w:tcW w:type="dxa" w:w="1111"/>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97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0.021</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Adoption falls steadily with age, from 70.4 % among 18–24-year-olds to 40.9 % at 55–64 and 32.3 % at 65+, and with professional experience, from 71.2 % (0–2 years) to 48.2 % (21+ years). Among roles (Figure 17) AI developers (84.5 %) and data scientists / ML specialists (72.5 %) lead, whereas sysadmins and embedded developers are lowest (42.8 % and 43.5 %). </w:t>
      </w:r>
      <w:r>
        <w:rPr>
          <w:rFonts w:ascii="Times New Roman" w:cs="Times New Roman" w:eastAsia="Times New Roman" w:hAnsi="Times New Roman"/>
          <w:b/>
          <w:bCs/>
        </w:rPr>
        <w:t xml:space="preserve">India:</w:t>
      </w:r>
      <w:r>
        <w:rPr>
          <w:rFonts w:ascii="Times New Roman" w:cs="Times New Roman" w:eastAsia="Times New Roman" w:hAnsi="Times New Roman"/>
        </w:rPr>
        <w:t xml:space="preserve"> 67.9 % of the 4,161 Indian respondents use AI tools, versus 61.4 % elsewhere (difference 6.6 percentage points, z = 8.4, p &lt; 0.001) and 54.2 % in the USA (z = 15.2, p &lt; 0.001).</w:t>
      </w: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5715000" cy="3971925"/>
            <wp:effectExtent t="0" r="0" b="0" l="0"/>
            <wp:docPr id="1" name="fig16_ai_adoption_factors.png" descr="AI-tool adoption in the development process by age (a), experience (b), organisation size (c) and Stack Overflow visit frequency (d); labels show % currently using AI." title="AI-tool adoption in the development process by age (a), experience (b), organisation size (c) and Stack Overflow visit frequency (d); labels show % currently usi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719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16</w:t>
      </w:r>
      <w:r>
        <w:fldChar w:fldCharType="end"/>
      </w:r>
      <w:r>
        <w:rPr>
          <w:rFonts w:ascii="Times New Roman" w:cs="Times New Roman" w:eastAsia="Times New Roman" w:hAnsi="Times New Roman"/>
          <w:sz w:val="22"/>
          <w:szCs w:val="22"/>
        </w:rPr>
        <w:t xml:space="preserve">: AI-tool adoption in the development process by age (a), experience (b), organisation size (c) and Stack Overflow visit frequency (d); labels show % currently using AI.</w:t>
      </w:r>
    </w:p>
    <w:p>
      <w:pPr>
        <w:keepNext/>
        <w:spacing w:after="0" w:before="120" w:line="240" w:lineRule="auto"/>
        <w:jc w:val="center"/>
      </w:pPr>
      <w:r>
        <w:drawing>
          <wp:inline distT="0" distB="0" distL="0" distR="0">
            <wp:extent cx="5715000" cy="2857500"/>
            <wp:effectExtent t="0" r="0" b="0" l="0"/>
            <wp:docPr id="1" name="fig17_ai_adoption_country_role.png" descr="AI adoption rate with 95 % Wilson CIs by country (a) and job role (b); dashed line = overall adoption; India in orange." title="AI adoption rate with 95 % Wilson CIs by country (a) and job role (b); dashed line = overall adoption; India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575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17</w:t>
      </w:r>
      <w:r>
        <w:fldChar w:fldCharType="end"/>
      </w:r>
      <w:r>
        <w:rPr>
          <w:rFonts w:ascii="Times New Roman" w:cs="Times New Roman" w:eastAsia="Times New Roman" w:hAnsi="Times New Roman"/>
          <w:sz w:val="22"/>
          <w:szCs w:val="22"/>
        </w:rPr>
        <w:t xml:space="preserve">: AI adoption rate with 95 % Wilson CIs by country (a) and job role (b); dashed line = overall adoption; India in orange.</w:t>
      </w:r>
    </w:p>
    <w:p>
      <w:pPr>
        <w:keepNext/>
        <w:spacing w:after="0" w:before="120" w:line="240" w:lineRule="auto"/>
        <w:jc w:val="center"/>
      </w:pPr>
      <w:r>
        <w:drawing>
          <wp:inline distT="0" distB="0" distL="0" distR="0">
            <wp:extent cx="4476750" cy="2457450"/>
            <wp:effectExtent t="0" r="0" b="0" l="0"/>
            <wp:docPr id="1" name="fig18_ai_cramers_v.png" descr="Strength of association (Cramér's V) between AI adoption and each descriptive factor." title="Strength of association (Cramér's V) between AI adoption and each descriptive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45745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18</w:t>
      </w:r>
      <w:r>
        <w:fldChar w:fldCharType="end"/>
      </w:r>
      <w:r>
        <w:rPr>
          <w:rFonts w:ascii="Times New Roman" w:cs="Times New Roman" w:eastAsia="Times New Roman" w:hAnsi="Times New Roman"/>
          <w:sz w:val="22"/>
          <w:szCs w:val="22"/>
        </w:rPr>
        <w:t xml:space="preserve">: Strength of association (Cramér's V) between AI adoption and each descriptive factor.</w:t>
      </w:r>
    </w:p>
    <w:p>
      <w:pPr>
        <w:keepNext/>
        <w:spacing w:after="0" w:before="120" w:line="240" w:lineRule="auto"/>
        <w:jc w:val="center"/>
      </w:pPr>
      <w:r>
        <w:drawing>
          <wp:inline distT="0" distB="0" distL="0" distR="0">
            <wp:extent cx="4476750" cy="2886075"/>
            <wp:effectExtent t="0" r="0" b="0" l="0"/>
            <wp:docPr id="1" name="fig19_ai_role_age_heatmap.png" descr="AI adoption by job role and age bracket (blank = fewer than 30 respondents)." title="AI adoption by job role and age bracket (blank = fewer than 30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8860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19</w:t>
      </w:r>
      <w:r>
        <w:fldChar w:fldCharType="end"/>
      </w:r>
      <w:r>
        <w:rPr>
          <w:rFonts w:ascii="Times New Roman" w:cs="Times New Roman" w:eastAsia="Times New Roman" w:hAnsi="Times New Roman"/>
          <w:sz w:val="22"/>
          <w:szCs w:val="22"/>
        </w:rPr>
        <w:t xml:space="preserve">: AI adoption by job role and age bracket (blank = fewer than 30 respondents).</w:t>
      </w:r>
    </w:p>
    <w:p>
      <w:pPr>
        <w:spacing w:after="120" w:before="0" w:line="360" w:lineRule="auto"/>
        <w:jc w:val="both"/>
      </w:pPr>
      <w:r>
        <w:rPr>
          <w:rFonts w:ascii="Times New Roman" w:cs="Times New Roman" w:eastAsia="Times New Roman" w:hAnsi="Times New Roman"/>
        </w:rPr>
        <w:t xml:space="preserve">Figure 16 shows that the age and experience gradients are monotone and large, whereas organisation size has only a small inverted-U pattern (highest in organisations of 2–99 people) and Stack Overflow visit frequency has almost none. Figure 17 places India (orange) {india_rank_txt}, below countries such as China, Pakistan, Nigeria, Israel and Ukraine but clearly above the USA, the UK, Germany and France. Figure 18 ranks the factors, and Figure 19 shows that adoption falls with age </w:t>
      </w:r>
      <w:r>
        <w:rPr>
          <w:rFonts w:ascii="Times New Roman" w:cs="Times New Roman" w:eastAsia="Times New Roman" w:hAnsi="Times New Roman"/>
          <w:i/>
          <w:iCs/>
        </w:rPr>
        <w:t xml:space="preserve">within every one of the ten most common roles</w:t>
      </w:r>
      <w:r>
        <w:rPr>
          <w:rFonts w:ascii="Times New Roman" w:cs="Times New Roman" w:eastAsia="Times New Roman" w:hAnsi="Times New Roman"/>
        </w:rPr>
        <w:t xml:space="preserve">, and that at any age adoption is highest among front-end, full-stack and mobile developers and lowest among embedded and desktop/enterprise developers. </w:t>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adoption is highest among the young, early-career, AI-adjacent and — notably — developers in emerging developer markets, consistent with the idea that AI tools are most attractive to people who are still building skills or who see them as a productivity lever. Because the sample is self-selected and the question asks about </w:t>
      </w:r>
      <w:r>
        <w:rPr>
          <w:rFonts w:ascii="Times New Roman" w:cs="Times New Roman" w:eastAsia="Times New Roman" w:hAnsi="Times New Roman"/>
          <w:i/>
          <w:iCs/>
        </w:rPr>
        <w:t xml:space="preserve">current</w:t>
      </w:r>
      <w:r>
        <w:rPr>
          <w:rFonts w:ascii="Times New Roman" w:cs="Times New Roman" w:eastAsia="Times New Roman" w:hAnsi="Times New Roman"/>
        </w:rPr>
        <w:t xml:space="preserve"> use, these are snapshot associations, not predictions of future behaviour.</w:t>
      </w:r>
    </w:p>
    <w:p>
      <w:pPr>
        <w:pStyle w:val="Heading2"/>
      </w:pPr>
      <w:r>
        <w:rPr>
          <w:rFonts w:ascii="Times New Roman" w:cs="Times New Roman" w:eastAsia="Times New Roman" w:hAnsi="Times New Roman"/>
        </w:rPr>
        <w:t xml:space="preserve">4.5 Objective O5 — AI sentiment, trust and job-threat perception</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Adoption is only half of the story; developers’ attitudes decide whether AI tools are used wisely. O5 describes favourability, trust in the accuracy of AI output, belief that AI can handle complex tasks, and fear of job loss, and tests whether these differ with career stage, role and country.</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Four follow-up questions were shown only to respondents who use or plan to use AI tools (Table 18): sentiment and job-threat to users and planners (46,070 respondents), trust in accuracy and performance on complex tasks to </w:t>
      </w:r>
      <w:r>
        <w:rPr>
          <w:rFonts w:ascii="Times New Roman" w:cs="Times New Roman" w:eastAsia="Times New Roman" w:hAnsi="Times New Roman"/>
          <w:i/>
          <w:iCs/>
        </w:rPr>
        <w:t xml:space="preserve">current users only</w:t>
      </w:r>
      <w:r>
        <w:rPr>
          <w:rFonts w:ascii="Times New Roman" w:cs="Times New Roman" w:eastAsia="Times New Roman" w:hAnsi="Times New Roman"/>
        </w:rPr>
        <w:t xml:space="preserve"> (37,662). All inference therefore refers to the AI-using or AI-planning population, not to all developers. Ordinal answers are scored 1–5 (e.g. “Highly distrust” = 1 … “Highly trust” = 5; “Unsure” answers are excluded); the threat question is categorical (Yes / No / Not sure).</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18</w:t>
      </w:r>
      <w:r>
        <w:fldChar w:fldCharType="end"/>
      </w:r>
      <w:r>
        <w:rPr>
          <w:rFonts w:ascii="Times New Roman" w:cs="Times New Roman" w:eastAsia="Times New Roman" w:hAnsi="Times New Roman"/>
          <w:sz w:val="22"/>
          <w:szCs w:val="22"/>
        </w:rPr>
        <w:t xml:space="preserve">: Percentage of respondents answering each AI follow-up question, by their answer to “Do you use AI tools?” (proof of conditional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6"/>
        <w:gridCol w:w="1368"/>
        <w:gridCol w:w="1368"/>
        <w:gridCol w:w="1368"/>
        <w:gridCol w:w="1366"/>
      </w:tblGrid>
      <w:tr>
        <w:trPr>
          <w:cantSplit/>
          <w:tblHeader/>
        </w:trPr>
        <w:tc>
          <w:tcPr>
            <w:tcW w:type="dxa" w:w="355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AI-use answer</w:t>
            </w:r>
          </w:p>
        </w:tc>
        <w:tc>
          <w:tcPr>
            <w:tcW w:type="dxa" w:w="136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ai_sent</w:t>
            </w:r>
          </w:p>
        </w:tc>
        <w:tc>
          <w:tcPr>
            <w:tcW w:type="dxa" w:w="136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ai_acc</w:t>
            </w:r>
          </w:p>
        </w:tc>
        <w:tc>
          <w:tcPr>
            <w:tcW w:type="dxa" w:w="136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ai_complex</w:t>
            </w:r>
          </w:p>
        </w:tc>
        <w:tc>
          <w:tcPr>
            <w:tcW w:type="dxa" w:w="136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ai_threat</w:t>
            </w:r>
          </w:p>
        </w:tc>
      </w:tr>
      <w:tr>
        <w:trPr>
          <w:cantSplit/>
        </w:trPr>
        <w:tc>
          <w:tcPr>
            <w:tcW w:type="dxa" w:w="35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(unanswered)</w:t>
            </w:r>
          </w:p>
        </w:tc>
        <w:tc>
          <w:tcPr>
            <w:tcW w:type="dxa" w:w="136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r>
      <w:tr>
        <w:trPr>
          <w:cantSplit/>
        </w:trPr>
        <w:tc>
          <w:tcPr>
            <w:tcW w:type="dxa" w:w="35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No, and I don't plan to</w:t>
            </w:r>
          </w:p>
        </w:tc>
        <w:tc>
          <w:tcPr>
            <w:tcW w:type="dxa" w:w="136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r>
      <w:tr>
        <w:trPr>
          <w:cantSplit/>
        </w:trPr>
        <w:tc>
          <w:tcPr>
            <w:tcW w:type="dxa" w:w="35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No, but I plan to soon</w:t>
            </w:r>
          </w:p>
        </w:tc>
        <w:tc>
          <w:tcPr>
            <w:tcW w:type="dxa" w:w="136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99.2</w:t>
            </w:r>
          </w:p>
        </w:tc>
        <w:tc>
          <w:tcPr>
            <w:tcW w:type="dxa" w:w="136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w:t>
            </w:r>
          </w:p>
        </w:tc>
        <w:tc>
          <w:tcPr>
            <w:tcW w:type="dxa" w:w="136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99.4</w:t>
            </w:r>
          </w:p>
        </w:tc>
      </w:tr>
      <w:tr>
        <w:trPr>
          <w:cantSplit/>
        </w:trPr>
        <w:tc>
          <w:tcPr>
            <w:tcW w:type="dxa" w:w="35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136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99.7</w:t>
            </w:r>
          </w:p>
        </w:tc>
        <w:tc>
          <w:tcPr>
            <w:tcW w:type="dxa" w:w="136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99.0</w:t>
            </w:r>
          </w:p>
        </w:tc>
        <w:tc>
          <w:tcPr>
            <w:tcW w:type="dxa" w:w="136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98.3</w:t>
            </w:r>
          </w:p>
        </w:tc>
        <w:tc>
          <w:tcPr>
            <w:tcW w:type="dxa" w:w="136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96.5</w:t>
            </w:r>
          </w:p>
        </w:tc>
      </w:tr>
    </w:tbl>
    <w:p>
      <w:pPr>
        <w:spacing w:after="160" w:before="60" w:line="240" w:lineRule="auto"/>
      </w:pPr>
      <w:r>
        <w:rPr>
          <w:rFonts w:ascii="Times New Roman" w:cs="Times New Roman" w:eastAsia="Times New Roman" w:hAnsi="Times New Roman"/>
          <w:i/>
          <w:iCs/>
          <w:sz w:val="20"/>
          <w:szCs w:val="20"/>
        </w:rPr>
        <w:t xml:space="preserve">The table is the evidence for the leakage rule of Section 3.9: the columns are never filled for respondents who neither use nor plan to use AI, and ai_acc / ai_complex are filled only for current users.</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w:t>
      </w:r>
      <w:r>
        <w:rPr>
          <w:rFonts w:ascii="Courier New" w:cs="Courier New" w:eastAsia="Courier New" w:hAnsi="Courier New"/>
          <w:sz w:val="22"/>
          <w:szCs w:val="22"/>
        </w:rPr>
        <w:t xml:space="preserve">map_prefix</w:t>
      </w:r>
      <w:r>
        <w:rPr>
          <w:rFonts w:ascii="Times New Roman" w:cs="Times New Roman" w:eastAsia="Times New Roman" w:hAnsi="Times New Roman"/>
        </w:rPr>
        <w:t xml:space="preserve"> (label → score), </w:t>
      </w:r>
      <w:r>
        <w:rPr>
          <w:rFonts w:ascii="Courier New" w:cs="Courier New" w:eastAsia="Courier New" w:hAnsi="Courier New"/>
          <w:sz w:val="22"/>
          <w:szCs w:val="22"/>
        </w:rPr>
        <w:t xml:space="preserve">scipy.stats.spearmanr</w:t>
      </w:r>
      <w:r>
        <w:rPr>
          <w:rFonts w:ascii="Times New Roman" w:cs="Times New Roman" w:eastAsia="Times New Roman" w:hAnsi="Times New Roman"/>
        </w:rPr>
        <w:t xml:space="preserve"> with Bonett–Wright CI, </w:t>
      </w:r>
      <w:r>
        <w:rPr>
          <w:rFonts w:ascii="Courier New" w:cs="Courier New" w:eastAsia="Courier New" w:hAnsi="Courier New"/>
          <w:sz w:val="22"/>
          <w:szCs w:val="22"/>
        </w:rPr>
        <w:t xml:space="preserve">scipy.stats.kruskal</w:t>
      </w:r>
      <w:r>
        <w:rPr>
          <w:rFonts w:ascii="Times New Roman" w:cs="Times New Roman" w:eastAsia="Times New Roman" w:hAnsi="Times New Roman"/>
        </w:rPr>
        <w:t xml:space="preserve">, </w:t>
      </w:r>
      <w:r>
        <w:rPr>
          <w:rFonts w:ascii="Courier New" w:cs="Courier New" w:eastAsia="Courier New" w:hAnsi="Courier New"/>
          <w:sz w:val="22"/>
          <w:szCs w:val="22"/>
        </w:rPr>
        <w:t xml:space="preserve">scipy.stats.mannwhitneyu</w:t>
      </w:r>
      <w:r>
        <w:rPr>
          <w:rFonts w:ascii="Times New Roman" w:cs="Times New Roman" w:eastAsia="Times New Roman" w:hAnsi="Times New Roman"/>
        </w:rPr>
        <w:t xml:space="preserve">, </w:t>
      </w:r>
      <w:r>
        <w:rPr>
          <w:rFonts w:ascii="Courier New" w:cs="Courier New" w:eastAsia="Courier New" w:hAnsi="Courier New"/>
          <w:sz w:val="22"/>
          <w:szCs w:val="22"/>
        </w:rPr>
        <w:t xml:space="preserve">chi2_test</w:t>
      </w:r>
      <w:r>
        <w:rPr>
          <w:rFonts w:ascii="Times New Roman" w:cs="Times New Roman" w:eastAsia="Times New Roman" w:hAnsi="Times New Roman"/>
        </w:rPr>
        <w:t xml:space="preserve">/</w:t>
      </w:r>
      <w:r>
        <w:rPr>
          <w:rFonts w:ascii="Courier New" w:cs="Courier New" w:eastAsia="Courier New" w:hAnsi="Courier New"/>
          <w:sz w:val="22"/>
          <w:szCs w:val="22"/>
        </w:rPr>
        <w:t xml:space="preserve">cramers_v</w:t>
      </w:r>
      <w:r>
        <w:rPr>
          <w:rFonts w:ascii="Times New Roman" w:cs="Times New Roman" w:eastAsia="Times New Roman" w:hAnsi="Times New Roman"/>
        </w:rPr>
        <w:t xml:space="preserve">, </w:t>
      </w:r>
      <w:r>
        <w:rPr>
          <w:rFonts w:ascii="Courier New" w:cs="Courier New" w:eastAsia="Courier New" w:hAnsi="Courier New"/>
          <w:sz w:val="22"/>
          <w:szCs w:val="22"/>
        </w:rPr>
        <w:t xml:space="preserve">wilson_ci</w:t>
      </w:r>
      <w:r>
        <w:rPr>
          <w:rFonts w:ascii="Times New Roman" w:cs="Times New Roman" w:eastAsia="Times New Roman" w:hAnsi="Times New Roman"/>
        </w:rPr>
        <w:t xml:space="preserve">, </w:t>
      </w:r>
      <w:r>
        <w:rPr>
          <w:rFonts w:ascii="Courier New" w:cs="Courier New" w:eastAsia="Courier New" w:hAnsi="Courier New"/>
          <w:sz w:val="22"/>
          <w:szCs w:val="22"/>
        </w:rPr>
        <w:t xml:space="preserve">two_prop_ztest</w:t>
      </w:r>
      <w:r>
        <w:rPr>
          <w:rFonts w:ascii="Times New Roman" w:cs="Times New Roman" w:eastAsia="Times New Roman" w:hAnsi="Times New Roman"/>
        </w:rPr>
        <w:t xml:space="preserve">.</w:t>
      </w:r>
    </w:p>
    <w:p>
      <w:pPr>
        <w:spacing w:after="120" w:before="60" w:line="360" w:lineRule="auto"/>
        <w:jc w:val="center"/>
      </w:pPr>
      <w:r>
        <w:rPr>
          <w:rFonts w:ascii="Times New Roman" w:cs="Times New Roman" w:eastAsia="Times New Roman" w:hAnsi="Times New Roman"/>
          <w:sz w:val="22"/>
          <w:szCs w:val="22"/>
        </w:rPr>
        <w:t xml:space="preserve">ρ = 1 − 6Σd</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(n(n²−1)) (no ties; with ties the Pearson correlation of ranks);     ε</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H/(N−1);     V as in Section 4.4</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rPr>
        <w:t xml:space="preserve">Attitudes are broadly positive but cautious. 74 % of the 46,070 respondents are favourable or very favourable towards AI tools, yet only 43 % of users somewhat or highly trust the accuracy of AI output while 30 % distrust it; only 36 % think AI handles complex tasks well, whereas 43 % think it handles them badly. Just 12 % believe AI is a threat to their own job. This “favourable but sceptical” profile is the headline result (Figure 20). Users are more favourable than those who only plan to use AI (mean 3.98 vs 3.54; p &lt; 0.001).</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19</w:t>
      </w:r>
      <w:r>
        <w:fldChar w:fldCharType="end"/>
      </w:r>
      <w:r>
        <w:rPr>
          <w:rFonts w:ascii="Times New Roman" w:cs="Times New Roman" w:eastAsia="Times New Roman" w:hAnsi="Times New Roman"/>
          <w:sz w:val="22"/>
          <w:szCs w:val="22"/>
        </w:rPr>
        <w:t xml:space="preserve">: Spearman correlation of attitudes with professional experience and age (all p &lt; 0.001 given the large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5"/>
        <w:gridCol w:w="1128"/>
        <w:gridCol w:w="1692"/>
        <w:gridCol w:w="903"/>
        <w:gridCol w:w="1015"/>
        <w:gridCol w:w="1693"/>
      </w:tblGrid>
      <w:tr>
        <w:trPr>
          <w:cantSplit/>
          <w:tblHeader/>
        </w:trPr>
        <w:tc>
          <w:tcPr>
            <w:tcW w:type="dxa" w:w="259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Attitude</w:t>
            </w:r>
          </w:p>
        </w:tc>
        <w:tc>
          <w:tcPr>
            <w:tcW w:type="dxa" w:w="112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ρ (experience)</w:t>
            </w:r>
          </w:p>
        </w:tc>
        <w:tc>
          <w:tcPr>
            <w:tcW w:type="dxa" w:w="169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95 % CI</w:t>
            </w:r>
          </w:p>
        </w:tc>
        <w:tc>
          <w:tcPr>
            <w:tcW w:type="dxa" w:w="90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c>
          <w:tcPr>
            <w:tcW w:type="dxa" w:w="101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ρ (age)</w:t>
            </w:r>
          </w:p>
        </w:tc>
        <w:tc>
          <w:tcPr>
            <w:tcW w:type="dxa" w:w="169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95 % CI</w:t>
            </w:r>
          </w:p>
        </w:tc>
      </w:tr>
      <w:tr>
        <w:trPr>
          <w:cantSplit/>
        </w:trPr>
        <w:tc>
          <w:tcPr>
            <w:tcW w:type="dxa" w:w="25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Favourability</w:t>
            </w:r>
          </w:p>
        </w:tc>
        <w:tc>
          <w:tcPr>
            <w:tcW w:type="dxa" w:w="11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w:t>
            </w:r>
          </w:p>
        </w:tc>
        <w:tc>
          <w:tcPr>
            <w:tcW w:type="dxa" w:w="169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-0.04 to -0.02</w:t>
            </w:r>
          </w:p>
        </w:tc>
        <w:tc>
          <w:tcPr>
            <w:tcW w:type="dxa" w:w="9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36,930</w:t>
            </w:r>
          </w:p>
        </w:tc>
        <w:tc>
          <w:tcPr>
            <w:tcW w:type="dxa" w:w="101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w:t>
            </w:r>
          </w:p>
        </w:tc>
        <w:tc>
          <w:tcPr>
            <w:tcW w:type="dxa" w:w="16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 to 0.01</w:t>
            </w:r>
          </w:p>
        </w:tc>
      </w:tr>
      <w:tr>
        <w:trPr>
          <w:cantSplit/>
        </w:trPr>
        <w:tc>
          <w:tcPr>
            <w:tcW w:type="dxa" w:w="25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Trust in AI accuracy</w:t>
            </w:r>
          </w:p>
        </w:tc>
        <w:tc>
          <w:tcPr>
            <w:tcW w:type="dxa" w:w="11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-0.06</w:t>
            </w:r>
          </w:p>
        </w:tc>
        <w:tc>
          <w:tcPr>
            <w:tcW w:type="dxa" w:w="169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-0.07 to -0.04</w:t>
            </w:r>
          </w:p>
        </w:tc>
        <w:tc>
          <w:tcPr>
            <w:tcW w:type="dxa" w:w="9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31,049</w:t>
            </w:r>
          </w:p>
        </w:tc>
        <w:tc>
          <w:tcPr>
            <w:tcW w:type="dxa" w:w="101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w:t>
            </w:r>
          </w:p>
        </w:tc>
        <w:tc>
          <w:tcPr>
            <w:tcW w:type="dxa" w:w="16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 to -0.01</w:t>
            </w:r>
          </w:p>
        </w:tc>
      </w:tr>
      <w:tr>
        <w:trPr>
          <w:cantSplit/>
        </w:trPr>
        <w:tc>
          <w:tcPr>
            <w:tcW w:type="dxa" w:w="259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AI on complex tasks</w:t>
            </w:r>
          </w:p>
        </w:tc>
        <w:tc>
          <w:tcPr>
            <w:tcW w:type="dxa" w:w="112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w:t>
            </w:r>
          </w:p>
        </w:tc>
        <w:tc>
          <w:tcPr>
            <w:tcW w:type="dxa" w:w="169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-0.04 to -0.02</w:t>
            </w:r>
          </w:p>
        </w:tc>
        <w:tc>
          <w:tcPr>
            <w:tcW w:type="dxa" w:w="90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30,883</w:t>
            </w:r>
          </w:p>
        </w:tc>
        <w:tc>
          <w:tcPr>
            <w:tcW w:type="dxa" w:w="101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w:t>
            </w:r>
          </w:p>
        </w:tc>
        <w:tc>
          <w:tcPr>
            <w:tcW w:type="dxa" w:w="16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 to 0.01</w:t>
            </w:r>
          </w:p>
        </w:tc>
      </w:tr>
      <w:tr>
        <w:trPr>
          <w:cantSplit/>
        </w:trPr>
        <w:tc>
          <w:tcPr>
            <w:tcW w:type="dxa" w:w="259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Sees AI as threat (yes=1)</w:t>
            </w:r>
          </w:p>
        </w:tc>
        <w:tc>
          <w:tcPr>
            <w:tcW w:type="dxa" w:w="112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w:t>
            </w:r>
          </w:p>
        </w:tc>
        <w:tc>
          <w:tcPr>
            <w:tcW w:type="dxa" w:w="169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 to -0.01</w:t>
            </w:r>
          </w:p>
        </w:tc>
        <w:tc>
          <w:tcPr>
            <w:tcW w:type="dxa" w:w="90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37,777</w:t>
            </w:r>
          </w:p>
        </w:tc>
        <w:tc>
          <w:tcPr>
            <w:tcW w:type="dxa" w:w="101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w:t>
            </w:r>
          </w:p>
        </w:tc>
        <w:tc>
          <w:tcPr>
            <w:tcW w:type="dxa" w:w="16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 to -0.01</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Experience and age are associated with slightly less favourable and less trusting attitudes, but </w:t>
      </w:r>
      <w:r>
        <w:rPr>
          <w:rFonts w:ascii="Times New Roman" w:cs="Times New Roman" w:eastAsia="Times New Roman" w:hAnsi="Times New Roman"/>
          <w:b/>
          <w:bCs/>
        </w:rPr>
        <w:t xml:space="preserve">the effects are tiny</w:t>
      </w:r>
      <w:r>
        <w:rPr>
          <w:rFonts w:ascii="Times New Roman" w:cs="Times New Roman" w:eastAsia="Times New Roman" w:hAnsi="Times New Roman"/>
        </w:rPr>
        <w:t xml:space="preserve">: the largest rank correlation is ρ = -0.06 (experience and trust). Kruskal–Wallis tests across experience bands are significant (favourability H = 35, ε² = 0.001; trust H = 114, ε² = 0.004), but the ε² values show that experience band explains well under 1 % of rank variation — statistical significance without practical significance. For the threat question (Table 20) the associations are small as well, strongest for country (V = 0.097) and job role (V = 0.077).</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20</w:t>
      </w:r>
      <w:r>
        <w:fldChar w:fldCharType="end"/>
      </w:r>
      <w:r>
        <w:rPr>
          <w:rFonts w:ascii="Times New Roman" w:cs="Times New Roman" w:eastAsia="Times New Roman" w:hAnsi="Times New Roman"/>
          <w:sz w:val="22"/>
          <w:szCs w:val="22"/>
        </w:rPr>
        <w:t xml:space="preserve">: Chi-square tests of the job-threat answer (Yes / No / Not sure) against career and context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55"/>
        <w:gridCol w:w="1332"/>
        <w:gridCol w:w="1332"/>
        <w:gridCol w:w="888"/>
        <w:gridCol w:w="1184"/>
        <w:gridCol w:w="1035"/>
      </w:tblGrid>
      <w:tr>
        <w:trPr>
          <w:cantSplit/>
          <w:tblHeader/>
        </w:trPr>
        <w:tc>
          <w:tcPr>
            <w:tcW w:type="dxa" w:w="325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Factor</w:t>
            </w:r>
          </w:p>
        </w:tc>
        <w:tc>
          <w:tcPr>
            <w:tcW w:type="dxa" w:w="133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c>
          <w:tcPr>
            <w:tcW w:type="dxa" w:w="133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χ²</w:t>
            </w:r>
          </w:p>
        </w:tc>
        <w:tc>
          <w:tcPr>
            <w:tcW w:type="dxa" w:w="88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df</w:t>
            </w:r>
          </w:p>
        </w:tc>
        <w:tc>
          <w:tcPr>
            <w:tcW w:type="dxa" w:w="118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w:t>
            </w:r>
          </w:p>
        </w:tc>
        <w:tc>
          <w:tcPr>
            <w:tcW w:type="dxa" w:w="103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V</w:t>
            </w:r>
          </w:p>
        </w:tc>
      </w:tr>
      <w:tr>
        <w:trPr>
          <w:cantSplit/>
        </w:trPr>
        <w:tc>
          <w:tcPr>
            <w:tcW w:type="dxa" w:w="325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Experience band</w:t>
            </w:r>
          </w:p>
        </w:tc>
        <w:tc>
          <w:tcPr>
            <w:tcW w:type="dxa" w:w="133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37,777</w:t>
            </w:r>
          </w:p>
        </w:tc>
        <w:tc>
          <w:tcPr>
            <w:tcW w:type="dxa" w:w="133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150.2</w:t>
            </w:r>
          </w:p>
        </w:tc>
        <w:tc>
          <w:tcPr>
            <w:tcW w:type="dxa" w:w="88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w:t>
            </w:r>
          </w:p>
        </w:tc>
        <w:tc>
          <w:tcPr>
            <w:tcW w:type="dxa" w:w="118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3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0.043</w:t>
            </w:r>
          </w:p>
        </w:tc>
      </w:tr>
      <w:tr>
        <w:trPr>
          <w:cantSplit/>
        </w:trPr>
        <w:tc>
          <w:tcPr>
            <w:tcW w:type="dxa" w:w="325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Age bracket</w:t>
            </w:r>
          </w:p>
        </w:tc>
        <w:tc>
          <w:tcPr>
            <w:tcW w:type="dxa" w:w="133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44,540</w:t>
            </w:r>
          </w:p>
        </w:tc>
        <w:tc>
          <w:tcPr>
            <w:tcW w:type="dxa" w:w="133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253.2</w:t>
            </w:r>
          </w:p>
        </w:tc>
        <w:tc>
          <w:tcPr>
            <w:tcW w:type="dxa" w:w="88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w:t>
            </w:r>
          </w:p>
        </w:tc>
        <w:tc>
          <w:tcPr>
            <w:tcW w:type="dxa" w:w="118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3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0.052</w:t>
            </w:r>
          </w:p>
        </w:tc>
      </w:tr>
      <w:tr>
        <w:trPr>
          <w:cantSplit/>
        </w:trPr>
        <w:tc>
          <w:tcPr>
            <w:tcW w:type="dxa" w:w="325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Job role (n ≥ 300)</w:t>
            </w:r>
          </w:p>
        </w:tc>
        <w:tc>
          <w:tcPr>
            <w:tcW w:type="dxa" w:w="133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41,309</w:t>
            </w:r>
          </w:p>
        </w:tc>
        <w:tc>
          <w:tcPr>
            <w:tcW w:type="dxa" w:w="133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525.7</w:t>
            </w:r>
          </w:p>
        </w:tc>
        <w:tc>
          <w:tcPr>
            <w:tcW w:type="dxa" w:w="88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42</w:t>
            </w:r>
          </w:p>
        </w:tc>
        <w:tc>
          <w:tcPr>
            <w:tcW w:type="dxa" w:w="118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3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0.077</w:t>
            </w:r>
          </w:p>
        </w:tc>
      </w:tr>
      <w:tr>
        <w:trPr>
          <w:cantSplit/>
        </w:trPr>
        <w:tc>
          <w:tcPr>
            <w:tcW w:type="dxa" w:w="325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 (n ≥ 300)</w:t>
            </w:r>
          </w:p>
        </w:tc>
        <w:tc>
          <w:tcPr>
            <w:tcW w:type="dxa" w:w="133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34,962</w:t>
            </w:r>
          </w:p>
        </w:tc>
        <w:tc>
          <w:tcPr>
            <w:tcW w:type="dxa" w:w="133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718.4</w:t>
            </w:r>
          </w:p>
        </w:tc>
        <w:tc>
          <w:tcPr>
            <w:tcW w:type="dxa" w:w="88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58</w:t>
            </w:r>
          </w:p>
        </w:tc>
        <w:tc>
          <w:tcPr>
            <w:tcW w:type="dxa" w:w="118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&lt; 0.001</w:t>
            </w:r>
          </w:p>
        </w:tc>
        <w:tc>
          <w:tcPr>
            <w:tcW w:type="dxa" w:w="103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0.097</w:t>
            </w:r>
          </w:p>
        </w:tc>
      </w:tr>
    </w:tbl>
    <w:p>
      <w:pPr>
        <w:spacing w:after="160" w:before="0" w:line="240" w:lineRule="auto"/>
      </w:pPr>
    </w:p>
    <w:p>
      <w:pPr>
        <w:spacing w:after="120" w:before="0" w:line="360" w:lineRule="auto"/>
        <w:jc w:val="both"/>
      </w:pPr>
      <w:r>
        <w:rPr>
          <w:rFonts w:ascii="Times New Roman" w:cs="Times New Roman" w:eastAsia="Times New Roman" w:hAnsi="Times New Roman"/>
          <w:b/>
          <w:bCs/>
        </w:rPr>
        <w:t xml:space="preserve">India versus the rest.</w:t>
      </w:r>
      <w:r>
        <w:rPr>
          <w:rFonts w:ascii="Times New Roman" w:cs="Times New Roman" w:eastAsia="Times New Roman" w:hAnsi="Times New Roman"/>
        </w:rPr>
        <w:t xml:space="preserve"> Indian respondents are more favourable (mean 4.04 vs 3.90, p &lt; 0.001), trust AI output more (mean 3.49 vs 3.04, p &lt; 0.001) and rate its performance on complex tasks higher (mean 3.29 vs 2.81, p &lt; 0.001); they are also somewhat more likely to see AI as a job threat (17.1 % vs 11.6 %, p &lt; 0.001). Trust and favourability move together (ρ = 0.43), as do trust and perceived competence on complex tasks (ρ = 0.54).</w:t>
      </w: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5715000" cy="1828800"/>
            <wp:effectExtent t="0" r="0" b="0" l="0"/>
            <wp:docPr id="1" name="fig20_ai_attitudes_distribution.png" descr="Distribution of attitudes towards AI among respondents who use or plan to use AI tools." title="Distribution of attitudes towards AI among respondents who use or plan to use AI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8288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20</w:t>
      </w:r>
      <w:r>
        <w:fldChar w:fldCharType="end"/>
      </w:r>
      <w:r>
        <w:rPr>
          <w:rFonts w:ascii="Times New Roman" w:cs="Times New Roman" w:eastAsia="Times New Roman" w:hAnsi="Times New Roman"/>
          <w:sz w:val="22"/>
          <w:szCs w:val="22"/>
        </w:rPr>
        <w:t xml:space="preserve">: Distribution of attitudes towards AI among respondents who use or plan to use AI tools.</w:t>
      </w:r>
    </w:p>
    <w:p>
      <w:pPr>
        <w:keepNext/>
        <w:spacing w:after="0" w:before="120" w:line="240" w:lineRule="auto"/>
        <w:jc w:val="center"/>
      </w:pPr>
      <w:r>
        <w:drawing>
          <wp:inline distT="0" distB="0" distL="0" distR="0">
            <wp:extent cx="5715000" cy="2171700"/>
            <wp:effectExtent t="0" r="0" b="0" l="0"/>
            <wp:docPr id="1" name="fig21_trust_sentiment_by_experience.png" descr="Trust in AI accuracy (a) and sentiment (b) across experience bands (100 % stacked; red = negative, blue = positive)." title="Trust in AI accuracy (a) and sentiment (b) across experience bands (100 % stacked; red = negative, blue =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1717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21</w:t>
      </w:r>
      <w:r>
        <w:fldChar w:fldCharType="end"/>
      </w:r>
      <w:r>
        <w:rPr>
          <w:rFonts w:ascii="Times New Roman" w:cs="Times New Roman" w:eastAsia="Times New Roman" w:hAnsi="Times New Roman"/>
          <w:sz w:val="22"/>
          <w:szCs w:val="22"/>
        </w:rPr>
        <w:t xml:space="preserve">: Trust in AI accuracy (a) and sentiment (b) across experience bands (100 % stacked; red = negative, blue = positive).</w:t>
      </w:r>
    </w:p>
    <w:p>
      <w:pPr>
        <w:keepNext/>
        <w:spacing w:after="0" w:before="120" w:line="240" w:lineRule="auto"/>
        <w:jc w:val="center"/>
      </w:pPr>
      <w:r>
        <w:drawing>
          <wp:inline distT="0" distB="0" distL="0" distR="0">
            <wp:extent cx="5715000" cy="2533650"/>
            <wp:effectExtent t="0" r="0" b="0" l="0"/>
            <wp:docPr id="1" name="fig22_threat_by_role_age.png" descr="Share of respondents who see AI as a threat to their own job, by job role (a) and age (b); dashed line = overall." title="Share of respondents who see AI as a threat to their own job, by job role (a) and age (b); dashed line =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53365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22</w:t>
      </w:r>
      <w:r>
        <w:fldChar w:fldCharType="end"/>
      </w:r>
      <w:r>
        <w:rPr>
          <w:rFonts w:ascii="Times New Roman" w:cs="Times New Roman" w:eastAsia="Times New Roman" w:hAnsi="Times New Roman"/>
          <w:sz w:val="22"/>
          <w:szCs w:val="22"/>
        </w:rPr>
        <w:t xml:space="preserve">: Share of respondents who see AI as a threat to their own job, by job role (a) and age (b); dashed line = overall.</w:t>
      </w:r>
    </w:p>
    <w:p>
      <w:pPr>
        <w:keepNext/>
        <w:spacing w:after="0" w:before="120" w:line="240" w:lineRule="auto"/>
        <w:jc w:val="center"/>
      </w:pPr>
      <w:r>
        <w:drawing>
          <wp:inline distT="0" distB="0" distL="0" distR="0">
            <wp:extent cx="4000500" cy="3600450"/>
            <wp:effectExtent t="0" r="0" b="0" l="0"/>
            <wp:docPr id="1" name="fig23_attitude_correlations.png" descr="Spearman correlation matrix of AI attitude scores with experience and age." title="Spearman correlation matrix of AI attitude scores with experience and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360045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23</w:t>
      </w:r>
      <w:r>
        <w:fldChar w:fldCharType="end"/>
      </w:r>
      <w:r>
        <w:rPr>
          <w:rFonts w:ascii="Times New Roman" w:cs="Times New Roman" w:eastAsia="Times New Roman" w:hAnsi="Times New Roman"/>
          <w:sz w:val="22"/>
          <w:szCs w:val="22"/>
        </w:rPr>
        <w:t xml:space="preserve">: Spearman correlation matrix of AI attitude scores with experience and age.</w:t>
      </w:r>
    </w:p>
    <w:p>
      <w:pPr>
        <w:spacing w:after="120" w:before="0" w:line="360" w:lineRule="auto"/>
        <w:jc w:val="both"/>
      </w:pPr>
      <w:r>
        <w:rPr>
          <w:rFonts w:ascii="Times New Roman" w:cs="Times New Roman" w:eastAsia="Times New Roman" w:hAnsi="Times New Roman"/>
        </w:rPr>
        <w:t xml:space="preserve">Figure 20 shows the favourable-but-sceptical profile. Figure 21 shows almost identical stacked bars across experience bands — the visual counterpart of the tiny ρ values — with a slight shift towards distrust among the most experienced. Figure 22 shows that fear of job loss is highest among front-end developers, project managers, QA/test engineers and the youngest respondents and lowest among embedded developers and senior executives, but all confidence intervals sit within a narrow band around the overall rate. Figure 23 shows that the attitude scores form a coherent cluster (favourability, trust and perceived competence positively correlated; threat weakly negative). </w:t>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developers use AI tools enthusiastically but verify their output; the data give no evidence of widespread job-loss anxiety, and career stage matters much less for attitudes than for adoption (O4). These are stated attitudes from a self-selected sample at one moment in time.</w:t>
      </w:r>
    </w:p>
    <w:p>
      <w:pPr>
        <w:pStyle w:val="Heading2"/>
      </w:pPr>
      <w:r>
        <w:rPr>
          <w:rFonts w:ascii="Times New Roman" w:cs="Times New Roman" w:eastAsia="Times New Roman" w:hAnsi="Times New Roman"/>
        </w:rPr>
        <w:t xml:space="preserve">4.6 Objective O6 — Predicting annual compensation (regression)</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O6 asks whether a developer’s annual compensation can be predicted from the profile information that O1–O3 found to matter, and which family of models predicts it best. A useful model supports salary benchmarking and highlights which information carries predictive power.</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The prediction target is ln(USD pay) of the 20,794 cohort members, split into 16,635 training and 4,159 test rows. There are 21 raw predictors (country, role, experience variables, age, organisation size, education, work arrangement, Stack Overflow engagement, AI use and others; Section 3.8). Six models are compared: two baselines (global median; </w:t>
      </w:r>
      <w:r>
        <w:rPr>
          <w:rFonts w:ascii="Times New Roman" w:cs="Times New Roman" w:eastAsia="Times New Roman" w:hAnsi="Times New Roman"/>
          <w:i/>
          <w:iCs/>
        </w:rPr>
        <w:t xml:space="preserve">country median</w:t>
      </w:r>
      <w:r>
        <w:rPr>
          <w:rFonts w:ascii="Times New Roman" w:cs="Times New Roman" w:eastAsia="Times New Roman" w:hAnsi="Times New Roman"/>
        </w:rPr>
        <w:t xml:space="preserve">, a domain-aware benchmark that shows how much is plain geography) and four learning algorithms of increasing flexibility — </w:t>
      </w:r>
      <w:r>
        <w:rPr>
          <w:rFonts w:ascii="Times New Roman" w:cs="Times New Roman" w:eastAsia="Times New Roman" w:hAnsi="Times New Roman"/>
          <w:b/>
          <w:bCs/>
        </w:rPr>
        <w:t xml:space="preserve">Ridge regression</w:t>
      </w:r>
      <w:r>
        <w:rPr>
          <w:rFonts w:ascii="Times New Roman" w:cs="Times New Roman" w:eastAsia="Times New Roman" w:hAnsi="Times New Roman"/>
        </w:rPr>
        <w:t xml:space="preserve">, </w:t>
      </w: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w:t>
      </w:r>
      <w:r>
        <w:rPr>
          <w:rFonts w:ascii="Times New Roman" w:cs="Times New Roman" w:eastAsia="Times New Roman" w:hAnsi="Times New Roman"/>
          <w:b/>
          <w:bCs/>
        </w:rPr>
        <w:t xml:space="preserve">HistGradientBoosting</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LightGBM</w:t>
      </w:r>
      <w:r>
        <w:rPr>
          <w:rFonts w:ascii="Times New Roman" w:cs="Times New Roman" w:eastAsia="Times New Roman" w:hAnsi="Times New Roman"/>
        </w:rPr>
        <w:t xml:space="preserve">. Back-transformed predictions exp(ŷ) estimate the </w:t>
      </w:r>
      <w:r>
        <w:rPr>
          <w:rFonts w:ascii="Times New Roman" w:cs="Times New Roman" w:eastAsia="Times New Roman" w:hAnsi="Times New Roman"/>
          <w:i/>
          <w:iCs/>
        </w:rPr>
        <w:t xml:space="preserve">conditional median</w:t>
      </w:r>
      <w:r>
        <w:rPr>
          <w:rFonts w:ascii="Times New Roman" w:cs="Times New Roman" w:eastAsia="Times New Roman" w:hAnsi="Times New Roman"/>
        </w:rPr>
        <w:t xml:space="preserve"> pay.</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w:t>
      </w:r>
      <w:r>
        <w:rPr>
          <w:rFonts w:ascii="Courier New" w:cs="Courier New" w:eastAsia="Courier New" w:hAnsi="Courier New"/>
          <w:sz w:val="22"/>
          <w:szCs w:val="22"/>
        </w:rPr>
        <w:t xml:space="preserve">train_test_split(stratify=…)</w:t>
      </w:r>
      <w:r>
        <w:rPr>
          <w:rFonts w:ascii="Times New Roman" w:cs="Times New Roman" w:eastAsia="Times New Roman" w:hAnsi="Times New Roman"/>
        </w:rPr>
        <w:t xml:space="preserve">, </w:t>
      </w:r>
      <w:r>
        <w:rPr>
          <w:rFonts w:ascii="Courier New" w:cs="Courier New" w:eastAsia="Courier New" w:hAnsi="Courier New"/>
          <w:sz w:val="22"/>
          <w:szCs w:val="22"/>
        </w:rPr>
        <w:t xml:space="preserve">ColumnTransformer</w:t>
      </w:r>
      <w:r>
        <w:rPr>
          <w:rFonts w:ascii="Times New Roman" w:cs="Times New Roman" w:eastAsia="Times New Roman" w:hAnsi="Times New Roman"/>
        </w:rPr>
        <w:t xml:space="preserve"> / </w:t>
      </w:r>
      <w:r>
        <w:rPr>
          <w:rFonts w:ascii="Courier New" w:cs="Courier New" w:eastAsia="Courier New" w:hAnsi="Courier New"/>
          <w:sz w:val="22"/>
          <w:szCs w:val="22"/>
        </w:rPr>
        <w:t xml:space="preserve">Pipeline</w:t>
      </w:r>
      <w:r>
        <w:rPr>
          <w:rFonts w:ascii="Times New Roman" w:cs="Times New Roman" w:eastAsia="Times New Roman" w:hAnsi="Times New Roman"/>
        </w:rPr>
        <w:t xml:space="preserve"> (median imputation with missing-indicators, standardisation, one-hot encoding, ordinal encoding, cross-fitted </w:t>
      </w:r>
      <w:r>
        <w:rPr>
          <w:rFonts w:ascii="Courier New" w:cs="Courier New" w:eastAsia="Courier New" w:hAnsi="Courier New"/>
          <w:sz w:val="22"/>
          <w:szCs w:val="22"/>
        </w:rPr>
        <w:t xml:space="preserve">TargetEncoder</w:t>
      </w:r>
      <w:r>
        <w:rPr>
          <w:rFonts w:ascii="Times New Roman" w:cs="Times New Roman" w:eastAsia="Times New Roman" w:hAnsi="Times New Roman"/>
        </w:rPr>
        <w:t xml:space="preserve">), </w:t>
      </w:r>
      <w:r>
        <w:rPr>
          <w:rFonts w:ascii="Courier New" w:cs="Courier New" w:eastAsia="Courier New" w:hAnsi="Courier New"/>
          <w:sz w:val="22"/>
          <w:szCs w:val="22"/>
        </w:rPr>
        <w:t xml:space="preserve">RandomizedSearchCV</w:t>
      </w:r>
      <w:r>
        <w:rPr>
          <w:rFonts w:ascii="Times New Roman" w:cs="Times New Roman" w:eastAsia="Times New Roman" w:hAnsi="Times New Roman"/>
        </w:rPr>
        <w:t xml:space="preserve"> (8 candidates, 3-fold) for hyper-parameter tuning on the training set only, </w:t>
      </w:r>
      <w:r>
        <w:rPr>
          <w:rFonts w:ascii="Courier New" w:cs="Courier New" w:eastAsia="Courier New" w:hAnsi="Courier New"/>
          <w:sz w:val="22"/>
          <w:szCs w:val="22"/>
        </w:rPr>
        <w:t xml:space="preserve">cross_validate</w:t>
      </w:r>
      <w:r>
        <w:rPr>
          <w:rFonts w:ascii="Times New Roman" w:cs="Times New Roman" w:eastAsia="Times New Roman" w:hAnsi="Times New Roman"/>
        </w:rPr>
        <w:t xml:space="preserve"> (5-fold) for the fair comparison, and the helper </w:t>
      </w:r>
      <w:r>
        <w:rPr>
          <w:rFonts w:ascii="Courier New" w:cs="Courier New" w:eastAsia="Courier New" w:hAnsi="Courier New"/>
          <w:sz w:val="22"/>
          <w:szCs w:val="22"/>
        </w:rPr>
        <w:t xml:space="preserve">reg_metrics</w:t>
      </w:r>
      <w:r>
        <w:rPr>
          <w:rFonts w:ascii="Times New Roman" w:cs="Times New Roman" w:eastAsia="Times New Roman" w:hAnsi="Times New Roman"/>
        </w:rPr>
        <w:t xml:space="preserve">.</w:t>
      </w:r>
    </w:p>
    <w:p>
      <w:pPr>
        <w:spacing w:after="120" w:before="60" w:line="360" w:lineRule="auto"/>
        <w:jc w:val="center"/>
      </w:pPr>
      <w:r>
        <w:rPr>
          <w:rFonts w:ascii="Times New Roman" w:cs="Times New Roman" w:eastAsia="Times New Roman" w:hAnsi="Times New Roman"/>
          <w:sz w:val="22"/>
          <w:szCs w:val="22"/>
        </w:rPr>
        <w:t xml:space="preserve">Ridge:  β̂ = argmin</w:t>
      </w:r>
      <w:r>
        <w:rPr>
          <w:rFonts w:ascii="Times New Roman" w:cs="Times New Roman" w:eastAsia="Times New Roman" w:hAnsi="Times New Roman"/>
          <w:sz w:val="22"/>
          <w:szCs w:val="22"/>
          <w:vertAlign w:val="subscript"/>
        </w:rPr>
        <w:t xml:space="preserve">β</w:t>
      </w:r>
      <w:r>
        <w:rPr>
          <w:rFonts w:ascii="Times New Roman" w:cs="Times New Roman" w:eastAsia="Times New Roman" w:hAnsi="Times New Roman"/>
          <w:sz w:val="22"/>
          <w:szCs w:val="22"/>
        </w:rPr>
        <w:t xml:space="preserve"> Σ(y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′β)</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α‖β‖</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(shrinks coefficients; handles correlated experience variables)</w:t>
      </w:r>
    </w:p>
    <w:p>
      <w:pPr>
        <w:spacing w:after="120" w:before="60" w:line="360" w:lineRule="auto"/>
        <w:jc w:val="center"/>
      </w:pPr>
      <w:r>
        <w:rPr>
          <w:rFonts w:ascii="Times New Roman" w:cs="Times New Roman" w:eastAsia="Times New Roman" w:hAnsi="Times New Roman"/>
          <w:sz w:val="22"/>
          <w:szCs w:val="22"/>
        </w:rPr>
        <w:t xml:space="preserve">Random Forest:  ŷ(x) = (1/B) Σ</w:t>
      </w:r>
      <w:r>
        <w:rPr>
          <w:rFonts w:ascii="Times New Roman" w:cs="Times New Roman" w:eastAsia="Times New Roman" w:hAnsi="Times New Roman"/>
          <w:sz w:val="22"/>
          <w:szCs w:val="22"/>
          <w:vertAlign w:val="subscript"/>
        </w:rPr>
        <w:t xml:space="preserve">b=1</w:t>
      </w:r>
      <w:r>
        <w:rPr>
          <w:rFonts w:ascii="Times New Roman" w:cs="Times New Roman" w:eastAsia="Times New Roman" w:hAnsi="Times New Roman"/>
          <w:sz w:val="22"/>
          <w:szCs w:val="22"/>
          <w:vertAlign w:val="superscript"/>
        </w:rPr>
        <w:t xml:space="preserve">B</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(x)     (average of B de-correlated bootstrap trees)</w:t>
      </w:r>
    </w:p>
    <w:p>
      <w:pPr>
        <w:spacing w:after="120" w:before="60" w:line="360" w:lineRule="auto"/>
        <w:jc w:val="center"/>
      </w:pPr>
      <w:r>
        <w:rPr>
          <w:rFonts w:ascii="Times New Roman" w:cs="Times New Roman" w:eastAsia="Times New Roman" w:hAnsi="Times New Roman"/>
          <w:sz w:val="22"/>
          <w:szCs w:val="22"/>
        </w:rPr>
        <w:t xml:space="preserve">Gradient boosting:  F</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(x) = F</w:t>
      </w:r>
      <w:r>
        <w:rPr>
          <w:rFonts w:ascii="Times New Roman" w:cs="Times New Roman" w:eastAsia="Times New Roman" w:hAnsi="Times New Roman"/>
          <w:sz w:val="22"/>
          <w:szCs w:val="22"/>
          <w:vertAlign w:val="subscript"/>
        </w:rPr>
        <w:t xml:space="preserve">m−1</w:t>
      </w:r>
      <w:r>
        <w:rPr>
          <w:rFonts w:ascii="Times New Roman" w:cs="Times New Roman" w:eastAsia="Times New Roman" w:hAnsi="Times New Roman"/>
          <w:sz w:val="22"/>
          <w:szCs w:val="22"/>
        </w:rPr>
        <w:t xml:space="preserve">(x) + η·h</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(x),  h</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fitted to the residuals y − F</w:t>
      </w:r>
      <w:r>
        <w:rPr>
          <w:rFonts w:ascii="Times New Roman" w:cs="Times New Roman" w:eastAsia="Times New Roman" w:hAnsi="Times New Roman"/>
          <w:sz w:val="22"/>
          <w:szCs w:val="22"/>
          <w:vertAlign w:val="subscript"/>
        </w:rPr>
        <w:t xml:space="preserve">m−1</w:t>
      </w:r>
      <w:r>
        <w:rPr>
          <w:rFonts w:ascii="Times New Roman" w:cs="Times New Roman" w:eastAsia="Times New Roman" w:hAnsi="Times New Roman"/>
          <w:sz w:val="22"/>
          <w:szCs w:val="22"/>
        </w:rPr>
        <w:t xml:space="preserve">(x)     (HistGB and LightGBM use histogram split-finding)</w:t>
      </w:r>
    </w:p>
    <w:p>
      <w:pPr>
        <w:spacing w:after="120" w:before="60" w:line="360" w:lineRule="auto"/>
        <w:jc w:val="center"/>
      </w:pPr>
      <w:r>
        <w:rPr>
          <w:rFonts w:ascii="Times New Roman" w:cs="Times New Roman" w:eastAsia="Times New Roman" w:hAnsi="Times New Roman"/>
          <w:sz w:val="22"/>
          <w:szCs w:val="22"/>
        </w:rPr>
        <w:t xml:space="preserve">RMSE = √(Σe</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/n),  MAE = Σ|e</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|/n,  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1 − Σe</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/Σ(y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ȳ)</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MdAPE = median(|ŷ</w:t>
      </w:r>
      <w:r>
        <w:rPr>
          <w:rFonts w:ascii="Times New Roman" w:cs="Times New Roman" w:eastAsia="Times New Roman" w:hAnsi="Times New Roman"/>
          <w:sz w:val="22"/>
          <w:szCs w:val="22"/>
          <w:vertAlign w:val="subscript"/>
        </w:rPr>
        <w:t xml:space="preserve">USD</w:t>
      </w:r>
      <w:r>
        <w:rPr>
          <w:rFonts w:ascii="Times New Roman" w:cs="Times New Roman" w:eastAsia="Times New Roman" w:hAnsi="Times New Roman"/>
          <w:sz w:val="22"/>
          <w:szCs w:val="22"/>
        </w:rPr>
        <w:t xml:space="preserve"> − y</w:t>
      </w:r>
      <w:r>
        <w:rPr>
          <w:rFonts w:ascii="Times New Roman" w:cs="Times New Roman" w:eastAsia="Times New Roman" w:hAnsi="Times New Roman"/>
          <w:sz w:val="22"/>
          <w:szCs w:val="22"/>
          <w:vertAlign w:val="subscript"/>
        </w:rPr>
        <w:t xml:space="preserve">USD</w:t>
      </w:r>
      <w:r>
        <w:rPr>
          <w:rFonts w:ascii="Times New Roman" w:cs="Times New Roman" w:eastAsia="Times New Roman" w:hAnsi="Times New Roman"/>
          <w:sz w:val="22"/>
          <w:szCs w:val="22"/>
        </w:rPr>
        <w:t xml:space="preserve">| / y</w:t>
      </w:r>
      <w:r>
        <w:rPr>
          <w:rFonts w:ascii="Times New Roman" w:cs="Times New Roman" w:eastAsia="Times New Roman" w:hAnsi="Times New Roman"/>
          <w:sz w:val="22"/>
          <w:szCs w:val="22"/>
          <w:vertAlign w:val="subscript"/>
        </w:rPr>
        <w:t xml:space="preserve">USD</w:t>
      </w:r>
      <w:r>
        <w:rPr>
          <w:rFonts w:ascii="Times New Roman" w:cs="Times New Roman" w:eastAsia="Times New Roman" w:hAnsi="Times New Roman"/>
          <w:sz w:val="22"/>
          <w:szCs w:val="22"/>
        </w:rPr>
        <w:t xml:space="preserve">)</w:t>
      </w:r>
    </w:p>
    <w:p>
      <w:pPr>
        <w:spacing w:after="120" w:before="0" w:line="360" w:lineRule="auto"/>
        <w:jc w:val="both"/>
      </w:pPr>
      <w:r>
        <w:rPr>
          <w:rFonts w:ascii="Times New Roman" w:cs="Times New Roman" w:eastAsia="Times New Roman" w:hAnsi="Times New Roman"/>
          <w:b/>
          <w:bCs/>
        </w:rPr>
        <w:t xml:space="preserve">Pre-registered success criteria:</w:t>
      </w:r>
      <w:r>
        <w:rPr>
          <w:rFonts w:ascii="Times New Roman" w:cs="Times New Roman" w:eastAsia="Times New Roman" w:hAnsi="Times New Roman"/>
        </w:rPr>
        <w:t xml:space="preserve"> (a) the best model reduces the baseline test RMSE (log scale) by at least 40 %; (b) it beats the country-median baseline.</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rPr>
        <w:t xml:space="preserve">Table 21 gives cross-validated and hold-out results. The global-median baseline has a test R² of about zero by construction; the country-median baseline already reaches R² = 0.476 (RMSE 0.747), confirming O1. All four learning models improve on it: Ridge R² = 0.602, Random Forest 0.619, HistGradientBoosting 0.623 and </w:t>
      </w:r>
      <w:r>
        <w:rPr>
          <w:rFonts w:ascii="Times New Roman" w:cs="Times New Roman" w:eastAsia="Times New Roman" w:hAnsi="Times New Roman"/>
          <w:b/>
          <w:bCs/>
        </w:rPr>
        <w:t xml:space="preserve">LightGBM 0.624</w:t>
      </w:r>
      <w:r>
        <w:rPr>
          <w:rFonts w:ascii="Times New Roman" w:cs="Times New Roman" w:eastAsia="Times New Roman" w:hAnsi="Times New Roman"/>
        </w:rPr>
        <w:t xml:space="preserve">. The selected model (lowest cross-validated RMSE: 0.639) has a hold-out RMSE of 0.633 on the log scale (95 % bootstrap CI 0.607–0.661), R² = 0.624 (95 % CI 0.600–0.646), a mean absolute error of USD 28,585, a median absolute percentage error of 27.4 %, and 46.5 % of predictions fall within ±25 % of the true salary.</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21</w:t>
      </w:r>
      <w:r>
        <w:fldChar w:fldCharType="end"/>
      </w:r>
      <w:r>
        <w:rPr>
          <w:rFonts w:ascii="Times New Roman" w:cs="Times New Roman" w:eastAsia="Times New Roman" w:hAnsi="Times New Roman"/>
          <w:sz w:val="22"/>
          <w:szCs w:val="22"/>
        </w:rPr>
        <w:t xml:space="preserve">: Regression models: 5-fold CV on the training set and hold-out test performance (★ =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0"/>
        <w:gridCol w:w="1593"/>
        <w:gridCol w:w="743"/>
        <w:gridCol w:w="956"/>
        <w:gridCol w:w="743"/>
        <w:gridCol w:w="956"/>
        <w:gridCol w:w="956"/>
        <w:gridCol w:w="849"/>
      </w:tblGrid>
      <w:tr>
        <w:trPr>
          <w:cantSplit/>
          <w:tblHeader/>
        </w:trPr>
        <w:tc>
          <w:tcPr>
            <w:tcW w:type="dxa" w:w="223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Model</w:t>
            </w:r>
          </w:p>
        </w:tc>
        <w:tc>
          <w:tcPr>
            <w:tcW w:type="dxa" w:w="159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CV RMSE (log) ± SD</w:t>
            </w:r>
          </w:p>
        </w:tc>
        <w:tc>
          <w:tcPr>
            <w:tcW w:type="dxa" w:w="74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CV R²</w:t>
            </w:r>
          </w:p>
        </w:tc>
        <w:tc>
          <w:tcPr>
            <w:tcW w:type="dxa" w:w="95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Test RMSE (log)</w:t>
            </w:r>
          </w:p>
        </w:tc>
        <w:tc>
          <w:tcPr>
            <w:tcW w:type="dxa" w:w="74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Test R²</w:t>
            </w:r>
          </w:p>
        </w:tc>
        <w:tc>
          <w:tcPr>
            <w:tcW w:type="dxa" w:w="95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Test MAE (USD)</w:t>
            </w:r>
          </w:p>
        </w:tc>
        <w:tc>
          <w:tcPr>
            <w:tcW w:type="dxa" w:w="95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MdAPE (%)</w:t>
            </w:r>
          </w:p>
        </w:tc>
        <w:tc>
          <w:tcPr>
            <w:tcW w:type="dxa" w:w="84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Within ±25 %</w:t>
            </w:r>
          </w:p>
        </w:tc>
      </w:tr>
      <w:tr>
        <w:trPr>
          <w:cantSplit/>
        </w:trPr>
        <w:tc>
          <w:tcPr>
            <w:tcW w:type="dxa" w:w="223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Baseline: global median</w:t>
            </w:r>
          </w:p>
        </w:tc>
        <w:tc>
          <w:tcPr>
            <w:tcW w:type="dxa" w:w="15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1.065 ± 0.013</w:t>
            </w:r>
          </w:p>
        </w:tc>
        <w:tc>
          <w:tcPr>
            <w:tcW w:type="dxa" w:w="7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-0.035</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1.048</w:t>
            </w:r>
          </w:p>
        </w:tc>
        <w:tc>
          <w:tcPr>
            <w:tcW w:type="dxa" w:w="7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-0.032</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49,965</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48.8</w:t>
            </w:r>
          </w:p>
        </w:tc>
        <w:tc>
          <w:tcPr>
            <w:tcW w:type="dxa" w:w="84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25.7</w:t>
            </w:r>
          </w:p>
        </w:tc>
      </w:tr>
      <w:tr>
        <w:trPr>
          <w:cantSplit/>
        </w:trPr>
        <w:tc>
          <w:tcPr>
            <w:tcW w:type="dxa" w:w="223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Baseline: country median</w:t>
            </w:r>
          </w:p>
        </w:tc>
        <w:tc>
          <w:tcPr>
            <w:tcW w:type="dxa" w:w="15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0.763 ± 0.015</w:t>
            </w:r>
          </w:p>
        </w:tc>
        <w:tc>
          <w:tcPr>
            <w:tcW w:type="dxa" w:w="7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0.469</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0.747</w:t>
            </w:r>
          </w:p>
        </w:tc>
        <w:tc>
          <w:tcPr>
            <w:tcW w:type="dxa" w:w="7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0.476</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34,722</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34.5</w:t>
            </w:r>
          </w:p>
        </w:tc>
        <w:tc>
          <w:tcPr>
            <w:tcW w:type="dxa" w:w="84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37.2</w:t>
            </w:r>
          </w:p>
        </w:tc>
      </w:tr>
      <w:tr>
        <w:trPr>
          <w:cantSplit/>
        </w:trPr>
        <w:tc>
          <w:tcPr>
            <w:tcW w:type="dxa" w:w="223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Ridge regression</w:t>
            </w:r>
          </w:p>
        </w:tc>
        <w:tc>
          <w:tcPr>
            <w:tcW w:type="dxa" w:w="15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0.663 ± 0.011</w:t>
            </w:r>
          </w:p>
        </w:tc>
        <w:tc>
          <w:tcPr>
            <w:tcW w:type="dxa" w:w="7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0.599</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0.651</w:t>
            </w:r>
          </w:p>
        </w:tc>
        <w:tc>
          <w:tcPr>
            <w:tcW w:type="dxa" w:w="7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0.602</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29,659</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29.4</w:t>
            </w:r>
          </w:p>
        </w:tc>
        <w:tc>
          <w:tcPr>
            <w:tcW w:type="dxa" w:w="84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44.6</w:t>
            </w:r>
          </w:p>
        </w:tc>
      </w:tr>
      <w:tr>
        <w:trPr>
          <w:cantSplit/>
        </w:trPr>
        <w:tc>
          <w:tcPr>
            <w:tcW w:type="dxa" w:w="223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Random Forest</w:t>
            </w:r>
          </w:p>
        </w:tc>
        <w:tc>
          <w:tcPr>
            <w:tcW w:type="dxa" w:w="15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0.647 ± 0.008</w:t>
            </w:r>
          </w:p>
        </w:tc>
        <w:tc>
          <w:tcPr>
            <w:tcW w:type="dxa" w:w="7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0.618</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0.637</w:t>
            </w:r>
          </w:p>
        </w:tc>
        <w:tc>
          <w:tcPr>
            <w:tcW w:type="dxa" w:w="7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0.619</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28,923</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27.2</w:t>
            </w:r>
          </w:p>
        </w:tc>
        <w:tc>
          <w:tcPr>
            <w:tcW w:type="dxa" w:w="84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46.4</w:t>
            </w:r>
          </w:p>
        </w:tc>
      </w:tr>
      <w:tr>
        <w:trPr>
          <w:cantSplit/>
        </w:trPr>
        <w:tc>
          <w:tcPr>
            <w:tcW w:type="dxa" w:w="223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HistGradientBoosting</w:t>
            </w:r>
          </w:p>
        </w:tc>
        <w:tc>
          <w:tcPr>
            <w:tcW w:type="dxa" w:w="159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0.640 ± 0.009</w:t>
            </w:r>
          </w:p>
        </w:tc>
        <w:tc>
          <w:tcPr>
            <w:tcW w:type="dxa" w:w="7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0.626</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0.634</w:t>
            </w:r>
          </w:p>
        </w:tc>
        <w:tc>
          <w:tcPr>
            <w:tcW w:type="dxa" w:w="7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0.623</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28,817</w:t>
            </w:r>
          </w:p>
        </w:tc>
        <w:tc>
          <w:tcPr>
            <w:tcW w:type="dxa" w:w="95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27.6</w:t>
            </w:r>
          </w:p>
        </w:tc>
        <w:tc>
          <w:tcPr>
            <w:tcW w:type="dxa" w:w="84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46.3</w:t>
            </w:r>
          </w:p>
        </w:tc>
      </w:tr>
      <w:tr>
        <w:trPr>
          <w:cantSplit/>
        </w:trPr>
        <w:tc>
          <w:tcPr>
            <w:tcW w:type="dxa" w:w="223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LightGBM ★</w:t>
            </w:r>
          </w:p>
        </w:tc>
        <w:tc>
          <w:tcPr>
            <w:tcW w:type="dxa" w:w="159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0.639 ± 0.008</w:t>
            </w:r>
          </w:p>
        </w:tc>
        <w:tc>
          <w:tcPr>
            <w:tcW w:type="dxa" w:w="7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0.628</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0.633</w:t>
            </w:r>
          </w:p>
        </w:tc>
        <w:tc>
          <w:tcPr>
            <w:tcW w:type="dxa" w:w="7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0.624</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28,585</w:t>
            </w:r>
          </w:p>
        </w:tc>
        <w:tc>
          <w:tcPr>
            <w:tcW w:type="dxa" w:w="95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27.4</w:t>
            </w:r>
          </w:p>
        </w:tc>
        <w:tc>
          <w:tcPr>
            <w:tcW w:type="dxa" w:w="84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46.5</w:t>
            </w:r>
          </w:p>
        </w:tc>
      </w:tr>
    </w:tbl>
    <w:p>
      <w:pPr>
        <w:spacing w:after="160" w:before="0" w:line="240" w:lineRule="auto"/>
      </w:pPr>
    </w:p>
    <w:p>
      <w:pPr>
        <w:spacing w:after="120" w:before="0" w:line="360" w:lineRule="auto"/>
        <w:jc w:val="both"/>
      </w:pPr>
      <w:r>
        <w:rPr>
          <w:rFonts w:ascii="Times New Roman" w:cs="Times New Roman" w:eastAsia="Times New Roman" w:hAnsi="Times New Roman"/>
          <w:b/>
          <w:bCs/>
        </w:rPr>
        <w:t xml:space="preserve">Is the winner really better?</w:t>
      </w:r>
      <w:r>
        <w:rPr>
          <w:rFonts w:ascii="Times New Roman" w:cs="Times New Roman" w:eastAsia="Times New Roman" w:hAnsi="Times New Roman"/>
        </w:rPr>
        <w:t xml:space="preserve"> The four learners are close. A paired bootstrap of the test squared errors between LightGBM and the runner-up (HistGradientBoosting) gives a mean-squared-error difference with 95 % CI -0.0021 to 0.0052; LightGBM has the lower error in 80 % of resamples. Differences among the gradient-boosting variants are therefore small relative to the gap between learners and baselines, and the choice between them is a matter of marginal evidence, not a decisive win.</w:t>
      </w:r>
    </w:p>
    <w:p>
      <w:pPr>
        <w:spacing w:after="120" w:before="0" w:line="360" w:lineRule="auto"/>
        <w:jc w:val="both"/>
      </w:pPr>
      <w:r>
        <w:rPr>
          <w:rFonts w:ascii="Times New Roman" w:cs="Times New Roman" w:eastAsia="Times New Roman" w:hAnsi="Times New Roman"/>
          <w:b/>
          <w:bCs/>
        </w:rPr>
        <w:t xml:space="preserve">Success criteria.</w:t>
      </w:r>
      <w:r>
        <w:rPr>
          <w:rFonts w:ascii="Times New Roman" w:cs="Times New Roman" w:eastAsia="Times New Roman" w:hAnsi="Times New Roman"/>
        </w:rPr>
        <w:t xml:space="preserve"> (a) The test RMSE is 39.7 % lower than the global-median baseline — the 40 % target was therefore </w:t>
      </w:r>
      <w:r>
        <w:rPr>
          <w:rFonts w:ascii="Times New Roman" w:cs="Times New Roman" w:eastAsia="Times New Roman" w:hAnsi="Times New Roman"/>
          <w:b/>
          <w:bCs/>
        </w:rPr>
        <w:t xml:space="preserve">not met</w:t>
      </w:r>
      <w:r>
        <w:rPr>
          <w:rFonts w:ascii="Times New Roman" w:cs="Times New Roman" w:eastAsia="Times New Roman" w:hAnsi="Times New Roman"/>
        </w:rPr>
        <w:t xml:space="preserve">, narrowly. (b) It is 15.3 % lower than the country-median baseline — criterion met. The honest reading is that the data’s predictive ceiling is roughly R² ≈ 0.6: most of what these survey variables can explain is already captured by country and experience.</w:t>
      </w:r>
    </w:p>
    <w:p>
      <w:pPr>
        <w:spacing w:after="120" w:before="0" w:line="360" w:lineRule="auto"/>
        <w:jc w:val="both"/>
      </w:pPr>
      <w:r>
        <w:rPr>
          <w:rFonts w:ascii="Times New Roman" w:cs="Times New Roman" w:eastAsia="Times New Roman" w:hAnsi="Times New Roman"/>
          <w:b/>
          <w:bCs/>
        </w:rPr>
        <w:t xml:space="preserve">Tuned hyper-parameters of LightGBM:</w:t>
      </w:r>
      <w:r>
        <w:rPr>
          <w:rFonts w:ascii="Times New Roman" w:cs="Times New Roman" w:eastAsia="Times New Roman" w:hAnsi="Times New Roman"/>
        </w:rPr>
        <w:t xml:space="preserve"> subsample_freq = 1, subsample = 0.9, reg_lambda = 1, num_leaves = 7, min_child_samples = 50, learning_rate = 0.04, colsample_bytree = 0.8. Residuals on the log scale have mean 0.014, standard deviation 0.632, skewness -1.08 and excess kurtosis 6.03: they are centred but heavy-tailed, with a long negative tail of respondents earning far less than predicted (typically part-time, student or sub-contract earnings).</w:t>
      </w:r>
    </w:p>
    <w:p>
      <w:pPr>
        <w:spacing w:after="120" w:before="0" w:line="360" w:lineRule="auto"/>
        <w:jc w:val="both"/>
      </w:pPr>
      <w:r>
        <w:rPr>
          <w:rFonts w:ascii="Times New Roman" w:cs="Times New Roman" w:eastAsia="Times New Roman" w:hAnsi="Times New Roman"/>
          <w:b/>
          <w:bCs/>
        </w:rPr>
        <w:t xml:space="preserve">Sensitivity to the outlier policy</w:t>
      </w:r>
      <w:r>
        <w:rPr>
          <w:rFonts w:ascii="Times New Roman" w:cs="Times New Roman" w:eastAsia="Times New Roman" w:hAnsi="Times New Roman"/>
        </w:rPr>
        <w:t xml:space="preserve"> (Table 22): cross-validated RMSE of the tuned HistGradientBoosting model is 0.583–0.673 across the three policies — the stricter the filter, the smaller the error, as expected, because fewer extreme points remain; the chosen 3 × IQR rule is intermediate. Absolute error levels in this report are therefore conditional on the cleaning policy; only HistGradientBoosting was re-fitted under the alternatives, so the stability of the </w:t>
      </w:r>
      <w:r>
        <w:rPr>
          <w:rFonts w:ascii="Times New Roman" w:cs="Times New Roman" w:eastAsia="Times New Roman" w:hAnsi="Times New Roman"/>
          <w:i/>
          <w:iCs/>
        </w:rPr>
        <w:t xml:space="preserve">ranking</w:t>
      </w:r>
      <w:r>
        <w:rPr>
          <w:rFonts w:ascii="Times New Roman" w:cs="Times New Roman" w:eastAsia="Times New Roman" w:hAnsi="Times New Roman"/>
        </w:rPr>
        <w:t xml:space="preserve"> of models under other policies was not tested.</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22</w:t>
      </w:r>
      <w:r>
        <w:fldChar w:fldCharType="end"/>
      </w:r>
      <w:r>
        <w:rPr>
          <w:rFonts w:ascii="Times New Roman" w:cs="Times New Roman" w:eastAsia="Times New Roman" w:hAnsi="Times New Roman"/>
          <w:sz w:val="22"/>
          <w:szCs w:val="22"/>
        </w:rPr>
        <w:t xml:space="preserve">: Sensitivity of cross-validated performance to the outlier policy (HistGradientBoosting)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4"/>
        <w:gridCol w:w="1017"/>
        <w:gridCol w:w="1526"/>
        <w:gridCol w:w="1144"/>
        <w:gridCol w:w="1525"/>
      </w:tblGrid>
      <w:tr>
        <w:trPr>
          <w:cantSplit/>
          <w:tblHeader/>
        </w:trPr>
        <w:tc>
          <w:tcPr>
            <w:tcW w:type="dxa" w:w="381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Policy</w:t>
            </w:r>
          </w:p>
        </w:tc>
        <w:tc>
          <w:tcPr>
            <w:tcW w:type="dxa" w:w="101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c>
          <w:tcPr>
            <w:tcW w:type="dxa" w:w="152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CV RMSE (log)</w:t>
            </w:r>
          </w:p>
        </w:tc>
        <w:tc>
          <w:tcPr>
            <w:tcW w:type="dxa" w:w="114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CV R²</w:t>
            </w:r>
          </w:p>
        </w:tc>
        <w:tc>
          <w:tcPr>
            <w:tcW w:type="dxa" w:w="152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CV MAE (log)</w:t>
            </w:r>
          </w:p>
        </w:tc>
      </w:tr>
      <w:tr>
        <w:trPr>
          <w:cantSplit/>
        </w:trPr>
        <w:tc>
          <w:tcPr>
            <w:tcW w:type="dxa" w:w="381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Absolute bounds only (USD 1k–1M)</w:t>
            </w:r>
          </w:p>
        </w:tc>
        <w:tc>
          <w:tcPr>
            <w:tcW w:type="dxa" w:w="101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21,007</w:t>
            </w:r>
          </w:p>
        </w:tc>
        <w:tc>
          <w:tcPr>
            <w:tcW w:type="dxa" w:w="15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0.673</w:t>
            </w:r>
          </w:p>
        </w:tc>
        <w:tc>
          <w:tcPr>
            <w:tcW w:type="dxa" w:w="114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0.602</w:t>
            </w:r>
          </w:p>
        </w:tc>
        <w:tc>
          <w:tcPr>
            <w:tcW w:type="dxa" w:w="152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0.442</w:t>
            </w:r>
          </w:p>
        </w:tc>
      </w:tr>
      <w:tr>
        <w:trPr>
          <w:cantSplit/>
        </w:trPr>
        <w:tc>
          <w:tcPr>
            <w:tcW w:type="dxa" w:w="381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 3×IQR (chosen)</w:t>
            </w:r>
          </w:p>
        </w:tc>
        <w:tc>
          <w:tcPr>
            <w:tcW w:type="dxa" w:w="101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20,796</w:t>
            </w:r>
          </w:p>
        </w:tc>
        <w:tc>
          <w:tcPr>
            <w:tcW w:type="dxa" w:w="152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0.637</w:t>
            </w:r>
          </w:p>
        </w:tc>
        <w:tc>
          <w:tcPr>
            <w:tcW w:type="dxa" w:w="114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0.627</w:t>
            </w:r>
          </w:p>
        </w:tc>
        <w:tc>
          <w:tcPr>
            <w:tcW w:type="dxa" w:w="152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0.420</w:t>
            </w:r>
          </w:p>
        </w:tc>
      </w:tr>
      <w:tr>
        <w:trPr>
          <w:cantSplit/>
        </w:trPr>
        <w:tc>
          <w:tcPr>
            <w:tcW w:type="dxa" w:w="381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 1.5×IQR (strict)</w:t>
            </w:r>
          </w:p>
        </w:tc>
        <w:tc>
          <w:tcPr>
            <w:tcW w:type="dxa" w:w="101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20,136</w:t>
            </w:r>
          </w:p>
        </w:tc>
        <w:tc>
          <w:tcPr>
            <w:tcW w:type="dxa" w:w="152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0.583</w:t>
            </w:r>
          </w:p>
        </w:tc>
        <w:tc>
          <w:tcPr>
            <w:tcW w:type="dxa" w:w="114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0.660</w:t>
            </w:r>
          </w:p>
        </w:tc>
        <w:tc>
          <w:tcPr>
            <w:tcW w:type="dxa" w:w="152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0.388</w:t>
            </w:r>
          </w:p>
        </w:tc>
      </w:tr>
    </w:tbl>
    <w:p>
      <w:pPr>
        <w:spacing w:after="160" w:before="0" w:line="240" w:lineRule="auto"/>
      </w:pP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5715000" cy="1971675"/>
            <wp:effectExtent t="0" r="0" b="0" l="0"/>
            <wp:docPr id="1" name="fig24_regression_model_comparison.png" descr="Regression model comparison: cross-validated RMSE with ±1 SD (a), hold-out R² (b) and hold-out MAE in USD (c). Grey = baselines, orange = selected model." title="Regression model comparison: cross-validated RMSE with ±1 SD (a), hold-out R² (b) and hold-out MAE in USD (c). Grey = baselines, orange =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9716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24</w:t>
      </w:r>
      <w:r>
        <w:fldChar w:fldCharType="end"/>
      </w:r>
      <w:r>
        <w:rPr>
          <w:rFonts w:ascii="Times New Roman" w:cs="Times New Roman" w:eastAsia="Times New Roman" w:hAnsi="Times New Roman"/>
          <w:sz w:val="22"/>
          <w:szCs w:val="22"/>
        </w:rPr>
        <w:t xml:space="preserve">: Regression model comparison: cross-validated RMSE with ±1 SD (a), hold-out R² (b) and hold-out MAE in USD (c). Grey = baselines, orange = selected model.</w:t>
      </w:r>
    </w:p>
    <w:p>
      <w:pPr>
        <w:keepNext/>
        <w:spacing w:after="0" w:before="120" w:line="240" w:lineRule="auto"/>
        <w:jc w:val="center"/>
      </w:pPr>
      <w:r>
        <w:drawing>
          <wp:inline distT="0" distB="0" distL="0" distR="0">
            <wp:extent cx="5715000" cy="1971675"/>
            <wp:effectExtent t="0" r="0" b="0" l="0"/>
            <wp:docPr id="1" name="fig25_regression_diagnostics.png" descr="Diagnostics of the selected regression model on the hold-out set: predicted vs actual pay (a), residual distribution (b) and residuals vs fitted values with LOWESS (c)." title="Diagnostics of the selected regression model on the hold-out set: predicted vs actual pay (a), residual distribution (b) and residuals vs fitted values with LOWESS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9716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25</w:t>
      </w:r>
      <w:r>
        <w:fldChar w:fldCharType="end"/>
      </w:r>
      <w:r>
        <w:rPr>
          <w:rFonts w:ascii="Times New Roman" w:cs="Times New Roman" w:eastAsia="Times New Roman" w:hAnsi="Times New Roman"/>
          <w:sz w:val="22"/>
          <w:szCs w:val="22"/>
        </w:rPr>
        <w:t xml:space="preserve">: Diagnostics of the selected regression model on the hold-out set: predicted vs actual pay (a), residual distribution (b) and residuals vs fitted values with LOWESS (c).</w:t>
      </w:r>
    </w:p>
    <w:p>
      <w:pPr>
        <w:keepNext/>
        <w:spacing w:after="0" w:before="120" w:line="240" w:lineRule="auto"/>
        <w:jc w:val="center"/>
      </w:pPr>
      <w:r>
        <w:drawing>
          <wp:inline distT="0" distB="0" distL="0" distR="0">
            <wp:extent cx="3810000" cy="2362200"/>
            <wp:effectExtent t="0" r="0" b="0" l="0"/>
            <wp:docPr id="1" name="fig26_learning_curve.png" descr="Learning curve of the tuned gradient-boosting model: the validation error is still slowly falling, so more data would help slightly." title="Learning curve of the tuned gradient-boosting model: the validation error is still slowly falling, so more data would help sligh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10000" cy="236220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26</w:t>
      </w:r>
      <w:r>
        <w:fldChar w:fldCharType="end"/>
      </w:r>
      <w:r>
        <w:rPr>
          <w:rFonts w:ascii="Times New Roman" w:cs="Times New Roman" w:eastAsia="Times New Roman" w:hAnsi="Times New Roman"/>
          <w:sz w:val="22"/>
          <w:szCs w:val="22"/>
        </w:rPr>
        <w:t xml:space="preserve">: Learning curve of the tuned gradient-boosting model: the validation error is still slowly falling, so more data would help slightly.</w:t>
      </w:r>
    </w:p>
    <w:p>
      <w:pPr>
        <w:spacing w:after="120" w:before="0" w:line="360" w:lineRule="auto"/>
        <w:jc w:val="both"/>
      </w:pPr>
      <w:r>
        <w:rPr>
          <w:rFonts w:ascii="Times New Roman" w:cs="Times New Roman" w:eastAsia="Times New Roman" w:hAnsi="Times New Roman"/>
        </w:rPr>
        <w:t xml:space="preserve">Figure 24 shows the ordering baseline &lt; Ridge &lt; Random Forest &lt; gradient boosting on every metric. Figure 25 (a) shows predictions scattered around the diagonal with a tendency to over-predict very low salaries; (b) and (c) show roughly centred residuals with no strong dependence on the fitted value. The learning curve (Figure 26) shows the validation RMSE still falling slowly from 0.646 to 0.641 as the training set grows, and a gap to the training RMSE (0.612); more data, not a more complex model, is the better route to improvement. </w:t>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 model using only self-reported profile information predicts developer pay within about a quarter of the true value for roughly 47 % of developers, which is useful for benchmarking but not for individual salary-setting.</w:t>
      </w:r>
    </w:p>
    <w:p>
      <w:pPr>
        <w:pStyle w:val="Heading2"/>
      </w:pPr>
      <w:r>
        <w:rPr>
          <w:rFonts w:ascii="Times New Roman" w:cs="Times New Roman" w:eastAsia="Times New Roman" w:hAnsi="Times New Roman"/>
        </w:rPr>
        <w:t xml:space="preserve">4.7 Objective O7 — Predicting AI-tool adoption (classification)</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O7 asks whether a developer’s current use of AI tools can be predicted from their background alone, and shows — by deliberate contrast — how badly the answer is distorted if leaky variables are allowed.</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The target is binary (1 = currently uses AI tools; prevalence 61.8 %). The 48,725 training and 12,182 test rows are split with stratification on the label. Predictors are the same profile variables as in O6 plus the respondent’s coding relationship (professional, learner, hobbyist…) but </w:t>
      </w:r>
      <w:r>
        <w:rPr>
          <w:rFonts w:ascii="Times New Roman" w:cs="Times New Roman" w:eastAsia="Times New Roman" w:hAnsi="Times New Roman"/>
          <w:i/>
          <w:iCs/>
        </w:rPr>
        <w:t xml:space="preserve">not</w:t>
      </w:r>
      <w:r>
        <w:rPr>
          <w:rFonts w:ascii="Times New Roman" w:cs="Times New Roman" w:eastAsia="Times New Roman" w:hAnsi="Times New Roman"/>
        </w:rPr>
        <w:t xml:space="preserve"> salary, and never the four conditional AI follow-up questions. Models: a majority-class baseline, </w:t>
      </w:r>
      <w:r>
        <w:rPr>
          <w:rFonts w:ascii="Times New Roman" w:cs="Times New Roman" w:eastAsia="Times New Roman" w:hAnsi="Times New Roman"/>
          <w:b/>
          <w:bCs/>
        </w:rPr>
        <w:t xml:space="preserve">Logistic Regression</w:t>
      </w:r>
      <w:r>
        <w:rPr>
          <w:rFonts w:ascii="Times New Roman" w:cs="Times New Roman" w:eastAsia="Times New Roman" w:hAnsi="Times New Roman"/>
        </w:rPr>
        <w:t xml:space="preserve">, </w:t>
      </w: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w:t>
      </w:r>
      <w:r>
        <w:rPr>
          <w:rFonts w:ascii="Times New Roman" w:cs="Times New Roman" w:eastAsia="Times New Roman" w:hAnsi="Times New Roman"/>
          <w:b/>
          <w:bCs/>
        </w:rPr>
        <w:t xml:space="preserve">HistGradientBoosting</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LightGBM</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the same pipelines as O6 with </w:t>
      </w:r>
      <w:r>
        <w:rPr>
          <w:rFonts w:ascii="Courier New" w:cs="Courier New" w:eastAsia="Courier New" w:hAnsi="Courier New"/>
          <w:sz w:val="22"/>
          <w:szCs w:val="22"/>
        </w:rPr>
        <w:t xml:space="preserve">StratifiedKFold</w:t>
      </w:r>
      <w:r>
        <w:rPr>
          <w:rFonts w:ascii="Times New Roman" w:cs="Times New Roman" w:eastAsia="Times New Roman" w:hAnsi="Times New Roman"/>
        </w:rPr>
        <w:t xml:space="preserve">, </w:t>
      </w:r>
      <w:r>
        <w:rPr>
          <w:rFonts w:ascii="Courier New" w:cs="Courier New" w:eastAsia="Courier New" w:hAnsi="Courier New"/>
          <w:sz w:val="22"/>
          <w:szCs w:val="22"/>
        </w:rPr>
        <w:t xml:space="preserve">LogisticRegression</w:t>
      </w:r>
      <w:r>
        <w:rPr>
          <w:rFonts w:ascii="Times New Roman" w:cs="Times New Roman" w:eastAsia="Times New Roman" w:hAnsi="Times New Roman"/>
        </w:rPr>
        <w:t xml:space="preserve">, </w:t>
      </w:r>
      <w:r>
        <w:rPr>
          <w:rFonts w:ascii="Courier New" w:cs="Courier New" w:eastAsia="Courier New" w:hAnsi="Courier New"/>
          <w:sz w:val="22"/>
          <w:szCs w:val="22"/>
        </w:rPr>
        <w:t xml:space="preserve">RandomForestClassifier</w:t>
      </w:r>
      <w:r>
        <w:rPr>
          <w:rFonts w:ascii="Times New Roman" w:cs="Times New Roman" w:eastAsia="Times New Roman" w:hAnsi="Times New Roman"/>
        </w:rPr>
        <w:t xml:space="preserve">, </w:t>
      </w:r>
      <w:r>
        <w:rPr>
          <w:rFonts w:ascii="Courier New" w:cs="Courier New" w:eastAsia="Courier New" w:hAnsi="Courier New"/>
          <w:sz w:val="22"/>
          <w:szCs w:val="22"/>
        </w:rPr>
        <w:t xml:space="preserve">HistGradientBoostingClassifier</w:t>
      </w:r>
      <w:r>
        <w:rPr>
          <w:rFonts w:ascii="Times New Roman" w:cs="Times New Roman" w:eastAsia="Times New Roman" w:hAnsi="Times New Roman"/>
        </w:rPr>
        <w:t xml:space="preserve">, </w:t>
      </w:r>
      <w:r>
        <w:rPr>
          <w:rFonts w:ascii="Courier New" w:cs="Courier New" w:eastAsia="Courier New" w:hAnsi="Courier New"/>
          <w:sz w:val="22"/>
          <w:szCs w:val="22"/>
        </w:rPr>
        <w:t xml:space="preserve">LGBMClassifier</w:t>
      </w:r>
      <w:r>
        <w:rPr>
          <w:rFonts w:ascii="Times New Roman" w:cs="Times New Roman" w:eastAsia="Times New Roman" w:hAnsi="Times New Roman"/>
        </w:rPr>
        <w:t xml:space="preserve">, </w:t>
      </w:r>
      <w:r>
        <w:rPr>
          <w:rFonts w:ascii="Courier New" w:cs="Courier New" w:eastAsia="Courier New" w:hAnsi="Courier New"/>
          <w:sz w:val="22"/>
          <w:szCs w:val="22"/>
        </w:rPr>
        <w:t xml:space="preserve">roc_curve</w:t>
      </w:r>
      <w:r>
        <w:rPr>
          <w:rFonts w:ascii="Times New Roman" w:cs="Times New Roman" w:eastAsia="Times New Roman" w:hAnsi="Times New Roman"/>
        </w:rPr>
        <w:t xml:space="preserve">, </w:t>
      </w:r>
      <w:r>
        <w:rPr>
          <w:rFonts w:ascii="Courier New" w:cs="Courier New" w:eastAsia="Courier New" w:hAnsi="Courier New"/>
          <w:sz w:val="22"/>
          <w:szCs w:val="22"/>
        </w:rPr>
        <w:t xml:space="preserve">precision_recall_curve</w:t>
      </w:r>
      <w:r>
        <w:rPr>
          <w:rFonts w:ascii="Times New Roman" w:cs="Times New Roman" w:eastAsia="Times New Roman" w:hAnsi="Times New Roman"/>
        </w:rPr>
        <w:t xml:space="preserve">, </w:t>
      </w:r>
      <w:r>
        <w:rPr>
          <w:rFonts w:ascii="Courier New" w:cs="Courier New" w:eastAsia="Courier New" w:hAnsi="Courier New"/>
          <w:sz w:val="22"/>
          <w:szCs w:val="22"/>
        </w:rPr>
        <w:t xml:space="preserve">calibration_curve</w:t>
      </w:r>
      <w:r>
        <w:rPr>
          <w:rFonts w:ascii="Times New Roman" w:cs="Times New Roman" w:eastAsia="Times New Roman" w:hAnsi="Times New Roman"/>
        </w:rPr>
        <w:t xml:space="preserve">, </w:t>
      </w:r>
      <w:r>
        <w:rPr>
          <w:rFonts w:ascii="Courier New" w:cs="Courier New" w:eastAsia="Courier New" w:hAnsi="Courier New"/>
          <w:sz w:val="22"/>
          <w:szCs w:val="22"/>
        </w:rPr>
        <w:t xml:space="preserve">cross_val_predict</w:t>
      </w:r>
      <w:r>
        <w:rPr>
          <w:rFonts w:ascii="Times New Roman" w:cs="Times New Roman" w:eastAsia="Times New Roman" w:hAnsi="Times New Roman"/>
        </w:rPr>
        <w:t xml:space="preserve"> (out-of-fold probabilities for threshold selection) and </w:t>
      </w:r>
      <w:r>
        <w:rPr>
          <w:rFonts w:ascii="Courier New" w:cs="Courier New" w:eastAsia="Courier New" w:hAnsi="Courier New"/>
          <w:sz w:val="22"/>
          <w:szCs w:val="22"/>
        </w:rPr>
        <w:t xml:space="preserve">clf_metrics</w:t>
      </w:r>
      <w:r>
        <w:rPr>
          <w:rFonts w:ascii="Times New Roman" w:cs="Times New Roman" w:eastAsia="Times New Roman" w:hAnsi="Times New Roman"/>
        </w:rPr>
        <w:t xml:space="preserve">.</w:t>
      </w:r>
    </w:p>
    <w:p>
      <w:pPr>
        <w:spacing w:after="120" w:before="60" w:line="360" w:lineRule="auto"/>
        <w:jc w:val="center"/>
      </w:pPr>
      <w:r>
        <w:rPr>
          <w:rFonts w:ascii="Times New Roman" w:cs="Times New Roman" w:eastAsia="Times New Roman" w:hAnsi="Times New Roman"/>
          <w:sz w:val="22"/>
          <w:szCs w:val="22"/>
        </w:rPr>
        <w:t xml:space="preserve">Logistic regression:  P(y=1|x) = 1 / (1 + e</w:t>
      </w:r>
      <w:r>
        <w:rPr>
          <w:rFonts w:ascii="Times New Roman" w:cs="Times New Roman" w:eastAsia="Times New Roman" w:hAnsi="Times New Roman"/>
          <w:sz w:val="22"/>
          <w:szCs w:val="22"/>
          <w:vertAlign w:val="superscript"/>
        </w:rPr>
        <w:t xml:space="preserve">−(β_{0</w:t>
      </w:r>
      <w:r>
        <w:rPr>
          <w:rFonts w:ascii="Times New Roman" w:cs="Times New Roman" w:eastAsia="Times New Roman" w:hAnsi="Times New Roman"/>
          <w:sz w:val="22"/>
          <w:szCs w:val="22"/>
        </w:rPr>
        <w:t xml:space="preserve"> + x′β)})     (log-odds are linear in the features)</w:t>
      </w:r>
    </w:p>
    <w:p>
      <w:pPr>
        <w:spacing w:after="120" w:before="60" w:line="360" w:lineRule="auto"/>
        <w:jc w:val="center"/>
      </w:pPr>
      <w:r>
        <w:rPr>
          <w:rFonts w:ascii="Times New Roman" w:cs="Times New Roman" w:eastAsia="Times New Roman" w:hAnsi="Times New Roman"/>
          <w:sz w:val="22"/>
          <w:szCs w:val="22"/>
        </w:rPr>
        <w:t xml:space="preserve">Precision = TP/(TP+FP),  Recall = TP/(TP+FN),  F</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2PR/(P+R),  Balanced accuracy = (TPR + TNR)/2,  Brier = Σ(p̂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/n</w:t>
      </w:r>
    </w:p>
    <w:p>
      <w:pPr>
        <w:spacing w:after="120" w:before="60" w:line="360" w:lineRule="auto"/>
        <w:jc w:val="center"/>
      </w:pPr>
      <w:r>
        <w:rPr>
          <w:rFonts w:ascii="Times New Roman" w:cs="Times New Roman" w:eastAsia="Times New Roman" w:hAnsi="Times New Roman"/>
          <w:sz w:val="22"/>
          <w:szCs w:val="22"/>
        </w:rPr>
        <w:t xml:space="preserve">ROC-AUC = P(p̂</w:t>
      </w:r>
      <w:r>
        <w:rPr>
          <w:rFonts w:ascii="Times New Roman" w:cs="Times New Roman" w:eastAsia="Times New Roman" w:hAnsi="Times New Roman"/>
          <w:sz w:val="22"/>
          <w:szCs w:val="22"/>
          <w:vertAlign w:val="subscript"/>
        </w:rPr>
        <w:t xml:space="preserve">pos</w:t>
      </w:r>
      <w:r>
        <w:rPr>
          <w:rFonts w:ascii="Times New Roman" w:cs="Times New Roman" w:eastAsia="Times New Roman" w:hAnsi="Times New Roman"/>
          <w:sz w:val="22"/>
          <w:szCs w:val="22"/>
        </w:rPr>
        <w:t xml:space="preserve"> &gt; p̂</w:t>
      </w:r>
      <w:r>
        <w:rPr>
          <w:rFonts w:ascii="Times New Roman" w:cs="Times New Roman" w:eastAsia="Times New Roman" w:hAnsi="Times New Roman"/>
          <w:sz w:val="22"/>
          <w:szCs w:val="22"/>
          <w:vertAlign w:val="subscript"/>
        </w:rPr>
        <w:t xml:space="preserve">neg</w:t>
      </w:r>
      <w:r>
        <w:rPr>
          <w:rFonts w:ascii="Times New Roman" w:cs="Times New Roman" w:eastAsia="Times New Roman" w:hAnsi="Times New Roman"/>
          <w:sz w:val="22"/>
          <w:szCs w:val="22"/>
        </w:rPr>
        <w:t xml:space="preserve">) = area under TPR-versus-FPR curve</w:t>
      </w:r>
    </w:p>
    <w:p>
      <w:pPr>
        <w:spacing w:after="120" w:before="0" w:line="360" w:lineRule="auto"/>
        <w:jc w:val="both"/>
      </w:pPr>
      <w:r>
        <w:rPr>
          <w:rFonts w:ascii="Times New Roman" w:cs="Times New Roman" w:eastAsia="Times New Roman" w:hAnsi="Times New Roman"/>
          <w:b/>
          <w:bCs/>
        </w:rPr>
        <w:t xml:space="preserve">Pre-registered success criteria:</w:t>
      </w:r>
      <w:r>
        <w:rPr>
          <w:rFonts w:ascii="Times New Roman" w:cs="Times New Roman" w:eastAsia="Times New Roman" w:hAnsi="Times New Roman"/>
        </w:rPr>
        <w:t xml:space="preserve"> ROC-AUC ≥ 0.65 on the hold-out set, and F1 above the majority-class baseline.</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b/>
          <w:bCs/>
        </w:rPr>
        <w:t xml:space="preserve">Leakage demonstration.</w:t>
      </w:r>
      <w:r>
        <w:rPr>
          <w:rFonts w:ascii="Times New Roman" w:cs="Times New Roman" w:eastAsia="Times New Roman" w:hAnsi="Times New Roman"/>
        </w:rPr>
        <w:t xml:space="preserve"> One identical gradient-boosting model reaches a hold-out ROC-AUC of </w:t>
      </w:r>
      <w:r>
        <w:rPr>
          <w:rFonts w:ascii="Times New Roman" w:cs="Times New Roman" w:eastAsia="Times New Roman" w:hAnsi="Times New Roman"/>
          <w:b/>
          <w:bCs/>
        </w:rPr>
        <w:t xml:space="preserve">0.665</w:t>
      </w:r>
      <w:r>
        <w:rPr>
          <w:rFonts w:ascii="Times New Roman" w:cs="Times New Roman" w:eastAsia="Times New Roman" w:hAnsi="Times New Roman"/>
        </w:rPr>
        <w:t xml:space="preserve"> with legitimate predictors but </w:t>
      </w:r>
      <w:r>
        <w:rPr>
          <w:rFonts w:ascii="Times New Roman" w:cs="Times New Roman" w:eastAsia="Times New Roman" w:hAnsi="Times New Roman"/>
          <w:b/>
          <w:bCs/>
        </w:rPr>
        <w:t xml:space="preserve">1.000</w:t>
      </w:r>
      <w:r>
        <w:rPr>
          <w:rFonts w:ascii="Times New Roman" w:cs="Times New Roman" w:eastAsia="Times New Roman" w:hAnsi="Times New Roman"/>
        </w:rPr>
        <w:t xml:space="preserve"> when the four conditional AI follow-up variables are added — a perfect-looking but meaningless score of +0.335 that arises because “was the question answered?” reveals the label (Table 18). All reported results exclude these variables.</w:t>
      </w:r>
    </w:p>
    <w:p>
      <w:pPr>
        <w:spacing w:after="120" w:before="0" w:line="360" w:lineRule="auto"/>
        <w:jc w:val="both"/>
      </w:pPr>
      <w:r>
        <w:rPr>
          <w:rFonts w:ascii="Times New Roman" w:cs="Times New Roman" w:eastAsia="Times New Roman" w:hAnsi="Times New Roman"/>
        </w:rPr>
        <w:t xml:space="preserve">Table 23 compares the models. Every learning model reaches a cross-validated ROC-AUC of about 0.66–0.67, and the selected LightGBM has a hold-out ROC-AUC of 0.669 (95 % bootstrap CI 0.660–0.679). Models differ by about 0.01 AUC or less, so the choice among them is not decisive; the simplest (Logistic Regression) is almost as good as the most complex.</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23</w:t>
      </w:r>
      <w:r>
        <w:fldChar w:fldCharType="end"/>
      </w:r>
      <w:r>
        <w:rPr>
          <w:rFonts w:ascii="Times New Roman" w:cs="Times New Roman" w:eastAsia="Times New Roman" w:hAnsi="Times New Roman"/>
          <w:sz w:val="22"/>
          <w:szCs w:val="22"/>
        </w:rPr>
        <w:t xml:space="preserve">: Classification models: 5-fold CV ROC-AUC and hold-out metrics at threshold 0.5 (★ =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4"/>
        <w:gridCol w:w="1504"/>
        <w:gridCol w:w="698"/>
        <w:gridCol w:w="698"/>
        <w:gridCol w:w="752"/>
        <w:gridCol w:w="645"/>
        <w:gridCol w:w="860"/>
        <w:gridCol w:w="806"/>
        <w:gridCol w:w="699"/>
      </w:tblGrid>
      <w:tr>
        <w:trPr>
          <w:cantSplit/>
          <w:tblHeader/>
        </w:trPr>
        <w:tc>
          <w:tcPr>
            <w:tcW w:type="dxa" w:w="236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Model</w:t>
            </w:r>
          </w:p>
        </w:tc>
        <w:tc>
          <w:tcPr>
            <w:tcW w:type="dxa" w:w="150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CV ROC-AUC ± SD</w:t>
            </w:r>
          </w:p>
        </w:tc>
        <w:tc>
          <w:tcPr>
            <w:tcW w:type="dxa" w:w="69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Acc.</w:t>
            </w:r>
          </w:p>
        </w:tc>
        <w:tc>
          <w:tcPr>
            <w:tcW w:type="dxa" w:w="69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Prec.</w:t>
            </w:r>
          </w:p>
        </w:tc>
        <w:tc>
          <w:tcPr>
            <w:tcW w:type="dxa" w:w="75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Recall</w:t>
            </w:r>
          </w:p>
        </w:tc>
        <w:tc>
          <w:tcPr>
            <w:tcW w:type="dxa" w:w="645"/>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F1</w:t>
            </w:r>
          </w:p>
        </w:tc>
        <w:tc>
          <w:tcPr>
            <w:tcW w:type="dxa" w:w="860"/>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ROC-AUC</w:t>
            </w:r>
          </w:p>
        </w:tc>
        <w:tc>
          <w:tcPr>
            <w:tcW w:type="dxa" w:w="80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PR-AUC</w:t>
            </w:r>
          </w:p>
        </w:tc>
        <w:tc>
          <w:tcPr>
            <w:tcW w:type="dxa" w:w="69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Brier</w:t>
            </w:r>
          </w:p>
        </w:tc>
      </w:tr>
      <w:tr>
        <w:trPr>
          <w:cantSplit/>
        </w:trPr>
        <w:tc>
          <w:tcPr>
            <w:tcW w:type="dxa" w:w="236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Baseline: majority class</w:t>
            </w:r>
          </w:p>
        </w:tc>
        <w:tc>
          <w:tcPr>
            <w:tcW w:type="dxa" w:w="150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0.500 ± 0.000</w:t>
            </w:r>
          </w:p>
        </w:tc>
        <w:tc>
          <w:tcPr>
            <w:tcW w:type="dxa" w:w="69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0.618</w:t>
            </w:r>
          </w:p>
        </w:tc>
        <w:tc>
          <w:tcPr>
            <w:tcW w:type="dxa" w:w="69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0.618</w:t>
            </w:r>
          </w:p>
        </w:tc>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1.000</w:t>
            </w:r>
          </w:p>
        </w:tc>
        <w:tc>
          <w:tcPr>
            <w:tcW w:type="dxa" w:w="64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0.764</w:t>
            </w:r>
          </w:p>
        </w:tc>
        <w:tc>
          <w:tcPr>
            <w:tcW w:type="dxa" w:w="8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0.500</w:t>
            </w:r>
          </w:p>
        </w:tc>
        <w:tc>
          <w:tcPr>
            <w:tcW w:type="dxa" w:w="8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0.618</w:t>
            </w:r>
          </w:p>
        </w:tc>
        <w:tc>
          <w:tcPr>
            <w:tcW w:type="dxa" w:w="69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0.236</w:t>
            </w:r>
          </w:p>
        </w:tc>
      </w:tr>
      <w:tr>
        <w:trPr>
          <w:cantSplit/>
        </w:trPr>
        <w:tc>
          <w:tcPr>
            <w:tcW w:type="dxa" w:w="236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Logistic Regression</w:t>
            </w:r>
          </w:p>
        </w:tc>
        <w:tc>
          <w:tcPr>
            <w:tcW w:type="dxa" w:w="150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0.666 ± 0.008</w:t>
            </w:r>
          </w:p>
        </w:tc>
        <w:tc>
          <w:tcPr>
            <w:tcW w:type="dxa" w:w="69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0.655</w:t>
            </w:r>
          </w:p>
        </w:tc>
        <w:tc>
          <w:tcPr>
            <w:tcW w:type="dxa" w:w="69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0.670</w:t>
            </w:r>
          </w:p>
        </w:tc>
        <w:tc>
          <w:tcPr>
            <w:tcW w:type="dxa" w:w="75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0.872</w:t>
            </w:r>
          </w:p>
        </w:tc>
        <w:tc>
          <w:tcPr>
            <w:tcW w:type="dxa" w:w="64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0.758</w:t>
            </w:r>
          </w:p>
        </w:tc>
        <w:tc>
          <w:tcPr>
            <w:tcW w:type="dxa" w:w="8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0.666</w:t>
            </w:r>
          </w:p>
        </w:tc>
        <w:tc>
          <w:tcPr>
            <w:tcW w:type="dxa" w:w="8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0.753</w:t>
            </w:r>
          </w:p>
        </w:tc>
        <w:tc>
          <w:tcPr>
            <w:tcW w:type="dxa" w:w="69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0.217</w:t>
            </w:r>
          </w:p>
        </w:tc>
      </w:tr>
      <w:tr>
        <w:trPr>
          <w:cantSplit/>
        </w:trPr>
        <w:tc>
          <w:tcPr>
            <w:tcW w:type="dxa" w:w="236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Random Forest</w:t>
            </w:r>
          </w:p>
        </w:tc>
        <w:tc>
          <w:tcPr>
            <w:tcW w:type="dxa" w:w="150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0.663 ± 0.006</w:t>
            </w:r>
          </w:p>
        </w:tc>
        <w:tc>
          <w:tcPr>
            <w:tcW w:type="dxa" w:w="69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0.649</w:t>
            </w:r>
          </w:p>
        </w:tc>
        <w:tc>
          <w:tcPr>
            <w:tcW w:type="dxa" w:w="69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0.665</w:t>
            </w:r>
          </w:p>
        </w:tc>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0.872</w:t>
            </w:r>
          </w:p>
        </w:tc>
        <w:tc>
          <w:tcPr>
            <w:tcW w:type="dxa" w:w="64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0.754</w:t>
            </w:r>
          </w:p>
        </w:tc>
        <w:tc>
          <w:tcPr>
            <w:tcW w:type="dxa" w:w="8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0.659</w:t>
            </w:r>
          </w:p>
        </w:tc>
        <w:tc>
          <w:tcPr>
            <w:tcW w:type="dxa" w:w="8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0.747</w:t>
            </w:r>
          </w:p>
        </w:tc>
        <w:tc>
          <w:tcPr>
            <w:tcW w:type="dxa" w:w="69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0.218</w:t>
            </w:r>
          </w:p>
        </w:tc>
      </w:tr>
      <w:tr>
        <w:trPr>
          <w:cantSplit/>
        </w:trPr>
        <w:tc>
          <w:tcPr>
            <w:tcW w:type="dxa" w:w="236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HistGradientBoosting</w:t>
            </w:r>
          </w:p>
        </w:tc>
        <w:tc>
          <w:tcPr>
            <w:tcW w:type="dxa" w:w="150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0.669 ± 0.006</w:t>
            </w:r>
          </w:p>
        </w:tc>
        <w:tc>
          <w:tcPr>
            <w:tcW w:type="dxa" w:w="69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0.652</w:t>
            </w:r>
          </w:p>
        </w:tc>
        <w:tc>
          <w:tcPr>
            <w:tcW w:type="dxa" w:w="69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0.669</w:t>
            </w:r>
          </w:p>
        </w:tc>
        <w:tc>
          <w:tcPr>
            <w:tcW w:type="dxa" w:w="75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0.866</w:t>
            </w:r>
          </w:p>
        </w:tc>
        <w:tc>
          <w:tcPr>
            <w:tcW w:type="dxa" w:w="645"/>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0.755</w:t>
            </w:r>
          </w:p>
        </w:tc>
        <w:tc>
          <w:tcPr>
            <w:tcW w:type="dxa" w:w="860"/>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0.664</w:t>
            </w:r>
          </w:p>
        </w:tc>
        <w:tc>
          <w:tcPr>
            <w:tcW w:type="dxa" w:w="80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0.751</w:t>
            </w:r>
          </w:p>
        </w:tc>
        <w:tc>
          <w:tcPr>
            <w:tcW w:type="dxa" w:w="69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0.217</w:t>
            </w:r>
          </w:p>
        </w:tc>
      </w:tr>
      <w:tr>
        <w:trPr>
          <w:cantSplit/>
        </w:trPr>
        <w:tc>
          <w:tcPr>
            <w:tcW w:type="dxa" w:w="236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LightGBM ★</w:t>
            </w:r>
          </w:p>
        </w:tc>
        <w:tc>
          <w:tcPr>
            <w:tcW w:type="dxa" w:w="150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0.671 ± 0.006</w:t>
            </w:r>
          </w:p>
        </w:tc>
        <w:tc>
          <w:tcPr>
            <w:tcW w:type="dxa" w:w="69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0.655</w:t>
            </w:r>
          </w:p>
        </w:tc>
        <w:tc>
          <w:tcPr>
            <w:tcW w:type="dxa" w:w="69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0.671</w:t>
            </w:r>
          </w:p>
        </w:tc>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0.867</w:t>
            </w:r>
          </w:p>
        </w:tc>
        <w:tc>
          <w:tcPr>
            <w:tcW w:type="dxa" w:w="645"/>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0.756</w:t>
            </w:r>
          </w:p>
        </w:tc>
        <w:tc>
          <w:tcPr>
            <w:tcW w:type="dxa" w:w="860"/>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0.669</w:t>
            </w:r>
          </w:p>
        </w:tc>
        <w:tc>
          <w:tcPr>
            <w:tcW w:type="dxa" w:w="80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0.755</w:t>
            </w:r>
          </w:p>
        </w:tc>
        <w:tc>
          <w:tcPr>
            <w:tcW w:type="dxa" w:w="69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0.216</w:t>
            </w:r>
          </w:p>
        </w:tc>
      </w:tr>
    </w:tbl>
    <w:p>
      <w:pPr>
        <w:spacing w:after="160" w:before="0" w:line="240" w:lineRule="auto"/>
      </w:pPr>
    </w:p>
    <w:p>
      <w:pPr>
        <w:spacing w:after="120" w:before="0" w:line="360" w:lineRule="auto"/>
        <w:jc w:val="both"/>
      </w:pPr>
      <w:r>
        <w:rPr>
          <w:rFonts w:ascii="Times New Roman" w:cs="Times New Roman" w:eastAsia="Times New Roman" w:hAnsi="Times New Roman"/>
          <w:b/>
          <w:bCs/>
        </w:rPr>
        <w:t xml:space="preserve">Why F1 is misleading here.</w:t>
      </w:r>
      <w:r>
        <w:rPr>
          <w:rFonts w:ascii="Times New Roman" w:cs="Times New Roman" w:eastAsia="Times New Roman" w:hAnsi="Times New Roman"/>
        </w:rPr>
        <w:t xml:space="preserve"> Because 61.8 % of respondents use AI, the trivial rule “predict </w:t>
      </w:r>
      <w:r>
        <w:rPr>
          <w:rFonts w:ascii="Times New Roman" w:cs="Times New Roman" w:eastAsia="Times New Roman" w:hAnsi="Times New Roman"/>
          <w:i/>
          <w:iCs/>
        </w:rPr>
        <w:t xml:space="preserve">yes</w:t>
      </w:r>
      <w:r>
        <w:rPr>
          <w:rFonts w:ascii="Times New Roman" w:cs="Times New Roman" w:eastAsia="Times New Roman" w:hAnsi="Times New Roman"/>
        </w:rPr>
        <w:t xml:space="preserve"> for everybody” already scores recall 1.0 and F1 = 0.764. At the default threshold 0.5 the selected model’s F1 is 0.756 — </w:t>
      </w:r>
      <w:r>
        <w:rPr>
          <w:rFonts w:ascii="Times New Roman" w:cs="Times New Roman" w:eastAsia="Times New Roman" w:hAnsi="Times New Roman"/>
          <w:i/>
          <w:iCs/>
        </w:rPr>
        <w:t xml:space="preserve">below</w:t>
      </w:r>
      <w:r>
        <w:rPr>
          <w:rFonts w:ascii="Times New Roman" w:cs="Times New Roman" w:eastAsia="Times New Roman" w:hAnsi="Times New Roman"/>
        </w:rPr>
        <w:t xml:space="preserve"> that trivial baseline — so the F1 criterion is </w:t>
      </w:r>
      <w:r>
        <w:rPr>
          <w:rFonts w:ascii="Times New Roman" w:cs="Times New Roman" w:eastAsia="Times New Roman" w:hAnsi="Times New Roman"/>
          <w:b/>
          <w:bCs/>
        </w:rPr>
        <w:t xml:space="preserve">not met at threshold 0.5</w:t>
      </w:r>
      <w:r>
        <w:rPr>
          <w:rFonts w:ascii="Times New Roman" w:cs="Times New Roman" w:eastAsia="Times New Roman" w:hAnsi="Times New Roman"/>
        </w:rPr>
        <w:t xml:space="preserve">; at the F1-optimal threshold 0.38 (chosen on out-of-fold training predictions only) F1 rises to 0.770, barely above the baseline, but only because the classifier then labels almost everybody a user. The ROC-AUC criterion (≥ 0.65) is </w:t>
      </w:r>
      <w:r>
        <w:rPr>
          <w:rFonts w:ascii="Times New Roman" w:cs="Times New Roman" w:eastAsia="Times New Roman" w:hAnsi="Times New Roman"/>
          <w:b/>
          <w:bCs/>
        </w:rPr>
        <w:t xml:space="preserve">met</w:t>
      </w:r>
      <w:r>
        <w:rPr>
          <w:rFonts w:ascii="Times New Roman" w:cs="Times New Roman" w:eastAsia="Times New Roman" w:hAnsi="Times New Roman"/>
        </w:rPr>
        <w:t xml:space="preserve">. Balanced accuracy, which weights both classes equally, is the fairer yardstick: at threshold 0.62 (balanced-accuracy optimum on out-of-fold data) the selected model reaches balanced accuracy 0.622, precision 0.731 and recall 0.605 (Table 24).</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24</w:t>
      </w:r>
      <w:r>
        <w:fldChar w:fldCharType="end"/>
      </w:r>
      <w:r>
        <w:rPr>
          <w:rFonts w:ascii="Times New Roman" w:cs="Times New Roman" w:eastAsia="Times New Roman" w:hAnsi="Times New Roman"/>
          <w:sz w:val="22"/>
          <w:szCs w:val="22"/>
        </w:rPr>
        <w:t xml:space="preserve">: Selected model on the hold-out set at three decision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963"/>
        <w:gridCol w:w="1083"/>
        <w:gridCol w:w="1083"/>
        <w:gridCol w:w="1083"/>
        <w:gridCol w:w="963"/>
        <w:gridCol w:w="842"/>
      </w:tblGrid>
      <w:tr>
        <w:trPr>
          <w:cantSplit/>
          <w:tblHeader/>
        </w:trPr>
        <w:tc>
          <w:tcPr>
            <w:tcW w:type="dxa" w:w="300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Threshold rule</w:t>
            </w:r>
          </w:p>
        </w:tc>
        <w:tc>
          <w:tcPr>
            <w:tcW w:type="dxa" w:w="9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Value</w:t>
            </w:r>
          </w:p>
        </w:tc>
        <w:tc>
          <w:tcPr>
            <w:tcW w:type="dxa" w:w="108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Accuracy</w:t>
            </w:r>
          </w:p>
        </w:tc>
        <w:tc>
          <w:tcPr>
            <w:tcW w:type="dxa" w:w="108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Bal. acc.</w:t>
            </w:r>
          </w:p>
        </w:tc>
        <w:tc>
          <w:tcPr>
            <w:tcW w:type="dxa" w:w="108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Precision</w:t>
            </w:r>
          </w:p>
        </w:tc>
        <w:tc>
          <w:tcPr>
            <w:tcW w:type="dxa" w:w="9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Recall</w:t>
            </w:r>
          </w:p>
        </w:tc>
        <w:tc>
          <w:tcPr>
            <w:tcW w:type="dxa" w:w="84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F1</w:t>
            </w:r>
          </w:p>
        </w:tc>
      </w:tr>
      <w:tr>
        <w:trPr>
          <w:cantSplit/>
        </w:trPr>
        <w:tc>
          <w:tcPr>
            <w:tcW w:type="dxa" w:w="300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Default</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0.50</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0.655</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0.589</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0.671</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0.867</w:t>
            </w:r>
          </w:p>
        </w:tc>
        <w:tc>
          <w:tcPr>
            <w:tcW w:type="dxa" w:w="84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0.756</w:t>
            </w:r>
          </w:p>
        </w:tc>
      </w:tr>
      <w:tr>
        <w:trPr>
          <w:cantSplit/>
        </w:trPr>
        <w:tc>
          <w:tcPr>
            <w:tcW w:type="dxa" w:w="300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F1-optimal (OOF)</w:t>
            </w:r>
          </w:p>
        </w:tc>
        <w:tc>
          <w:tcPr>
            <w:tcW w:type="dxa" w:w="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0.38</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0.642</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0.541</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0.639</w:t>
            </w:r>
          </w:p>
        </w:tc>
        <w:tc>
          <w:tcPr>
            <w:tcW w:type="dxa" w:w="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0.968</w:t>
            </w:r>
          </w:p>
        </w:tc>
        <w:tc>
          <w:tcPr>
            <w:tcW w:type="dxa" w:w="84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0.770</w:t>
            </w:r>
          </w:p>
        </w:tc>
      </w:tr>
      <w:tr>
        <w:trPr>
          <w:cantSplit/>
        </w:trPr>
        <w:tc>
          <w:tcPr>
            <w:tcW w:type="dxa" w:w="300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Balanced-accuracy optimal (OOF)</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0.62</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0.618</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0.622</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0.731</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0.605</w:t>
            </w:r>
          </w:p>
        </w:tc>
        <w:tc>
          <w:tcPr>
            <w:tcW w:type="dxa" w:w="84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0.662</w:t>
            </w:r>
          </w:p>
        </w:tc>
      </w:tr>
    </w:tbl>
    <w:p>
      <w:pPr>
        <w:spacing w:after="160" w:before="0" w:line="240" w:lineRule="auto"/>
      </w:pP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5715000" cy="1971675"/>
            <wp:effectExtent t="0" r="0" b="0" l="0"/>
            <wp:docPr id="1" name="fig27_classification_model_comparison.png" descr="Classification model comparison: cross-validated ROC-AUC (a), hold-out F1 (b) and hold-out ROC-AUC (c). Grey = baseline, orange = selected model." title="Classification model comparison: cross-validated ROC-AUC (a), hold-out F1 (b) and hold-out ROC-AUC (c). Grey = baseline, orange =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9716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27</w:t>
      </w:r>
      <w:r>
        <w:fldChar w:fldCharType="end"/>
      </w:r>
      <w:r>
        <w:rPr>
          <w:rFonts w:ascii="Times New Roman" w:cs="Times New Roman" w:eastAsia="Times New Roman" w:hAnsi="Times New Roman"/>
          <w:sz w:val="22"/>
          <w:szCs w:val="22"/>
        </w:rPr>
        <w:t xml:space="preserve">: Classification model comparison: cross-validated ROC-AUC (a), hold-out F1 (b) and hold-out ROC-AUC (c). Grey = baseline, orange = selected model.</w:t>
      </w:r>
    </w:p>
    <w:p>
      <w:pPr>
        <w:keepNext/>
        <w:spacing w:after="0" w:before="120" w:line="240" w:lineRule="auto"/>
        <w:jc w:val="center"/>
      </w:pPr>
      <w:r>
        <w:drawing>
          <wp:inline distT="0" distB="0" distL="0" distR="0">
            <wp:extent cx="4762500" cy="2114550"/>
            <wp:effectExtent t="0" r="0" b="0" l="0"/>
            <wp:docPr id="1" name="fig28_roc_pr_curves.png" descr="ROC curves with AUC in the legend (a) and precision–recall curves (b) for all classifiers on the hold-out set." title="ROC curves with AUC in the legend (a) and precision–recall curves (b) for all classifiers on the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114550"/>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28</w:t>
      </w:r>
      <w:r>
        <w:fldChar w:fldCharType="end"/>
      </w:r>
      <w:r>
        <w:rPr>
          <w:rFonts w:ascii="Times New Roman" w:cs="Times New Roman" w:eastAsia="Times New Roman" w:hAnsi="Times New Roman"/>
          <w:sz w:val="22"/>
          <w:szCs w:val="22"/>
        </w:rPr>
        <w:t xml:space="preserve">: ROC curves with AUC in the legend (a) and precision–recall curves (b) for all classifiers on the hold-out set.</w:t>
      </w:r>
    </w:p>
    <w:p>
      <w:pPr>
        <w:keepNext/>
        <w:spacing w:after="0" w:before="120" w:line="240" w:lineRule="auto"/>
        <w:jc w:val="center"/>
      </w:pPr>
      <w:r>
        <w:drawing>
          <wp:inline distT="0" distB="0" distL="0" distR="0">
            <wp:extent cx="5715000" cy="1971675"/>
            <wp:effectExtent t="0" r="0" b="0" l="0"/>
            <wp:docPr id="1" name="fig29_confusion_calibration_threshold.png" descr="Selected classifier on the hold-out set: normalised confusion matrix at the balanced-accuracy threshold (a), calibration curve (b) and precision/recall/F1 versus decision threshold (c)." title="Selected classifier on the hold-out set: normalised confusion matrix at the balanced-accuracy threshold (a), calibration curve (b) and precision/recall/F1 versus decision threshol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29</w:t>
      </w:r>
      <w:r>
        <w:fldChar w:fldCharType="end"/>
      </w:r>
      <w:r>
        <w:rPr>
          <w:rFonts w:ascii="Times New Roman" w:cs="Times New Roman" w:eastAsia="Times New Roman" w:hAnsi="Times New Roman"/>
          <w:sz w:val="22"/>
          <w:szCs w:val="22"/>
        </w:rPr>
        <w:t xml:space="preserve">: Selected classifier on the hold-out set: normalised confusion matrix at the balanced-accuracy threshold (a), calibration curve (b) and precision/recall/F1 versus decision threshold (c).</w:t>
      </w:r>
    </w:p>
    <w:p>
      <w:pPr>
        <w:spacing w:after="120" w:before="0" w:line="360" w:lineRule="auto"/>
        <w:jc w:val="both"/>
      </w:pPr>
      <w:r>
        <w:rPr>
          <w:rFonts w:ascii="Times New Roman" w:cs="Times New Roman" w:eastAsia="Times New Roman" w:hAnsi="Times New Roman"/>
        </w:rPr>
        <w:t xml:space="preserve">Figure 27 and Figure 28 show that all four learners trace almost the same ROC curve, well above chance but far from perfect. Figure 29 (a) gives the confusion matrix at the balanced threshold: of 4,649 non-users 2,971 are identified correctly, and of 7,533 users 4,561. Panel (b) shows the probabilities are </w:t>
      </w:r>
      <w:r>
        <w:rPr>
          <w:rFonts w:ascii="Times New Roman" w:cs="Times New Roman" w:eastAsia="Times New Roman" w:hAnsi="Times New Roman"/>
          <w:i/>
          <w:iCs/>
        </w:rPr>
        <w:t xml:space="preserve">well calibrated</w:t>
      </w:r>
      <w:r>
        <w:rPr>
          <w:rFonts w:ascii="Times New Roman" w:cs="Times New Roman" w:eastAsia="Times New Roman" w:hAnsi="Times New Roman"/>
        </w:rPr>
        <w:t xml:space="preserve"> — a predicted 70 % really corresponds to roughly 70 % adopters — and panel (c) shows the precision/recall trade-off as the threshold moves. </w:t>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background information carries real but limited information about who uses AI tools (AUC ≈ 0.67); individual adoption is mostly driven by factors the survey does not measure (employer policy, tasks, personal preference). The model is suitable for describing population-level propensities, not for deciding about individuals.</w:t>
      </w:r>
    </w:p>
    <w:p>
      <w:pPr>
        <w:pStyle w:val="Heading2"/>
      </w:pPr>
      <w:r>
        <w:rPr>
          <w:rFonts w:ascii="Times New Roman" w:cs="Times New Roman" w:eastAsia="Times New Roman" w:hAnsi="Times New Roman"/>
        </w:rPr>
        <w:t xml:space="preserve">4.8 Objective O8 — Explainability and error analysis</w:t>
      </w:r>
    </w:p>
    <w:p>
      <w:pPr>
        <w:pStyle w:val="Heading3"/>
      </w:pPr>
      <w:r>
        <w:rPr>
          <w:rFonts w:ascii="Times New Roman" w:cs="Times New Roman" w:eastAsia="Times New Roman" w:hAnsi="Times New Roman"/>
        </w:rPr>
        <w:t xml:space="preserve">(i) Introduction</w:t>
      </w:r>
    </w:p>
    <w:p>
      <w:pPr>
        <w:spacing w:after="120" w:before="0" w:line="360" w:lineRule="auto"/>
        <w:jc w:val="both"/>
      </w:pPr>
      <w:r>
        <w:rPr>
          <w:rFonts w:ascii="Times New Roman" w:cs="Times New Roman" w:eastAsia="Times New Roman" w:hAnsi="Times New Roman"/>
        </w:rPr>
        <w:t xml:space="preserve">A model that cannot be explained or audited should not be trusted. O8 identifies which inputs drive each model, in which direction, and where the models make larger errors — including whether the models are less reliable for Indian developers than for others.</w:t>
      </w:r>
    </w:p>
    <w:p>
      <w:pPr>
        <w:pStyle w:val="Heading3"/>
      </w:pPr>
      <w:r>
        <w:rPr>
          <w:rFonts w:ascii="Times New Roman" w:cs="Times New Roman" w:eastAsia="Times New Roman" w:hAnsi="Times New Roman"/>
        </w:rPr>
        <w:t xml:space="preserve">(ii) General Description</w:t>
      </w:r>
    </w:p>
    <w:p>
      <w:pPr>
        <w:spacing w:after="120" w:before="0" w:line="360" w:lineRule="auto"/>
        <w:jc w:val="both"/>
      </w:pPr>
      <w:r>
        <w:rPr>
          <w:rFonts w:ascii="Times New Roman" w:cs="Times New Roman" w:eastAsia="Times New Roman" w:hAnsi="Times New Roman"/>
        </w:rPr>
        <w:t xml:space="preserve">Three complementary explanation tools are used: </w:t>
      </w:r>
      <w:r>
        <w:rPr>
          <w:rFonts w:ascii="Times New Roman" w:cs="Times New Roman" w:eastAsia="Times New Roman" w:hAnsi="Times New Roman"/>
          <w:i/>
          <w:iCs/>
        </w:rPr>
        <w:t xml:space="preserve">permutation importance</w:t>
      </w:r>
      <w:r>
        <w:rPr>
          <w:rFonts w:ascii="Times New Roman" w:cs="Times New Roman" w:eastAsia="Times New Roman" w:hAnsi="Times New Roman"/>
        </w:rPr>
        <w:t xml:space="preserve"> on the hold-out set (model-agnostic; the loss in performance when one raw column is shuffled), </w:t>
      </w:r>
      <w:r>
        <w:rPr>
          <w:rFonts w:ascii="Times New Roman" w:cs="Times New Roman" w:eastAsia="Times New Roman" w:hAnsi="Times New Roman"/>
          <w:i/>
          <w:iCs/>
        </w:rPr>
        <w:t xml:space="preserve">SHAP values</w:t>
      </w:r>
      <w:r>
        <w:rPr>
          <w:rFonts w:ascii="Times New Roman" w:cs="Times New Roman" w:eastAsia="Times New Roman" w:hAnsi="Times New Roman"/>
        </w:rPr>
        <w:t xml:space="preserve"> (Shapley-value attributions; computed on the LightGBM models, which perform on par with the selected ones) and </w:t>
      </w:r>
      <w:r>
        <w:rPr>
          <w:rFonts w:ascii="Times New Roman" w:cs="Times New Roman" w:eastAsia="Times New Roman" w:hAnsi="Times New Roman"/>
          <w:i/>
          <w:iCs/>
        </w:rPr>
        <w:t xml:space="preserve">partial dependence</w:t>
      </w:r>
      <w:r>
        <w:rPr>
          <w:rFonts w:ascii="Times New Roman" w:cs="Times New Roman" w:eastAsia="Times New Roman" w:hAnsi="Times New Roman"/>
        </w:rPr>
        <w:t xml:space="preserve">. Errors of both models are then audited by segment.</w:t>
      </w:r>
    </w:p>
    <w:p>
      <w:pPr>
        <w:pStyle w:val="Heading3"/>
      </w:pPr>
      <w:r>
        <w:rPr>
          <w:rFonts w:ascii="Times New Roman" w:cs="Times New Roman" w:eastAsia="Times New Roman" w:hAnsi="Times New Roman"/>
        </w:rPr>
        <w:t xml:space="preserve">(iii) Specific Requirements, Functions and Formulas</w:t>
      </w:r>
    </w:p>
    <w:p>
      <w:pPr>
        <w:spacing w:after="120" w:before="0" w:line="360" w:lineRule="auto"/>
        <w:jc w:val="left"/>
      </w:pPr>
      <w:r>
        <w:rPr>
          <w:rFonts w:ascii="Times New Roman" w:cs="Times New Roman" w:eastAsia="Times New Roman" w:hAnsi="Times New Roman"/>
        </w:rPr>
        <w:t xml:space="preserve">Functions: </w:t>
      </w:r>
      <w:r>
        <w:rPr>
          <w:rFonts w:ascii="Courier New" w:cs="Courier New" w:eastAsia="Courier New" w:hAnsi="Courier New"/>
          <w:sz w:val="22"/>
          <w:szCs w:val="22"/>
        </w:rPr>
        <w:t xml:space="preserve">sklearn.inspection.permutation_importance</w:t>
      </w:r>
      <w:r>
        <w:rPr>
          <w:rFonts w:ascii="Times New Roman" w:cs="Times New Roman" w:eastAsia="Times New Roman" w:hAnsi="Times New Roman"/>
        </w:rPr>
        <w:t xml:space="preserve"> (5 repeats), </w:t>
      </w:r>
      <w:r>
        <w:rPr>
          <w:rFonts w:ascii="Courier New" w:cs="Courier New" w:eastAsia="Courier New" w:hAnsi="Courier New"/>
          <w:sz w:val="22"/>
          <w:szCs w:val="22"/>
        </w:rPr>
        <w:t xml:space="preserve">shap.TreeExplainer(...).shap_values</w:t>
      </w:r>
      <w:r>
        <w:rPr>
          <w:rFonts w:ascii="Times New Roman" w:cs="Times New Roman" w:eastAsia="Times New Roman" w:hAnsi="Times New Roman"/>
        </w:rPr>
        <w:t xml:space="preserve">, </w:t>
      </w:r>
      <w:r>
        <w:rPr>
          <w:rFonts w:ascii="Courier New" w:cs="Courier New" w:eastAsia="Courier New" w:hAnsi="Courier New"/>
          <w:sz w:val="22"/>
          <w:szCs w:val="22"/>
        </w:rPr>
        <w:t xml:space="preserve">shap.summary_plot</w:t>
      </w:r>
      <w:r>
        <w:rPr>
          <w:rFonts w:ascii="Times New Roman" w:cs="Times New Roman" w:eastAsia="Times New Roman" w:hAnsi="Times New Roman"/>
        </w:rPr>
        <w:t xml:space="preserve">, a hand-written partial-dependence routine that recomputes the derived experience features consistently, and </w:t>
      </w:r>
      <w:r>
        <w:rPr>
          <w:rFonts w:ascii="Courier New" w:cs="Courier New" w:eastAsia="Courier New" w:hAnsi="Courier New"/>
          <w:sz w:val="22"/>
          <w:szCs w:val="22"/>
        </w:rPr>
        <w:t xml:space="preserve">groupby</w:t>
      </w:r>
      <w:r>
        <w:rPr>
          <w:rFonts w:ascii="Times New Roman" w:cs="Times New Roman" w:eastAsia="Times New Roman" w:hAnsi="Times New Roman"/>
        </w:rPr>
        <w:t xml:space="preserve"> error summaries.</w:t>
      </w:r>
    </w:p>
    <w:p>
      <w:pPr>
        <w:spacing w:after="120" w:before="60" w:line="360" w:lineRule="auto"/>
        <w:jc w:val="center"/>
      </w:pPr>
      <w:r>
        <w:rPr>
          <w:rFonts w:ascii="Times New Roman" w:cs="Times New Roman" w:eastAsia="Times New Roman" w:hAnsi="Times New Roman"/>
          <w:sz w:val="22"/>
          <w:szCs w:val="22"/>
        </w:rPr>
        <w:t xml:space="preserve">Permutation importance of feature j:  I</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Err(X with column j shuffled) − Err(X)</w:t>
      </w:r>
    </w:p>
    <w:p>
      <w:pPr>
        <w:spacing w:after="120" w:before="60" w:line="360" w:lineRule="auto"/>
        <w:jc w:val="center"/>
      </w:pPr>
      <w:r>
        <w:rPr>
          <w:rFonts w:ascii="Times New Roman" w:cs="Times New Roman" w:eastAsia="Times New Roman" w:hAnsi="Times New Roman"/>
          <w:sz w:val="22"/>
          <w:szCs w:val="22"/>
        </w:rPr>
        <w:t xml:space="preserve">Shapley value:  φ</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S⊆F∖{j</w:t>
      </w:r>
      <w:r>
        <w:rPr>
          <w:rFonts w:ascii="Times New Roman" w:cs="Times New Roman" w:eastAsia="Times New Roman" w:hAnsi="Times New Roman"/>
          <w:sz w:val="22"/>
          <w:szCs w:val="22"/>
        </w:rPr>
        <w:t xml:space="preserve">} [ |S|!(|F|−|S|−1)! / |F|! ] · ( f(S∪{j}) − f(S) ),     f(x) = φ</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φ</w:t>
      </w:r>
      <w:r>
        <w:rPr>
          <w:rFonts w:ascii="Times New Roman" w:cs="Times New Roman" w:eastAsia="Times New Roman" w:hAnsi="Times New Roman"/>
          <w:sz w:val="22"/>
          <w:szCs w:val="22"/>
          <w:vertAlign w:val="subscript"/>
        </w:rPr>
        <w:t xml:space="preserve">j</w:t>
      </w:r>
    </w:p>
    <w:p>
      <w:pPr>
        <w:spacing w:after="120" w:before="60" w:line="360" w:lineRule="auto"/>
        <w:jc w:val="center"/>
      </w:pPr>
      <w:r>
        <w:rPr>
          <w:rFonts w:ascii="Times New Roman" w:cs="Times New Roman" w:eastAsia="Times New Roman" w:hAnsi="Times New Roman"/>
          <w:sz w:val="22"/>
          <w:szCs w:val="22"/>
        </w:rPr>
        <w:t xml:space="preserve">Partial dependence:  PD</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(v) = (1/n)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f(x</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x</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v)</w:t>
      </w:r>
    </w:p>
    <w:p>
      <w:pPr>
        <w:pStyle w:val="Heading3"/>
      </w:pPr>
      <w:r>
        <w:rPr>
          <w:rFonts w:ascii="Times New Roman" w:cs="Times New Roman" w:eastAsia="Times New Roman" w:hAnsi="Times New Roman"/>
        </w:rPr>
        <w:t xml:space="preserve">(iv) Analysis Results</w:t>
      </w:r>
    </w:p>
    <w:p>
      <w:pPr>
        <w:spacing w:after="120" w:before="0" w:line="360" w:lineRule="auto"/>
        <w:jc w:val="both"/>
      </w:pPr>
      <w:r>
        <w:rPr>
          <w:rFonts w:ascii="Times New Roman" w:cs="Times New Roman" w:eastAsia="Times New Roman" w:hAnsi="Times New Roman"/>
          <w:b/>
          <w:bCs/>
        </w:rPr>
        <w:t xml:space="preserve">Salary model.</w:t>
      </w:r>
      <w:r>
        <w:rPr>
          <w:rFonts w:ascii="Times New Roman" w:cs="Times New Roman" w:eastAsia="Times New Roman" w:hAnsi="Times New Roman"/>
        </w:rPr>
        <w:t xml:space="preserve"> Country dominates: shuffling it raises the log-RMSE by 0.478, versus 0.053 for professional years and 0.018 for organisation size (Table 25). The three most important features account for 91 % of the total permutation importance. SHAP agrees on the ordering (Country, Professional years, Org. size (log), Total years coded, Job role).</w:t>
      </w:r>
    </w:p>
    <w:p>
      <w:pPr>
        <w:spacing w:after="120" w:before="0" w:line="360" w:lineRule="auto"/>
        <w:jc w:val="both"/>
      </w:pPr>
      <w:r>
        <w:rPr>
          <w:rFonts w:ascii="Times New Roman" w:cs="Times New Roman" w:eastAsia="Times New Roman" w:hAnsi="Times New Roman"/>
          <w:b/>
          <w:bCs/>
        </w:rPr>
        <w:t xml:space="preserve">Adoption model.</w:t>
      </w:r>
      <w:r>
        <w:rPr>
          <w:rFonts w:ascii="Times New Roman" w:cs="Times New Roman" w:eastAsia="Times New Roman" w:hAnsi="Times New Roman"/>
        </w:rPr>
        <w:t xml:space="preserve"> Importance is spread over more features: Total years coded, Job role, Country, Purchase influence lead, the top three accounting for 61 % of importance. Total years coded matters more than professional years, consistent with O4: AI adoption is associated with how long a person has been coding (a proxy for career stage and age) more than with company characteristics.</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25</w:t>
      </w:r>
      <w:r>
        <w:fldChar w:fldCharType="end"/>
      </w:r>
      <w:r>
        <w:rPr>
          <w:rFonts w:ascii="Times New Roman" w:cs="Times New Roman" w:eastAsia="Times New Roman" w:hAnsi="Times New Roman"/>
          <w:sz w:val="22"/>
          <w:szCs w:val="22"/>
        </w:rPr>
        <w:t xml:space="preserve">: Top permutation importances on the hold-out set (salary: increase in log-RMSE; adoption: decrease in ROC-AUC)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2758"/>
        <w:gridCol w:w="1379"/>
        <w:gridCol w:w="2758"/>
        <w:gridCol w:w="1379"/>
      </w:tblGrid>
      <w:tr>
        <w:trPr>
          <w:cantSplit/>
          <w:tblHeader/>
        </w:trPr>
        <w:tc>
          <w:tcPr>
            <w:tcW w:type="dxa" w:w="75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Rank</w:t>
            </w:r>
          </w:p>
        </w:tc>
        <w:tc>
          <w:tcPr>
            <w:tcW w:type="dxa" w:w="275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Salary model feature</w:t>
            </w:r>
          </w:p>
        </w:tc>
        <w:tc>
          <w:tcPr>
            <w:tcW w:type="dxa" w:w="137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Importance</w:t>
            </w:r>
          </w:p>
        </w:tc>
        <w:tc>
          <w:tcPr>
            <w:tcW w:type="dxa" w:w="2758"/>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Adoption model feature</w:t>
            </w:r>
          </w:p>
        </w:tc>
        <w:tc>
          <w:tcPr>
            <w:tcW w:type="dxa" w:w="1379"/>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Importance</w:t>
            </w:r>
          </w:p>
        </w:tc>
      </w:tr>
      <w:tr>
        <w:trPr>
          <w:cantSplit/>
        </w:trPr>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1</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0.4779</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Total years coded</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0.0329</w:t>
            </w:r>
          </w:p>
        </w:tc>
      </w:tr>
      <w:tr>
        <w:trPr>
          <w:cantSplit/>
        </w:trPr>
        <w:tc>
          <w:tcPr>
            <w:tcW w:type="dxa" w:w="75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2</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Professional years</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0.0530</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Job role</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0.0224</w:t>
            </w:r>
          </w:p>
        </w:tc>
      </w:tr>
      <w:tr>
        <w:trPr>
          <w:cantSplit/>
        </w:trPr>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3</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Org. size (log)</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0.0184</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Country</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0.0167</w:t>
            </w:r>
          </w:p>
        </w:tc>
      </w:tr>
      <w:tr>
        <w:trPr>
          <w:cantSplit/>
        </w:trPr>
        <w:tc>
          <w:tcPr>
            <w:tcW w:type="dxa" w:w="75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4</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Total years coded</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0.0139</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Purchase influence</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0.0111</w:t>
            </w:r>
          </w:p>
        </w:tc>
      </w:tr>
      <w:tr>
        <w:trPr>
          <w:cantSplit/>
        </w:trPr>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5</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Work arrangement</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0.0102</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Age</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0.0059</w:t>
            </w:r>
          </w:p>
        </w:tc>
      </w:tr>
      <w:tr>
        <w:trPr>
          <w:cantSplit/>
        </w:trPr>
        <w:tc>
          <w:tcPr>
            <w:tcW w:type="dxa" w:w="75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6</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Job role</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0.0094</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SO participation</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0.0056</w:t>
            </w:r>
          </w:p>
        </w:tc>
      </w:tr>
      <w:tr>
        <w:trPr>
          <w:cantSplit/>
        </w:trPr>
        <w:tc>
          <w:tcPr>
            <w:tcW w:type="dxa" w:w="75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7</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Age</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0.0055</w:t>
            </w:r>
          </w:p>
        </w:tc>
        <w:tc>
          <w:tcPr>
            <w:tcW w:type="dxa" w:w="2758"/>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Work arrangement</w:t>
            </w:r>
          </w:p>
        </w:tc>
        <w:tc>
          <w:tcPr>
            <w:tcW w:type="dxa" w:w="1379"/>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0.0051</w:t>
            </w:r>
          </w:p>
        </w:tc>
      </w:tr>
      <w:tr>
        <w:trPr>
          <w:cantSplit/>
        </w:trPr>
        <w:tc>
          <w:tcPr>
            <w:tcW w:type="dxa" w:w="75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center"/>
            </w:pPr>
            <w:r>
              <w:rPr>
                <w:rFonts w:ascii="Times New Roman" w:cs="Times New Roman" w:eastAsia="Times New Roman" w:hAnsi="Times New Roman"/>
                <w:b w:val="false"/>
                <w:bCs w:val="false"/>
                <w:sz w:val="19"/>
                <w:szCs w:val="19"/>
              </w:rPr>
              <w:t xml:space="preserve">8</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Purchase influence</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0.0038</w:t>
            </w:r>
          </w:p>
        </w:tc>
        <w:tc>
          <w:tcPr>
            <w:tcW w:type="dxa" w:w="2758"/>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Professional years</w:t>
            </w:r>
          </w:p>
        </w:tc>
        <w:tc>
          <w:tcPr>
            <w:tcW w:type="dxa" w:w="1379"/>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0.0036</w:t>
            </w:r>
          </w:p>
        </w:tc>
      </w:tr>
    </w:tbl>
    <w:p>
      <w:pPr>
        <w:spacing w:after="160" w:before="0" w:line="240" w:lineRule="auto"/>
      </w:pPr>
    </w:p>
    <w:p>
      <w:pPr>
        <w:spacing w:after="120" w:before="0" w:line="360" w:lineRule="auto"/>
        <w:jc w:val="both"/>
      </w:pPr>
      <w:r>
        <w:rPr>
          <w:rFonts w:ascii="Times New Roman" w:cs="Times New Roman" w:eastAsia="Times New Roman" w:hAnsi="Times New Roman"/>
          <w:b/>
          <w:bCs/>
        </w:rPr>
        <w:t xml:space="preserve">Partial dependence.</w:t>
      </w:r>
      <w:r>
        <w:rPr>
          <w:rFonts w:ascii="Times New Roman" w:cs="Times New Roman" w:eastAsia="Times New Roman" w:hAnsi="Times New Roman"/>
        </w:rPr>
        <w:t xml:space="preserve"> Setting every respondent’s professional experience to 0, 5, 10, 20 and 30 years, the average predicted pay is 47,050, 65,122, 77,365, 85,473, 86,558 USD for the whole test set, 98,624, 128,274, 149,731, 163,709, 165,853 USD if all were in the USA, and 9,218, 18,297, 22,598, 28,386, 28,786 USD if all were in India. The model therefore reproduces the O2 finding of steep early gains and a plateau after about 15–20 years, and the O1 finding of a large country offset. The predicted adoption probability falls from 64.0 % to 54.1 % as the age bracket midpoint moves from 21.0 to 59.5.</w:t>
      </w:r>
    </w:p>
    <w:p>
      <w:pPr>
        <w:spacing w:after="120" w:before="0" w:line="360" w:lineRule="auto"/>
        <w:jc w:val="both"/>
      </w:pPr>
      <w:r>
        <w:rPr>
          <w:rFonts w:ascii="Times New Roman" w:cs="Times New Roman" w:eastAsia="Times New Roman" w:hAnsi="Times New Roman"/>
          <w:b/>
          <w:bCs/>
        </w:rPr>
        <w:t xml:space="preserve">Error audit — salary model.</w:t>
      </w:r>
      <w:r>
        <w:rPr>
          <w:rFonts w:ascii="Times New Roman" w:cs="Times New Roman" w:eastAsia="Times New Roman" w:hAnsi="Times New Roman"/>
        </w:rPr>
        <w:t xml:space="preserve"> Overall the median absolute percentage error is 27.4 % (MAE USD 28,585). Errors differ by country (Table 26): lowest for Germany, France and Spain, highest for Ukraine and Brazil. For India the MdAPE is 37.4 % (193 test respondents) versus 24.1 % for the USA and 26.9 % for all non-Indian respondents; the mean log-residual for India is 0.08, i.e. the model under-predicts Indian salaries on average. Errors are nearly constant across experience bands and similar across roles (MdAPE about 21–30 %), so the dominant failure mode is </w:t>
      </w:r>
      <w:r>
        <w:rPr>
          <w:rFonts w:ascii="Times New Roman" w:cs="Times New Roman" w:eastAsia="Times New Roman" w:hAnsi="Times New Roman"/>
          <w:i/>
          <w:iCs/>
        </w:rPr>
        <w:t xml:space="preserve">country-specific pay dispersion</w:t>
      </w:r>
      <w:r>
        <w:rPr>
          <w:rFonts w:ascii="Times New Roman" w:cs="Times New Roman" w:eastAsia="Times New Roman" w:hAnsi="Times New Roman"/>
        </w:rPr>
        <w:t xml:space="preserve">, not seniority.</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26</w:t>
      </w:r>
      <w:r>
        <w:fldChar w:fldCharType="end"/>
      </w:r>
      <w:r>
        <w:rPr>
          <w:rFonts w:ascii="Times New Roman" w:cs="Times New Roman" w:eastAsia="Times New Roman" w:hAnsi="Times New Roman"/>
          <w:sz w:val="22"/>
          <w:szCs w:val="22"/>
        </w:rPr>
        <w:t xml:space="preserve">: Salary-model error by country on the hold-out set (10 largest test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6"/>
        <w:gridCol w:w="943"/>
        <w:gridCol w:w="1347"/>
        <w:gridCol w:w="1482"/>
        <w:gridCol w:w="1886"/>
        <w:gridCol w:w="1482"/>
      </w:tblGrid>
      <w:tr>
        <w:trPr>
          <w:cantSplit/>
          <w:tblHeader/>
        </w:trPr>
        <w:tc>
          <w:tcPr>
            <w:tcW w:type="dxa" w:w="188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Country</w:t>
            </w:r>
          </w:p>
        </w:tc>
        <w:tc>
          <w:tcPr>
            <w:tcW w:type="dxa" w:w="94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n</w:t>
            </w:r>
          </w:p>
        </w:tc>
        <w:tc>
          <w:tcPr>
            <w:tcW w:type="dxa" w:w="134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MdAPE %</w:t>
            </w:r>
          </w:p>
        </w:tc>
        <w:tc>
          <w:tcPr>
            <w:tcW w:type="dxa" w:w="148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MAE (USD)</w:t>
            </w:r>
          </w:p>
        </w:tc>
        <w:tc>
          <w:tcPr>
            <w:tcW w:type="dxa" w:w="188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Mean log-residual</w:t>
            </w:r>
          </w:p>
        </w:tc>
        <w:tc>
          <w:tcPr>
            <w:tcW w:type="dxa" w:w="148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Within ±25 %</w:t>
            </w:r>
          </w:p>
        </w:tc>
      </w:tr>
      <w:tr>
        <w:trPr>
          <w:cantSplit/>
        </w:trPr>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USA</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842</w:t>
            </w:r>
          </w:p>
        </w:tc>
        <w:tc>
          <w:tcPr>
            <w:tcW w:type="dxa" w:w="13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24.1</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54,842</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+0.015</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51.7</w:t>
            </w:r>
          </w:p>
        </w:tc>
      </w:tr>
      <w:tr>
        <w:trPr>
          <w:cantSplit/>
        </w:trPr>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Germany</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351</w:t>
            </w:r>
          </w:p>
        </w:tc>
        <w:tc>
          <w:tcPr>
            <w:tcW w:type="dxa" w:w="13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19.4</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21,425</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+0.033</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59.5</w:t>
            </w:r>
          </w:p>
        </w:tc>
      </w:tr>
      <w:tr>
        <w:trPr>
          <w:cantSplit/>
        </w:trPr>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UK</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254</w:t>
            </w:r>
          </w:p>
        </w:tc>
        <w:tc>
          <w:tcPr>
            <w:tcW w:type="dxa" w:w="13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25.8</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29,458</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-0.040</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48.0</w:t>
            </w:r>
          </w:p>
        </w:tc>
      </w:tr>
      <w:tr>
        <w:trPr>
          <w:cantSplit/>
        </w:trPr>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Ukraine</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236</w:t>
            </w:r>
          </w:p>
        </w:tc>
        <w:tc>
          <w:tcPr>
            <w:tcW w:type="dxa" w:w="13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55.7</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24,993</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+0.119</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14.8</w:t>
            </w:r>
          </w:p>
        </w:tc>
      </w:tr>
      <w:tr>
        <w:trPr>
          <w:cantSplit/>
        </w:trPr>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India</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193</w:t>
            </w:r>
          </w:p>
        </w:tc>
        <w:tc>
          <w:tcPr>
            <w:tcW w:type="dxa" w:w="13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37.4</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14,246</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+0.076</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31.6</w:t>
            </w:r>
          </w:p>
        </w:tc>
      </w:tr>
      <w:tr>
        <w:trPr>
          <w:cantSplit/>
        </w:trPr>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France</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168</w:t>
            </w:r>
          </w:p>
        </w:tc>
        <w:tc>
          <w:tcPr>
            <w:tcW w:type="dxa" w:w="13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21.1</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18,522</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+0.024</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56.0</w:t>
            </w:r>
          </w:p>
        </w:tc>
      </w:tr>
      <w:tr>
        <w:trPr>
          <w:cantSplit/>
        </w:trPr>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Canada</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160</w:t>
            </w:r>
          </w:p>
        </w:tc>
        <w:tc>
          <w:tcPr>
            <w:tcW w:type="dxa" w:w="13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24.4</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30,100</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-0.002</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50.0</w:t>
            </w:r>
          </w:p>
        </w:tc>
      </w:tr>
      <w:tr>
        <w:trPr>
          <w:cantSplit/>
        </w:trPr>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Brazil</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124</w:t>
            </w:r>
          </w:p>
        </w:tc>
        <w:tc>
          <w:tcPr>
            <w:tcW w:type="dxa" w:w="13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38.9</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17,286</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-0.124</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33.9</w:t>
            </w:r>
          </w:p>
        </w:tc>
      </w:tr>
      <w:tr>
        <w:trPr>
          <w:cantSplit/>
        </w:trPr>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Poland</w:t>
            </w:r>
          </w:p>
        </w:tc>
        <w:tc>
          <w:tcPr>
            <w:tcW w:type="dxa" w:w="94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118</w:t>
            </w:r>
          </w:p>
        </w:tc>
        <w:tc>
          <w:tcPr>
            <w:tcW w:type="dxa" w:w="134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32.0</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25,634</w:t>
            </w:r>
          </w:p>
        </w:tc>
        <w:tc>
          <w:tcPr>
            <w:tcW w:type="dxa" w:w="188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+0.072</w:t>
            </w:r>
          </w:p>
        </w:tc>
        <w:tc>
          <w:tcPr>
            <w:tcW w:type="dxa" w:w="148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43.2</w:t>
            </w:r>
          </w:p>
        </w:tc>
      </w:tr>
      <w:tr>
        <w:trPr>
          <w:cantSplit/>
        </w:trPr>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Spain</w:t>
            </w:r>
          </w:p>
        </w:tc>
        <w:tc>
          <w:tcPr>
            <w:tcW w:type="dxa" w:w="94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109</w:t>
            </w:r>
          </w:p>
        </w:tc>
        <w:tc>
          <w:tcPr>
            <w:tcW w:type="dxa" w:w="134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23.0</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15,308</w:t>
            </w:r>
          </w:p>
        </w:tc>
        <w:tc>
          <w:tcPr>
            <w:tcW w:type="dxa" w:w="188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+0.004</w:t>
            </w:r>
          </w:p>
        </w:tc>
        <w:tc>
          <w:tcPr>
            <w:tcW w:type="dxa" w:w="148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56.0</w:t>
            </w:r>
          </w:p>
        </w:tc>
      </w:tr>
    </w:tbl>
    <w:p>
      <w:pPr>
        <w:spacing w:after="160" w:before="0" w:line="240" w:lineRule="auto"/>
      </w:pPr>
    </w:p>
    <w:p>
      <w:pPr>
        <w:spacing w:after="120" w:before="0" w:line="360" w:lineRule="auto"/>
        <w:jc w:val="both"/>
      </w:pPr>
      <w:r>
        <w:rPr>
          <w:rFonts w:ascii="Times New Roman" w:cs="Times New Roman" w:eastAsia="Times New Roman" w:hAnsi="Times New Roman"/>
        </w:rPr>
        <w:t xml:space="preserve">The largest individual errors in dollars (Table 27) are all </w:t>
      </w:r>
      <w:r>
        <w:rPr>
          <w:rFonts w:ascii="Times New Roman" w:cs="Times New Roman" w:eastAsia="Times New Roman" w:hAnsi="Times New Roman"/>
          <w:i/>
          <w:iCs/>
        </w:rPr>
        <w:t xml:space="preserve">very high</w:t>
      </w:r>
      <w:r>
        <w:rPr>
          <w:rFonts w:ascii="Times New Roman" w:cs="Times New Roman" w:eastAsia="Times New Roman" w:hAnsi="Times New Roman"/>
        </w:rPr>
        <w:t xml:space="preserve"> earners — here all from the USA, reporting USD 0.75–1.0 million, three to six times what their profile predicts. Such pay (equity, bonuses, executive packages) cannot be inferred from the profile variables available. On the log scale the biggest errors are instead the very </w:t>
      </w:r>
      <w:r>
        <w:rPr>
          <w:rFonts w:ascii="Times New Roman" w:cs="Times New Roman" w:eastAsia="Times New Roman" w:hAnsi="Times New Roman"/>
          <w:i/>
          <w:iCs/>
        </w:rPr>
        <w:t xml:space="preserve">low</w:t>
      </w:r>
      <w:r>
        <w:rPr>
          <w:rFonts w:ascii="Times New Roman" w:cs="Times New Roman" w:eastAsia="Times New Roman" w:hAnsi="Times New Roman"/>
        </w:rPr>
        <w:t xml:space="preserve"> reported salaries (the long negative residual tail noted in Section 4.6); the two kinds of error mirror each other.</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27</w:t>
      </w:r>
      <w:r>
        <w:fldChar w:fldCharType="end"/>
      </w:r>
      <w:r>
        <w:rPr>
          <w:rFonts w:ascii="Times New Roman" w:cs="Times New Roman" w:eastAsia="Times New Roman" w:hAnsi="Times New Roman"/>
          <w:sz w:val="22"/>
          <w:szCs w:val="22"/>
        </w:rPr>
        <w:t xml:space="preserve">: The eight largest salary-prediction errors on the hold-out set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4"/>
        <w:gridCol w:w="2166"/>
        <w:gridCol w:w="963"/>
        <w:gridCol w:w="1324"/>
        <w:gridCol w:w="1083"/>
        <w:gridCol w:w="1083"/>
        <w:gridCol w:w="1083"/>
      </w:tblGrid>
      <w:tr>
        <w:trPr>
          <w:cantSplit/>
          <w:tblHeader/>
        </w:trPr>
        <w:tc>
          <w:tcPr>
            <w:tcW w:type="dxa" w:w="132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Country</w:t>
            </w:r>
          </w:p>
        </w:tc>
        <w:tc>
          <w:tcPr>
            <w:tcW w:type="dxa" w:w="2166"/>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Role</w:t>
            </w:r>
          </w:p>
        </w:tc>
        <w:tc>
          <w:tcPr>
            <w:tcW w:type="dxa" w:w="96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Years pro</w:t>
            </w:r>
          </w:p>
        </w:tc>
        <w:tc>
          <w:tcPr>
            <w:tcW w:type="dxa" w:w="1324"/>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Org. size</w:t>
            </w:r>
          </w:p>
        </w:tc>
        <w:tc>
          <w:tcPr>
            <w:tcW w:type="dxa" w:w="108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Actual</w:t>
            </w:r>
          </w:p>
        </w:tc>
        <w:tc>
          <w:tcPr>
            <w:tcW w:type="dxa" w:w="108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Predicted</w:t>
            </w:r>
          </w:p>
        </w:tc>
        <w:tc>
          <w:tcPr>
            <w:tcW w:type="dxa" w:w="1083"/>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7"/>
                <w:szCs w:val="17"/>
              </w:rPr>
              <w:t xml:space="preserve">Error</w:t>
            </w:r>
          </w:p>
        </w:tc>
      </w:tr>
      <w:tr>
        <w:trPr>
          <w:cantSplit/>
        </w:trPr>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Back-end dev</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w:t>
            </w:r>
          </w:p>
        </w:tc>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 to 4,999</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945,000</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129,516</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-815,484</w:t>
            </w:r>
          </w:p>
        </w:tc>
      </w:tr>
      <w:tr>
        <w:trPr>
          <w:cantSplit/>
        </w:trPr>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Senior executive</w:t>
            </w:r>
          </w:p>
        </w:tc>
        <w:tc>
          <w:tcPr>
            <w:tcW w:type="dxa" w:w="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w:t>
            </w:r>
          </w:p>
        </w:tc>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10,000 or more</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1,000,000</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254,743</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-745,257</w:t>
            </w:r>
          </w:p>
        </w:tc>
      </w:tr>
      <w:tr>
        <w:trPr>
          <w:cantSplit/>
        </w:trPr>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Engineering manager</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24</w:t>
            </w:r>
          </w:p>
        </w:tc>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10,000 or more</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1,000,000</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276,903</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-723,097</w:t>
            </w:r>
          </w:p>
        </w:tc>
      </w:tr>
      <w:tr>
        <w:trPr>
          <w:cantSplit/>
        </w:trPr>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Data scientist/ML</w:t>
            </w:r>
          </w:p>
        </w:tc>
        <w:tc>
          <w:tcPr>
            <w:tcW w:type="dxa" w:w="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32</w:t>
            </w:r>
          </w:p>
        </w:tc>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20 to 99</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810,000</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177,681</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-632,319</w:t>
            </w:r>
          </w:p>
        </w:tc>
      </w:tr>
      <w:tr>
        <w:trPr>
          <w:cantSplit/>
        </w:trPr>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Full-stack dev</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16</w:t>
            </w:r>
          </w:p>
        </w:tc>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 to 4,999</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798,000</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174,666</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-623,334</w:t>
            </w:r>
          </w:p>
        </w:tc>
      </w:tr>
      <w:tr>
        <w:trPr>
          <w:cantSplit/>
        </w:trPr>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Developer experience</w:t>
            </w:r>
          </w:p>
        </w:tc>
        <w:tc>
          <w:tcPr>
            <w:tcW w:type="dxa" w:w="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10</w:t>
            </w:r>
          </w:p>
        </w:tc>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 to 4,999</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750,000</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168,878</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-581,122</w:t>
            </w:r>
          </w:p>
        </w:tc>
      </w:tr>
      <w:tr>
        <w:trPr>
          <w:cantSplit/>
        </w:trPr>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Mobile dev</w:t>
            </w:r>
          </w:p>
        </w:tc>
        <w:tc>
          <w:tcPr>
            <w:tcW w:type="dxa" w:w="96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14</w:t>
            </w:r>
          </w:p>
        </w:tc>
        <w:tc>
          <w:tcPr>
            <w:tcW w:type="dxa" w:w="1324"/>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10,000 or more</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750,000</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180,706</w:t>
            </w:r>
          </w:p>
        </w:tc>
        <w:tc>
          <w:tcPr>
            <w:tcW w:type="dxa" w:w="1083"/>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-569,294</w:t>
            </w:r>
          </w:p>
        </w:tc>
      </w:tr>
      <w:tr>
        <w:trPr>
          <w:cantSplit/>
        </w:trPr>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USA</w:t>
            </w:r>
          </w:p>
        </w:tc>
        <w:tc>
          <w:tcPr>
            <w:tcW w:type="dxa" w:w="2166"/>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Developer experience</w:t>
            </w:r>
          </w:p>
        </w:tc>
        <w:tc>
          <w:tcPr>
            <w:tcW w:type="dxa" w:w="96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15</w:t>
            </w:r>
          </w:p>
        </w:tc>
        <w:tc>
          <w:tcPr>
            <w:tcW w:type="dxa" w:w="1324"/>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7"/>
                <w:szCs w:val="17"/>
              </w:rPr>
              <w:t xml:space="preserve">10,000 or more</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750,000</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216,365</w:t>
            </w:r>
          </w:p>
        </w:tc>
        <w:tc>
          <w:tcPr>
            <w:tcW w:type="dxa" w:w="1083"/>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7"/>
                <w:szCs w:val="17"/>
              </w:rPr>
              <w:t xml:space="preserve">-533,635</w:t>
            </w:r>
          </w:p>
        </w:tc>
      </w:tr>
    </w:tbl>
    <w:p>
      <w:pPr>
        <w:spacing w:after="160" w:before="0" w:line="240" w:lineRule="auto"/>
      </w:pPr>
    </w:p>
    <w:p>
      <w:pPr>
        <w:spacing w:after="120" w:before="0" w:line="360" w:lineRule="auto"/>
        <w:jc w:val="both"/>
      </w:pPr>
      <w:r>
        <w:rPr>
          <w:rFonts w:ascii="Times New Roman" w:cs="Times New Roman" w:eastAsia="Times New Roman" w:hAnsi="Times New Roman"/>
          <w:b/>
          <w:bCs/>
        </w:rPr>
        <w:t xml:space="preserve">Error audit — adoption model.</w:t>
      </w:r>
      <w:r>
        <w:rPr>
          <w:rFonts w:ascii="Times New Roman" w:cs="Times New Roman" w:eastAsia="Times New Roman" w:hAnsi="Times New Roman"/>
        </w:rPr>
        <w:t xml:space="preserve"> Within-group ROC-AUC ranges from 0.59 to 0.67 across age brackets, 0.62–0.69 across the ten largest countries and 0.53–0.69 across roles; discrimination is weakest for engineering managers and for the youngest and oldest age brackets (small groups). For India the AUC is 0.66 with accuracy 67.7 %, comparable with the overall model.</w:t>
      </w:r>
    </w:p>
    <w:p>
      <w:pPr>
        <w:pStyle w:val="Caption"/>
        <w:keepNext/>
        <w:spacing w:after="80" w:before="200" w:line="276" w:lineRule="auto"/>
        <w:jc w:val="center"/>
      </w:pPr>
      <w:r>
        <w:rPr>
          <w:rFonts w:ascii="Times New Roman" w:cs="Times New Roman" w:eastAsia="Times New Roman" w:hAnsi="Times New Roman"/>
          <w:b/>
          <w:bCs/>
          <w:sz w:val="22"/>
          <w:szCs w:val="22"/>
        </w:rPr>
        <w:t xml:space="preserve">Table </w:t>
      </w:r>
      <w:r>
        <w:fldChar w:fldCharType="begin"/>
        <w:instrText xml:space="preserve">SEQ Table</w:instrText>
        <w:fldChar w:fldCharType="separate"/>
      </w:r>
      <w:r>
        <w:rPr>
          <w:rFonts w:ascii="Times New Roman" w:hAnsi="Times New Roman" w:cs="Times New Roman"/>
          <w:b/>
          <w:sz w:val="22"/>
          <w:szCs w:val="22"/>
        </w:rPr>
        <w:t>28</w:t>
      </w:r>
      <w:r>
        <w:fldChar w:fldCharType="end"/>
      </w:r>
      <w:r>
        <w:rPr>
          <w:rFonts w:ascii="Times New Roman" w:cs="Times New Roman" w:eastAsia="Times New Roman" w:hAnsi="Times New Roman"/>
          <w:sz w:val="22"/>
          <w:szCs w:val="22"/>
        </w:rPr>
        <w:t xml:space="preserve">: Illustrative predictions of the saved models (not forecasts for real individuals)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77"/>
        <w:gridCol w:w="2257"/>
        <w:gridCol w:w="1692"/>
      </w:tblGrid>
      <w:tr>
        <w:trPr>
          <w:cantSplit/>
          <w:tblHeader/>
        </w:trPr>
        <w:tc>
          <w:tcPr>
            <w:tcW w:type="dxa" w:w="507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Profile</w:t>
            </w:r>
          </w:p>
        </w:tc>
        <w:tc>
          <w:tcPr>
            <w:tcW w:type="dxa" w:w="2257"/>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Predicted salary (USD)</w:t>
            </w:r>
          </w:p>
        </w:tc>
        <w:tc>
          <w:tcPr>
            <w:tcW w:type="dxa" w:w="1692"/>
            <w:tcBorders>
              <w:top w:val="single" w:color="7F7F7F" w:sz="4"/>
              <w:left w:val="single" w:color="7F7F7F" w:sz="4"/>
              <w:bottom w:val="single" w:color="7F7F7F" w:sz="4"/>
              <w:right w:val="single" w:color="7F7F7F" w:sz="4"/>
            </w:tcBorders>
            <w:shd w:fill="D9E2F3"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bCs/>
                <w:sz w:val="19"/>
                <w:szCs w:val="19"/>
              </w:rPr>
              <w:t xml:space="preserve">P(uses AI)</w:t>
            </w:r>
          </w:p>
        </w:tc>
      </w:tr>
      <w:tr>
        <w:trPr>
          <w:cantSplit/>
        </w:trPr>
        <w:tc>
          <w:tcPr>
            <w:tcW w:type="dxa" w:w="507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Mid-level full-stack dev, India</w:t>
            </w:r>
          </w:p>
        </w:tc>
        <w:tc>
          <w:tcPr>
            <w:tcW w:type="dxa" w:w="225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18,000</w:t>
            </w:r>
          </w:p>
        </w:tc>
        <w:tc>
          <w:tcPr>
            <w:tcW w:type="dxa" w:w="169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0.70</w:t>
            </w:r>
          </w:p>
        </w:tc>
      </w:tr>
      <w:tr>
        <w:trPr>
          <w:cantSplit/>
        </w:trPr>
        <w:tc>
          <w:tcPr>
            <w:tcW w:type="dxa" w:w="507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Mid-level full-stack dev, USA</w:t>
            </w:r>
          </w:p>
        </w:tc>
        <w:tc>
          <w:tcPr>
            <w:tcW w:type="dxa" w:w="225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115,700</w:t>
            </w:r>
          </w:p>
        </w:tc>
        <w:tc>
          <w:tcPr>
            <w:tcW w:type="dxa" w:w="169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0.63</w:t>
            </w:r>
          </w:p>
        </w:tc>
      </w:tr>
      <w:tr>
        <w:trPr>
          <w:cantSplit/>
        </w:trPr>
        <w:tc>
          <w:tcPr>
            <w:tcW w:type="dxa" w:w="507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Senior engineering manager, Germany</w:t>
            </w:r>
          </w:p>
        </w:tc>
        <w:tc>
          <w:tcPr>
            <w:tcW w:type="dxa" w:w="2257"/>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124,300</w:t>
            </w:r>
          </w:p>
        </w:tc>
        <w:tc>
          <w:tcPr>
            <w:tcW w:type="dxa" w:w="1692"/>
            <w:tcBorders>
              <w:top w:val="single" w:color="7F7F7F" w:sz="4"/>
              <w:left w:val="single" w:color="7F7F7F" w:sz="4"/>
              <w:bottom w:val="single" w:color="7F7F7F" w:sz="4"/>
              <w:right w:val="single" w:color="7F7F7F" w:sz="4"/>
            </w:tcBorders>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0.52</w:t>
            </w:r>
          </w:p>
        </w:tc>
      </w:tr>
      <w:tr>
        <w:trPr>
          <w:cantSplit/>
        </w:trPr>
        <w:tc>
          <w:tcPr>
            <w:tcW w:type="dxa" w:w="507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left"/>
            </w:pPr>
            <w:r>
              <w:rPr>
                <w:rFonts w:ascii="Times New Roman" w:cs="Times New Roman" w:eastAsia="Times New Roman" w:hAnsi="Times New Roman"/>
                <w:b w:val="false"/>
                <w:bCs w:val="false"/>
                <w:sz w:val="19"/>
                <w:szCs w:val="19"/>
              </w:rPr>
              <w:t xml:space="preserve">Student-age Python learner, Brazil</w:t>
            </w:r>
          </w:p>
        </w:tc>
        <w:tc>
          <w:tcPr>
            <w:tcW w:type="dxa" w:w="2257"/>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4,600</w:t>
            </w:r>
          </w:p>
        </w:tc>
        <w:tc>
          <w:tcPr>
            <w:tcW w:type="dxa" w:w="1692"/>
            <w:tcBorders>
              <w:top w:val="single" w:color="7F7F7F" w:sz="4"/>
              <w:left w:val="single" w:color="7F7F7F" w:sz="4"/>
              <w:bottom w:val="single" w:color="7F7F7F" w:sz="4"/>
              <w:right w:val="single" w:color="7F7F7F" w:sz="4"/>
            </w:tcBorders>
            <w:shd w:fill="F7F7F7" w:val="clear"/>
            <w:tcMar>
              <w:top w:type="dxa" w:w="40"/>
              <w:left w:type="dxa" w:w="80"/>
              <w:bottom w:type="dxa" w:w="40"/>
              <w:right w:type="dxa" w:w="80"/>
            </w:tcMar>
            <w:vAlign w:val="center"/>
          </w:tcPr>
          <w:p>
            <w:pPr>
              <w:spacing w:after="0" w:before="0" w:line="252" w:lineRule="auto"/>
              <w:jc w:val="right"/>
            </w:pPr>
            <w:r>
              <w:rPr>
                <w:rFonts w:ascii="Times New Roman" w:cs="Times New Roman" w:eastAsia="Times New Roman" w:hAnsi="Times New Roman"/>
                <w:b w:val="false"/>
                <w:bCs w:val="false"/>
                <w:sz w:val="19"/>
                <w:szCs w:val="19"/>
              </w:rPr>
              <w:t xml:space="preserve">0.79</w:t>
            </w:r>
          </w:p>
        </w:tc>
      </w:tr>
    </w:tbl>
    <w:p>
      <w:pPr>
        <w:spacing w:after="160" w:before="0" w:line="240" w:lineRule="auto"/>
      </w:pPr>
    </w:p>
    <w:p>
      <w:pPr>
        <w:pStyle w:val="Heading3"/>
      </w:pPr>
      <w:r>
        <w:rPr>
          <w:rFonts w:ascii="Times New Roman" w:cs="Times New Roman" w:eastAsia="Times New Roman" w:hAnsi="Times New Roman"/>
        </w:rPr>
        <w:t xml:space="preserve">(v) Visualization and Interpretation</w:t>
      </w:r>
    </w:p>
    <w:p>
      <w:pPr>
        <w:keepNext/>
        <w:spacing w:after="0" w:before="120" w:line="240" w:lineRule="auto"/>
        <w:jc w:val="center"/>
      </w:pPr>
      <w:r>
        <w:drawing>
          <wp:inline distT="0" distB="0" distL="0" distR="0">
            <wp:extent cx="4286250" cy="3076575"/>
            <wp:effectExtent t="0" r="0" b="0" l="0"/>
            <wp:docPr id="1" name="fig30_perm_importance_salary.png" descr="Permutation importance for the selected salary model (LightGBM)." title="Permutation importance for the selected salary model (LightG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6250" cy="30765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30</w:t>
      </w:r>
      <w:r>
        <w:fldChar w:fldCharType="end"/>
      </w:r>
      <w:r>
        <w:rPr>
          <w:rFonts w:ascii="Times New Roman" w:cs="Times New Roman" w:eastAsia="Times New Roman" w:hAnsi="Times New Roman"/>
          <w:sz w:val="22"/>
          <w:szCs w:val="22"/>
        </w:rPr>
        <w:t xml:space="preserve">: Permutation importance for the selected salary model (LightGBM).</w:t>
      </w:r>
    </w:p>
    <w:p>
      <w:pPr>
        <w:keepNext/>
        <w:spacing w:after="0" w:before="120" w:line="240" w:lineRule="auto"/>
        <w:jc w:val="center"/>
      </w:pPr>
      <w:r>
        <w:drawing>
          <wp:inline distT="0" distB="0" distL="0" distR="0">
            <wp:extent cx="4286250" cy="3076575"/>
            <wp:effectExtent t="0" r="0" b="0" l="0"/>
            <wp:docPr id="1" name="fig31_perm_importance_ai.png" descr="Permutation importance for the selected AI-adoption model (LightGBM)." title="Permutation importance for the selected AI-adoption model (LightG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30765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31</w:t>
      </w:r>
      <w:r>
        <w:fldChar w:fldCharType="end"/>
      </w:r>
      <w:r>
        <w:rPr>
          <w:rFonts w:ascii="Times New Roman" w:cs="Times New Roman" w:eastAsia="Times New Roman" w:hAnsi="Times New Roman"/>
          <w:sz w:val="22"/>
          <w:szCs w:val="22"/>
        </w:rPr>
        <w:t xml:space="preserve">: Permutation importance for the selected AI-adoption model (LightGBM).</w:t>
      </w:r>
    </w:p>
    <w:p>
      <w:pPr>
        <w:keepNext/>
        <w:spacing w:after="0" w:before="120" w:line="240" w:lineRule="auto"/>
        <w:jc w:val="center"/>
      </w:pPr>
      <w:r>
        <w:drawing>
          <wp:inline distT="0" distB="0" distL="0" distR="0">
            <wp:extent cx="4476750" cy="3400425"/>
            <wp:effectExtent t="0" r="0" b="0" l="0"/>
            <wp:docPr id="1" name="fig32_shap_salary.png" descr="SHAP summary of the LightGBM salary model: each dot is a respondent; colour = feature value; x = effect on predicted log-compensation." title="SHAP summary of the LightGBM salary model: each dot is a respondent; colour = feature value; x = effect on predicted log-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76750" cy="34004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32</w:t>
      </w:r>
      <w:r>
        <w:fldChar w:fldCharType="end"/>
      </w:r>
      <w:r>
        <w:rPr>
          <w:rFonts w:ascii="Times New Roman" w:cs="Times New Roman" w:eastAsia="Times New Roman" w:hAnsi="Times New Roman"/>
          <w:sz w:val="22"/>
          <w:szCs w:val="22"/>
        </w:rPr>
        <w:t xml:space="preserve">: SHAP summary of the LightGBM salary model: each dot is a respondent; colour = feature value; x = effect on predicted log-compensation.</w:t>
      </w:r>
    </w:p>
    <w:p>
      <w:pPr>
        <w:keepNext/>
        <w:spacing w:after="0" w:before="120" w:line="240" w:lineRule="auto"/>
        <w:jc w:val="center"/>
      </w:pPr>
      <w:r>
        <w:drawing>
          <wp:inline distT="0" distB="0" distL="0" distR="0">
            <wp:extent cx="4476750" cy="3400425"/>
            <wp:effectExtent t="0" r="0" b="0" l="0"/>
            <wp:docPr id="1" name="fig33_shap_ai.png" descr="SHAP summary of the LightGBM AI-adoption model (effect on log-odds of using AI)." title="SHAP summary of the LightGBM AI-adoption model (effect on log-odds of usi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76750" cy="34004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33</w:t>
      </w:r>
      <w:r>
        <w:fldChar w:fldCharType="end"/>
      </w:r>
      <w:r>
        <w:rPr>
          <w:rFonts w:ascii="Times New Roman" w:cs="Times New Roman" w:eastAsia="Times New Roman" w:hAnsi="Times New Roman"/>
          <w:sz w:val="22"/>
          <w:szCs w:val="22"/>
        </w:rPr>
        <w:t xml:space="preserve">: SHAP summary of the LightGBM AI-adoption model (effect on log-odds of using AI).</w:t>
      </w:r>
    </w:p>
    <w:p>
      <w:pPr>
        <w:keepNext/>
        <w:spacing w:after="0" w:before="120" w:line="240" w:lineRule="auto"/>
        <w:jc w:val="center"/>
      </w:pPr>
      <w:r>
        <w:drawing>
          <wp:inline distT="0" distB="0" distL="0" distR="0">
            <wp:extent cx="5715000" cy="2219325"/>
            <wp:effectExtent t="0" r="0" b="0" l="0"/>
            <wp:docPr id="1" name="fig34_partial_dependence.png" descr="Partial dependence: average predicted pay as professional experience is varied, by country (a); average predicted AI-adoption probability as age is varied (b)." title="Partial dependence: average predicted pay as professional experience is varied, by country (a); average predicted AI-adoption probability as age is vari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21932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34</w:t>
      </w:r>
      <w:r>
        <w:fldChar w:fldCharType="end"/>
      </w:r>
      <w:r>
        <w:rPr>
          <w:rFonts w:ascii="Times New Roman" w:cs="Times New Roman" w:eastAsia="Times New Roman" w:hAnsi="Times New Roman"/>
          <w:sz w:val="22"/>
          <w:szCs w:val="22"/>
        </w:rPr>
        <w:t xml:space="preserve">: Partial dependence: average predicted pay as professional experience is varied, by country (a); average predicted AI-adoption probability as age is varied (b).</w:t>
      </w:r>
    </w:p>
    <w:p>
      <w:pPr>
        <w:keepNext/>
        <w:spacing w:after="0" w:before="120" w:line="240" w:lineRule="auto"/>
        <w:jc w:val="center"/>
      </w:pPr>
      <w:r>
        <w:drawing>
          <wp:inline distT="0" distB="0" distL="0" distR="0">
            <wp:extent cx="5715000" cy="2124075"/>
            <wp:effectExtent t="0" r="0" b="0" l="0"/>
            <wp:docPr id="1" name="fig35_salary_error_by_segment.png" descr="Hold-out error of the salary model by country (a), experience band (b) and job role (c); India highlighted in orange." title="Hold-out error of the salary model by country (a), experience band (b) and job role (c); India highlight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1240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35</w:t>
      </w:r>
      <w:r>
        <w:fldChar w:fldCharType="end"/>
      </w:r>
      <w:r>
        <w:rPr>
          <w:rFonts w:ascii="Times New Roman" w:cs="Times New Roman" w:eastAsia="Times New Roman" w:hAnsi="Times New Roman"/>
          <w:sz w:val="22"/>
          <w:szCs w:val="22"/>
        </w:rPr>
        <w:t xml:space="preserve">: Hold-out error of the salary model by country (a), experience band (b) and job role (c); India highlighted in orange.</w:t>
      </w:r>
    </w:p>
    <w:p>
      <w:pPr>
        <w:keepNext/>
        <w:spacing w:after="0" w:before="120" w:line="240" w:lineRule="auto"/>
        <w:jc w:val="center"/>
      </w:pPr>
      <w:r>
        <w:drawing>
          <wp:inline distT="0" distB="0" distL="0" distR="0">
            <wp:extent cx="5715000" cy="1971675"/>
            <wp:effectExtent t="0" r="0" b="0" l="0"/>
            <wp:docPr id="1" name="fig36_ai_error_by_segment.png" descr="Hold-out ROC-AUC of the AI-adoption classifier within age brackets (a), countries (b) and roles (c); dashed line = overall AUC." title="Hold-out ROC-AUC of the AI-adoption classifier within age brackets (a), countries (b) and roles (c); dashed line = overall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971675"/>
                    </a:xfrm>
                    <a:prstGeom prst="rect">
                      <a:avLst/>
                    </a:prstGeom>
                  </pic:spPr>
                </pic:pic>
              </a:graphicData>
            </a:graphic>
          </wp:inline>
        </w:drawing>
      </w:r>
    </w:p>
    <w:p>
      <w:pPr>
        <w:pStyle w:val="Caption"/>
        <w:keepNext w:val="false"/>
        <w:spacing w:after="240" w:before="80" w:line="276" w:lineRule="auto"/>
        <w:jc w:val="center"/>
      </w:pPr>
      <w:r>
        <w:rPr>
          <w:rFonts w:ascii="Times New Roman" w:cs="Times New Roman" w:eastAsia="Times New Roman" w:hAnsi="Times New Roman"/>
          <w:b/>
          <w:bCs/>
          <w:sz w:val="22"/>
          <w:szCs w:val="22"/>
        </w:rPr>
        <w:t xml:space="preserve">Figure </w:t>
      </w:r>
      <w:r>
        <w:fldChar w:fldCharType="begin"/>
        <w:instrText xml:space="preserve">SEQ Figure</w:instrText>
        <w:fldChar w:fldCharType="separate"/>
      </w:r>
      <w:r>
        <w:rPr>
          <w:rFonts w:ascii="Times New Roman" w:hAnsi="Times New Roman" w:cs="Times New Roman"/>
          <w:b/>
          <w:sz w:val="22"/>
          <w:szCs w:val="22"/>
        </w:rPr>
        <w:t>36</w:t>
      </w:r>
      <w:r>
        <w:fldChar w:fldCharType="end"/>
      </w:r>
      <w:r>
        <w:rPr>
          <w:rFonts w:ascii="Times New Roman" w:cs="Times New Roman" w:eastAsia="Times New Roman" w:hAnsi="Times New Roman"/>
          <w:sz w:val="22"/>
          <w:szCs w:val="22"/>
        </w:rPr>
        <w:t xml:space="preserve">: Hold-out ROC-AUC of the AI-adoption classifier within age brackets (a), countries (b) and roles (c); dashed line = overall AUC.</w:t>
      </w:r>
    </w:p>
    <w:p>
      <w:pPr>
        <w:spacing w:after="120" w:before="0" w:line="360" w:lineRule="auto"/>
        <w:jc w:val="both"/>
      </w:pPr>
      <w:r>
        <w:rPr>
          <w:rFonts w:ascii="Times New Roman" w:cs="Times New Roman" w:eastAsia="Times New Roman" w:hAnsi="Times New Roman"/>
        </w:rPr>
        <w:t xml:space="preserve">Figure 30 and Figure 32 show that country is overwhelmingly the most informative input; in the SHAP plot, countries with high wages (red dots at the right) push predictions up by up to roughly +0.8 on the log scale and low-wage countries down by more than 1.5. Experience variables push predictions up with a saturating effect. Figure 31 and Figure 33 show a flatter structure for adoption. </w:t>
      </w:r>
      <w:r>
        <w:rPr>
          <w:rFonts w:ascii="Times New Roman" w:cs="Times New Roman" w:eastAsia="Times New Roman" w:hAnsi="Times New Roman"/>
          <w:i/>
          <w:iCs/>
        </w:rPr>
        <w:t xml:space="preserve">Reading note:</w:t>
      </w:r>
      <w:r>
        <w:rPr>
          <w:rFonts w:ascii="Times New Roman" w:cs="Times New Roman" w:eastAsia="Times New Roman" w:hAnsi="Times New Roman"/>
        </w:rPr>
        <w:t xml:space="preserve"> in SHAP plots, colour for ordinal-encoded categorical variables (e.g. work arrangement) reflects an arbitrary code order, not a meaningful “high” or “low”. Figure 34 confirms the experience plateau and the age gradient. Figure 35 shows country-specific error levels (India in orange) and flat errors across experience bands; Figure 36 shows that classifier quality is similar across most segments. </w:t>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models learned the same structure the statistical analyses of O1–O5 found; error is concentrated in markets with highly dispersed pay (Ukraine, Brazil, India), which a practitioner should treat as lower-confidence predictions.</w:t>
      </w:r>
    </w:p>
    <w:p>
      <w:pPr>
        <w:pStyle w:val="Heading1"/>
        <w:pageBreakBefore/>
      </w:pPr>
      <w:r>
        <w:rPr>
          <w:rFonts w:ascii="Times New Roman" w:cs="Times New Roman" w:eastAsia="Times New Roman" w:hAnsi="Times New Roman"/>
        </w:rPr>
        <w:t xml:space="preserve">5. Conclusion</w:t>
      </w:r>
    </w:p>
    <w:p>
      <w:pPr>
        <w:pStyle w:val="Heading2"/>
      </w:pPr>
      <w:r>
        <w:rPr>
          <w:rFonts w:ascii="Times New Roman" w:cs="Times New Roman" w:eastAsia="Times New Roman" w:hAnsi="Times New Roman"/>
        </w:rPr>
        <w:t xml:space="preserve">5.1 Summary of findings against the objectives</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O1 (geography).</w:t>
      </w:r>
      <w:r>
        <w:rPr>
          <w:rFonts w:ascii="Times New Roman" w:cs="Times New Roman" w:eastAsia="Times New Roman" w:hAnsi="Times New Roman"/>
        </w:rPr>
        <w:t xml:space="preserve"> Country alone explains about 51 % of the variation in log-pay. India’s median pay (USD 17,945) is 0.12 × the USA median and the lowest of the 28 large markets; it is significantly below all 27 other countries.</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O2 (experience).</w:t>
      </w:r>
      <w:r>
        <w:rPr>
          <w:rFonts w:ascii="Times New Roman" w:cs="Times New Roman" w:eastAsia="Times New Roman" w:hAnsi="Times New Roman"/>
        </w:rPr>
        <w:t xml:space="preserve"> Professional experience is moderately correlated with pay (ρ = 0.48); the estimated gain is 9.2 % per year at entry level, 5.3 % at ten years and close to zero after about 24 years. The early-career slope is much steeper in India (23.9 % vs 6.0 % in the USA).</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O3 (net effects).</w:t>
      </w:r>
      <w:r>
        <w:rPr>
          <w:rFonts w:ascii="Times New Roman" w:cs="Times New Roman" w:eastAsia="Times New Roman" w:hAnsi="Times New Roman"/>
        </w:rPr>
        <w:t xml:space="preserve"> After adjustment, remote work (+29.1 %), very large employers, management roles and cloud/data specialisations carry premiums, but role, company size, work mode and education together add only about 3 percentage points of R² beyond country and experience.</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O4 (adoption).</w:t>
      </w:r>
      <w:r>
        <w:rPr>
          <w:rFonts w:ascii="Times New Roman" w:cs="Times New Roman" w:eastAsia="Times New Roman" w:hAnsi="Times New Roman"/>
        </w:rPr>
        <w:t xml:space="preserve"> 61.8 % of respondents use AI tools; adoption falls with age and experience and is highest among AI developers and data scientists. India’s adoption (67.9 %) exceeds the rest of the world’s (61.4 %).</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O5 (attitudes).</w:t>
      </w:r>
      <w:r>
        <w:rPr>
          <w:rFonts w:ascii="Times New Roman" w:cs="Times New Roman" w:eastAsia="Times New Roman" w:hAnsi="Times New Roman"/>
        </w:rPr>
        <w:t xml:space="preserve"> Developers are favourable (74 %) but sceptical about accuracy (only 43 % trust it); 12 % see AI as a threat to their job. Career-stage effects on attitudes are statistically significant but practically negligible.</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O6 (salary prediction).</w:t>
      </w:r>
      <w:r>
        <w:rPr>
          <w:rFonts w:ascii="Times New Roman" w:cs="Times New Roman" w:eastAsia="Times New Roman" w:hAnsi="Times New Roman"/>
        </w:rPr>
        <w:t xml:space="preserve"> LightGBM was selected (hold-out R² = 0.624, MAE USD 28,585, MdAPE 27.4 %). It beats the country-median baseline by 15.3 % in RMSE but reduces the global-baseline RMSE by 39.7 %, narrowly missing the pre-registered 40 % target.</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O7 (adoption prediction).</w:t>
      </w:r>
      <w:r>
        <w:rPr>
          <w:rFonts w:ascii="Times New Roman" w:cs="Times New Roman" w:eastAsia="Times New Roman" w:hAnsi="Times New Roman"/>
        </w:rPr>
        <w:t xml:space="preserve"> LightGBM reaches a hold-out ROC-AUC of 0.669 (criterion ≥ 0.65 met) with good calibration, but F1 at threshold 0.5 is below the trivial all-yes baseline; adoption is only modestly predictable from background alone. Including leaky follow-up variables would have inflated AUC to 1.000.</w:t>
      </w:r>
    </w:p>
    <w:p>
      <w:pPr>
        <w:pStyle w:val="ListParagraph"/>
        <w:numPr>
          <w:ilvl w:val="0"/>
          <w:numId w:val="4"/>
        </w:numPr>
        <w:spacing w:after="60" w:before="0" w:line="360" w:lineRule="auto"/>
        <w:jc w:val="both"/>
      </w:pPr>
      <w:r>
        <w:rPr>
          <w:rFonts w:ascii="Times New Roman" w:cs="Times New Roman" w:eastAsia="Times New Roman" w:hAnsi="Times New Roman"/>
          <w:b/>
          <w:bCs/>
        </w:rPr>
        <w:t xml:space="preserve">O8 (explanation).</w:t>
      </w:r>
      <w:r>
        <w:rPr>
          <w:rFonts w:ascii="Times New Roman" w:cs="Times New Roman" w:eastAsia="Times New Roman" w:hAnsi="Times New Roman"/>
        </w:rPr>
        <w:t xml:space="preserve"> Country is by far the most important salary predictor, followed by professional experience; for adoption, total years coded, role and country lead. Salary errors are largest for Ukraine, Brazil and India (India MdAPE 37.4 %).</w:t>
      </w:r>
    </w:p>
    <w:p>
      <w:pPr>
        <w:pStyle w:val="Heading2"/>
      </w:pPr>
      <w:r>
        <w:rPr>
          <w:rFonts w:ascii="Times New Roman" w:cs="Times New Roman" w:eastAsia="Times New Roman" w:hAnsi="Times New Roman"/>
        </w:rPr>
        <w:t xml:space="preserve">5.2 Recommendations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For students and early-career developers (including in India):</w:t>
      </w:r>
      <w:r>
        <w:rPr>
          <w:rFonts w:ascii="Times New Roman" w:cs="Times New Roman" w:eastAsia="Times New Roman" w:hAnsi="Times New Roman"/>
        </w:rPr>
        <w:t xml:space="preserve"> because the marginal return to experience is steepest in the first five to ten years and flattens after about two decades, early skill building — and moving into management, cloud or data specialisations where adjusted premiums are largest — is associated with the biggest pay growth. These are associations, not guarantees.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For anyone benchmarking pay:</w:t>
      </w:r>
      <w:r>
        <w:rPr>
          <w:rFonts w:ascii="Times New Roman" w:cs="Times New Roman" w:eastAsia="Times New Roman" w:hAnsi="Times New Roman"/>
        </w:rPr>
        <w:t xml:space="preserve"> always compare within the same country first; roughly half of the variation in nominal pay is geographic. Use the saved salary model only as a rough guide (median error about 27 %; only about 47 % of predictions fall within ±25 % of the true value).</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For teams adopting AI tools:</w:t>
      </w:r>
      <w:r>
        <w:rPr>
          <w:rFonts w:ascii="Times New Roman" w:cs="Times New Roman" w:eastAsia="Times New Roman" w:hAnsi="Times New Roman"/>
        </w:rPr>
        <w:t xml:space="preserve"> trust in AI output is much lower than enthusiasm for it. Training should emphasise verification, particularly for complex tasks where most users rate AI performance as only moderate.</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For analysts reusing this survey:</w:t>
      </w:r>
      <w:r>
        <w:rPr>
          <w:rFonts w:ascii="Times New Roman" w:cs="Times New Roman" w:eastAsia="Times New Roman" w:hAnsi="Times New Roman"/>
        </w:rPr>
        <w:t xml:space="preserve"> treat conditional questions (ai_sent, ai_acc, ai_complex, ai_threat) as structurally missing and never use them as predictors of the screening question; report effect sizes, not just p-values, because with tens of thousands of respondents everything is “significant”.</w:t>
      </w:r>
    </w:p>
    <w:p>
      <w:pPr>
        <w:pStyle w:val="Heading2"/>
      </w:pPr>
      <w:r>
        <w:rPr>
          <w:rFonts w:ascii="Times New Roman" w:cs="Times New Roman" w:eastAsia="Times New Roman" w:hAnsi="Times New Roman"/>
        </w:rPr>
        <w:t xml:space="preserve">5.3 Limitations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Self-selected, self-reported data.</w:t>
      </w:r>
      <w:r>
        <w:rPr>
          <w:rFonts w:ascii="Times New Roman" w:cs="Times New Roman" w:eastAsia="Times New Roman" w:hAnsi="Times New Roman"/>
        </w:rPr>
        <w:t xml:space="preserve"> Results describe survey respondents, not all developers; compensation is unverified and in nominal USD without purchasing-power adjustment.</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Observational design.</w:t>
      </w:r>
      <w:r>
        <w:rPr>
          <w:rFonts w:ascii="Times New Roman" w:cs="Times New Roman" w:eastAsia="Times New Roman" w:hAnsi="Times New Roman"/>
        </w:rPr>
        <w:t xml:space="preserve"> No causal claims can be drawn (for example about remote work, education or AI use and pay).</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Single survey year and limited features.</w:t>
      </w:r>
      <w:r>
        <w:rPr>
          <w:rFonts w:ascii="Times New Roman" w:cs="Times New Roman" w:eastAsia="Times New Roman" w:hAnsi="Times New Roman"/>
        </w:rPr>
        <w:t xml:space="preserve"> Only single-response questions were available; languages, technologies and AI tools used could not be used as predictors.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Modest predictive ceiling.</w:t>
      </w:r>
      <w:r>
        <w:rPr>
          <w:rFonts w:ascii="Times New Roman" w:cs="Times New Roman" w:eastAsia="Times New Roman" w:hAnsi="Times New Roman"/>
        </w:rPr>
        <w:t xml:space="preserve"> The salary model explains about 62 % of the variance in log-pay; the adoption model’s AUC is about 0.67. More informative predictors and more data are likely to help more than more complex algorithms (learning curve, Section 4.6; the four learners perform almost identically).</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Small subgroups.</w:t>
      </w:r>
      <w:r>
        <w:rPr>
          <w:rFonts w:ascii="Times New Roman" w:cs="Times New Roman" w:eastAsia="Times New Roman" w:hAnsi="Times New Roman"/>
        </w:rPr>
        <w:t xml:space="preserve"> India has about 1,000 salary reports, so Indian-specific estimates have wider uncertainty and may not represent all Indian developers.</w:t>
      </w:r>
    </w:p>
    <w:p>
      <w:pPr>
        <w:pStyle w:val="Heading1"/>
        <w:pageBreakBefore/>
      </w:pPr>
      <w:r>
        <w:rPr>
          <w:rFonts w:ascii="Times New Roman" w:cs="Times New Roman" w:eastAsia="Times New Roman" w:hAnsi="Times New Roman"/>
        </w:rPr>
        <w:t xml:space="preserve">6. Future Scope</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Multi-year analysis:</w:t>
      </w:r>
      <w:r>
        <w:rPr>
          <w:rFonts w:ascii="Times New Roman" w:cs="Times New Roman" w:eastAsia="Times New Roman" w:hAnsi="Times New Roman"/>
        </w:rPr>
        <w:t xml:space="preserve"> repeat the pipeline on the 2019–2025 Stack Overflow surveys to measure how AI adoption, trust and the experience premium change over time, and to test whether the models generalise across years (temporal validation).</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Purchasing-power and cost-of-living adjustment:</w:t>
      </w:r>
      <w:r>
        <w:rPr>
          <w:rFonts w:ascii="Times New Roman" w:cs="Times New Roman" w:eastAsia="Times New Roman" w:hAnsi="Times New Roman"/>
        </w:rPr>
        <w:t xml:space="preserve"> convert salaries using PPP factors to separate genuine pay gaps from price-level differences, especially for the India-versus-USA comparison.</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Richer features:</w:t>
      </w:r>
      <w:r>
        <w:rPr>
          <w:rFonts w:ascii="Times New Roman" w:cs="Times New Roman" w:eastAsia="Times New Roman" w:hAnsi="Times New Roman"/>
        </w:rPr>
        <w:t xml:space="preserve"> use the multi-select questions (languages, databases, cloud platforms, AI tools used, learning sources) with multi-hot or embedding representations, which should lift both models above the current ceiling.</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Uncertainty-aware prediction:</w:t>
      </w:r>
      <w:r>
        <w:rPr>
          <w:rFonts w:ascii="Times New Roman" w:cs="Times New Roman" w:eastAsia="Times New Roman" w:hAnsi="Times New Roman"/>
        </w:rPr>
        <w:t xml:space="preserve"> quantile regression or conformal prediction to give salary </w:t>
      </w:r>
      <w:r>
        <w:rPr>
          <w:rFonts w:ascii="Times New Roman" w:cs="Times New Roman" w:eastAsia="Times New Roman" w:hAnsi="Times New Roman"/>
          <w:i/>
          <w:iCs/>
        </w:rPr>
        <w:t xml:space="preserve">ranges</w:t>
      </w:r>
      <w:r>
        <w:rPr>
          <w:rFonts w:ascii="Times New Roman" w:cs="Times New Roman" w:eastAsia="Times New Roman" w:hAnsi="Times New Roman"/>
        </w:rPr>
        <w:t xml:space="preserve"> with guaranteed coverage instead of single point estimates.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Hierarchical modelling:</w:t>
      </w:r>
      <w:r>
        <w:rPr>
          <w:rFonts w:ascii="Times New Roman" w:cs="Times New Roman" w:eastAsia="Times New Roman" w:hAnsi="Times New Roman"/>
        </w:rPr>
        <w:t xml:space="preserve"> mixed-effects (multilevel) models with country random effects to share strength between small and large countries.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Causal inference:</w:t>
      </w:r>
      <w:r>
        <w:rPr>
          <w:rFonts w:ascii="Times New Roman" w:cs="Times New Roman" w:eastAsia="Times New Roman" w:hAnsi="Times New Roman"/>
        </w:rPr>
        <w:t xml:space="preserve"> propensity-score or instrumental-variable designs to study the effect of remote work or AI use on pay, which the observational analysis here cannot establish.</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Ordinal and fairness analyses:</w:t>
      </w:r>
      <w:r>
        <w:rPr>
          <w:rFonts w:ascii="Times New Roman" w:cs="Times New Roman" w:eastAsia="Times New Roman" w:hAnsi="Times New Roman"/>
        </w:rPr>
        <w:t xml:space="preserve"> ordinal logistic regression for attitudes; formal fairness audits of the salary model across gender, age and country groups.</w:t>
      </w:r>
    </w:p>
    <w:p>
      <w:pPr>
        <w:pStyle w:val="ListParagraph"/>
        <w:numPr>
          <w:ilvl w:val="0"/>
          <w:numId w:val="2"/>
        </w:numPr>
        <w:spacing w:after="60" w:before="0" w:line="360" w:lineRule="auto"/>
        <w:jc w:val="both"/>
      </w:pPr>
      <w:r>
        <w:rPr>
          <w:rFonts w:ascii="Times New Roman" w:cs="Times New Roman" w:eastAsia="Times New Roman" w:hAnsi="Times New Roman"/>
          <w:b/>
          <w:bCs/>
        </w:rPr>
        <w:t xml:space="preserve">Deployment:</w:t>
      </w:r>
      <w:r>
        <w:rPr>
          <w:rFonts w:ascii="Times New Roman" w:cs="Times New Roman" w:eastAsia="Times New Roman" w:hAnsi="Times New Roman"/>
        </w:rPr>
        <w:t xml:space="preserve"> wrap the saved pipelines in a Streamlit or FastAPI application with SHAP-based per-person explanations and monitoring for data drift.</w:t>
      </w:r>
    </w:p>
    <w:p>
      <w:pPr>
        <w:spacing w:before="280" w:after="280"/>
      </w:pPr>
      <w:r>
        <w:rPr>
          <w:rFonts w:ascii="Times New Roman" w:hAnsi="Times New Roman"/>
          <w:b/>
          <w:sz w:val="24"/>
        </w:rPr>
        <w:t xml:space="preserve">Github Repository: </w:t>
      </w:r>
      <w:r>
        <w:rPr>
          <w:rFonts w:ascii="Times New Roman" w:hAnsi="Times New Roman"/>
          <w:color w:val="1E40AF"/>
          <w:sz w:val="24"/>
          <w:u w:val="single"/>
        </w:rPr>
        <w:t>https://github.com/Girishkumar0315/Predictive_analytics.git</w:t>
        <w:br/>
      </w:r>
      <w:r>
        <w:rPr>
          <w:rFonts w:ascii="Times New Roman" w:hAnsi="Times New Roman"/>
          <w:b/>
          <w:sz w:val="24"/>
        </w:rPr>
        <w:t xml:space="preserve">Project Platform: </w:t>
      </w:r>
      <w:r>
        <w:rPr>
          <w:rFonts w:ascii="Times New Roman" w:hAnsi="Times New Roman"/>
          <w:i/>
          <w:sz w:val="24"/>
        </w:rPr>
        <w:t>SalaryScope AI (Production Machine Learning Web Application with LightGBM Engine)</w:t>
      </w:r>
    </w:p>
    <w:p>
      <w:pPr>
        <w:pStyle w:val="Heading1"/>
        <w:pageBreakBefore/>
      </w:pPr>
      <w:r>
        <w:rPr>
          <w:rFonts w:ascii="Times New Roman" w:cs="Times New Roman" w:eastAsia="Times New Roman" w:hAnsi="Times New Roman"/>
        </w:rPr>
        <w:t xml:space="preserve">7. References</w:t>
      </w:r>
    </w:p>
    <w:p>
      <w:pPr>
        <w:pStyle w:val="ListParagraph"/>
        <w:numPr>
          <w:ilvl w:val="0"/>
          <w:numId w:val="5"/>
        </w:numPr>
        <w:spacing w:after="60" w:before="0" w:line="360" w:lineRule="auto"/>
        <w:jc w:val="both"/>
      </w:pPr>
      <w:r>
        <w:rPr>
          <w:rFonts w:ascii="Times New Roman" w:cs="Times New Roman" w:eastAsia="Times New Roman" w:hAnsi="Times New Roman"/>
        </w:rPr>
        <w:t xml:space="preserve">Stack Overflow, “2024 Developer Survey,” 2024. [Online]. Available: https://survey.stackoverflow.co/2024/</w:t>
      </w:r>
    </w:p>
    <w:p>
      <w:pPr>
        <w:pStyle w:val="ListParagraph"/>
        <w:numPr>
          <w:ilvl w:val="0"/>
          <w:numId w:val="5"/>
        </w:numPr>
        <w:spacing w:after="60" w:before="0" w:line="360" w:lineRule="auto"/>
        <w:jc w:val="both"/>
      </w:pPr>
      <w:r>
        <w:rPr>
          <w:rFonts w:ascii="Times New Roman" w:cs="Times New Roman" w:eastAsia="Times New Roman" w:hAnsi="Times New Roman"/>
        </w:rPr>
        <w:t xml:space="preserve">H. Khurana and the R4DS Online Learning Community, “TidyTuesday: Stack Overflow Annual Developer Survey 2024 (week 36),” GitHub repository rfordatascience/tidytuesday, 2024. [Online]. Available: https://github.com/rfordatascience/tidytuesday/tree/main/data/2024/2024-09-03</w:t>
      </w:r>
    </w:p>
    <w:p>
      <w:pPr>
        <w:pStyle w:val="ListParagraph"/>
        <w:numPr>
          <w:ilvl w:val="0"/>
          <w:numId w:val="5"/>
        </w:numPr>
        <w:spacing w:after="60" w:before="0" w:line="360" w:lineRule="auto"/>
        <w:jc w:val="both"/>
      </w:pPr>
      <w:r>
        <w:rPr>
          <w:rFonts w:ascii="Times New Roman" w:cs="Times New Roman" w:eastAsia="Times New Roman" w:hAnsi="Times New Roman"/>
        </w:rPr>
        <w:t xml:space="preserve">F. Pedregosa et al.,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vol. 12, pp. 2825–2830, 2011.</w:t>
      </w:r>
    </w:p>
    <w:p>
      <w:pPr>
        <w:pStyle w:val="ListParagraph"/>
        <w:numPr>
          <w:ilvl w:val="0"/>
          <w:numId w:val="5"/>
        </w:numPr>
        <w:spacing w:after="60" w:before="0" w:line="360" w:lineRule="auto"/>
        <w:jc w:val="both"/>
      </w:pPr>
      <w:r>
        <w:rPr>
          <w:rFonts w:ascii="Times New Roman" w:cs="Times New Roman" w:eastAsia="Times New Roman" w:hAnsi="Times New Roman"/>
        </w:rPr>
        <w:t xml:space="preserve">G. Ke et al., “LightGBM: A highly efficient gradient boosting decision tree,” in </w:t>
      </w:r>
      <w:r>
        <w:rPr>
          <w:rFonts w:ascii="Times New Roman" w:cs="Times New Roman" w:eastAsia="Times New Roman" w:hAnsi="Times New Roman"/>
          <w:i/>
          <w:iCs/>
        </w:rPr>
        <w:t xml:space="preserve">Advances in Neural Information Processing Systems 30</w:t>
      </w:r>
      <w:r>
        <w:rPr>
          <w:rFonts w:ascii="Times New Roman" w:cs="Times New Roman" w:eastAsia="Times New Roman" w:hAnsi="Times New Roman"/>
        </w:rPr>
        <w:t xml:space="preserve">, 2017, pp. 3146–3154.</w:t>
      </w:r>
    </w:p>
    <w:p>
      <w:pPr>
        <w:pStyle w:val="ListParagraph"/>
        <w:numPr>
          <w:ilvl w:val="0"/>
          <w:numId w:val="5"/>
        </w:numPr>
        <w:spacing w:after="60" w:before="0" w:line="360" w:lineRule="auto"/>
        <w:jc w:val="both"/>
      </w:pPr>
      <w:r>
        <w:rPr>
          <w:rFonts w:ascii="Times New Roman" w:cs="Times New Roman" w:eastAsia="Times New Roman" w:hAnsi="Times New Roman"/>
        </w:rPr>
        <w:t xml:space="preserve">S. M. Lundberg and S.-I. Lee, “A unified approach to interpreting model predictions,” in </w:t>
      </w:r>
      <w:r>
        <w:rPr>
          <w:rFonts w:ascii="Times New Roman" w:cs="Times New Roman" w:eastAsia="Times New Roman" w:hAnsi="Times New Roman"/>
          <w:i/>
          <w:iCs/>
        </w:rPr>
        <w:t xml:space="preserve">Advances in Neural Information Processing Systems 30</w:t>
      </w:r>
      <w:r>
        <w:rPr>
          <w:rFonts w:ascii="Times New Roman" w:cs="Times New Roman" w:eastAsia="Times New Roman" w:hAnsi="Times New Roman"/>
        </w:rPr>
        <w:t xml:space="preserve">, 2017, pp. 4765–4774.</w:t>
      </w:r>
    </w:p>
    <w:p>
      <w:pPr>
        <w:pStyle w:val="ListParagraph"/>
        <w:numPr>
          <w:ilvl w:val="0"/>
          <w:numId w:val="5"/>
        </w:numPr>
        <w:spacing w:after="60" w:before="0" w:line="360" w:lineRule="auto"/>
        <w:jc w:val="both"/>
      </w:pPr>
      <w:r>
        <w:rPr>
          <w:rFonts w:ascii="Times New Roman" w:cs="Times New Roman" w:eastAsia="Times New Roman" w:hAnsi="Times New Roman"/>
        </w:rPr>
        <w:t xml:space="preserve">L. Breiman,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vol. 45, no. 1, pp. 5–32, 2001.</w:t>
      </w:r>
    </w:p>
    <w:p>
      <w:pPr>
        <w:pStyle w:val="ListParagraph"/>
        <w:numPr>
          <w:ilvl w:val="0"/>
          <w:numId w:val="5"/>
        </w:numPr>
        <w:spacing w:after="60" w:before="0" w:line="360" w:lineRule="auto"/>
        <w:jc w:val="both"/>
      </w:pPr>
      <w:r>
        <w:rPr>
          <w:rFonts w:ascii="Times New Roman" w:cs="Times New Roman" w:eastAsia="Times New Roman" w:hAnsi="Times New Roman"/>
        </w:rPr>
        <w:t xml:space="preserve">J. H. Friedman, “Greedy function approximation: A gradient boosting machine,” </w:t>
      </w:r>
      <w:r>
        <w:rPr>
          <w:rFonts w:ascii="Times New Roman" w:cs="Times New Roman" w:eastAsia="Times New Roman" w:hAnsi="Times New Roman"/>
          <w:i/>
          <w:iCs/>
        </w:rPr>
        <w:t xml:space="preserve">Annals of Statistics</w:t>
      </w:r>
      <w:r>
        <w:rPr>
          <w:rFonts w:ascii="Times New Roman" w:cs="Times New Roman" w:eastAsia="Times New Roman" w:hAnsi="Times New Roman"/>
        </w:rPr>
        <w:t xml:space="preserve">, vol. 29, no. 5, pp. 1189–1232, 2001.</w:t>
      </w:r>
    </w:p>
    <w:p>
      <w:pPr>
        <w:pStyle w:val="ListParagraph"/>
        <w:numPr>
          <w:ilvl w:val="0"/>
          <w:numId w:val="5"/>
        </w:numPr>
        <w:spacing w:after="60" w:before="0" w:line="360" w:lineRule="auto"/>
        <w:jc w:val="both"/>
      </w:pPr>
      <w:r>
        <w:rPr>
          <w:rFonts w:ascii="Times New Roman" w:cs="Times New Roman" w:eastAsia="Times New Roman" w:hAnsi="Times New Roman"/>
        </w:rPr>
        <w:t xml:space="preserve">A. E. Hoerl and R. W. Kennard, “Ridge regression: Biased estimation for nonorthogonal problems,” </w:t>
      </w:r>
      <w:r>
        <w:rPr>
          <w:rFonts w:ascii="Times New Roman" w:cs="Times New Roman" w:eastAsia="Times New Roman" w:hAnsi="Times New Roman"/>
          <w:i/>
          <w:iCs/>
        </w:rPr>
        <w:t xml:space="preserve">Technometrics</w:t>
      </w:r>
      <w:r>
        <w:rPr>
          <w:rFonts w:ascii="Times New Roman" w:cs="Times New Roman" w:eastAsia="Times New Roman" w:hAnsi="Times New Roman"/>
        </w:rPr>
        <w:t xml:space="preserve">, vol. 12, no. 1, pp. 55–67, 1970.</w:t>
      </w:r>
    </w:p>
    <w:p>
      <w:pPr>
        <w:pStyle w:val="ListParagraph"/>
        <w:numPr>
          <w:ilvl w:val="0"/>
          <w:numId w:val="5"/>
        </w:numPr>
        <w:spacing w:after="60" w:before="0" w:line="360" w:lineRule="auto"/>
        <w:jc w:val="both"/>
      </w:pPr>
      <w:r>
        <w:rPr>
          <w:rFonts w:ascii="Times New Roman" w:cs="Times New Roman" w:eastAsia="Times New Roman" w:hAnsi="Times New Roman"/>
        </w:rPr>
        <w:t xml:space="preserve">T. Hastie, R. Tibshirani and J. Friedman, </w:t>
      </w:r>
      <w:r>
        <w:rPr>
          <w:rFonts w:ascii="Times New Roman" w:cs="Times New Roman" w:eastAsia="Times New Roman" w:hAnsi="Times New Roman"/>
          <w:i/>
          <w:iCs/>
        </w:rPr>
        <w:t xml:space="preserve">The Elements of Statistical Learning</w:t>
      </w:r>
      <w:r>
        <w:rPr>
          <w:rFonts w:ascii="Times New Roman" w:cs="Times New Roman" w:eastAsia="Times New Roman" w:hAnsi="Times New Roman"/>
        </w:rPr>
        <w:t xml:space="preserve">, 2nd ed. New York: Springer, 2009.</w:t>
      </w:r>
    </w:p>
    <w:p>
      <w:pPr>
        <w:pStyle w:val="ListParagraph"/>
        <w:numPr>
          <w:ilvl w:val="0"/>
          <w:numId w:val="5"/>
        </w:numPr>
        <w:spacing w:after="60" w:before="0" w:line="360" w:lineRule="auto"/>
        <w:jc w:val="both"/>
      </w:pPr>
      <w:r>
        <w:rPr>
          <w:rFonts w:ascii="Times New Roman" w:cs="Times New Roman" w:eastAsia="Times New Roman" w:hAnsi="Times New Roman"/>
        </w:rPr>
        <w:t xml:space="preserve">S. Kaufman, S. Rosset, C. Perlich and O. Stitelman, “Leakage in data mining: Formulation, detection, and avoidance,” </w:t>
      </w:r>
      <w:r>
        <w:rPr>
          <w:rFonts w:ascii="Times New Roman" w:cs="Times New Roman" w:eastAsia="Times New Roman" w:hAnsi="Times New Roman"/>
          <w:i/>
          <w:iCs/>
        </w:rPr>
        <w:t xml:space="preserve">ACM Transactions on Knowledge Discovery from Data</w:t>
      </w:r>
      <w:r>
        <w:rPr>
          <w:rFonts w:ascii="Times New Roman" w:cs="Times New Roman" w:eastAsia="Times New Roman" w:hAnsi="Times New Roman"/>
        </w:rPr>
        <w:t xml:space="preserve">, vol. 6, no. 4, art. 15, 2012.</w:t>
      </w:r>
    </w:p>
    <w:p>
      <w:pPr>
        <w:pStyle w:val="ListParagraph"/>
        <w:numPr>
          <w:ilvl w:val="0"/>
          <w:numId w:val="5"/>
        </w:numPr>
        <w:spacing w:after="60" w:before="0" w:line="360" w:lineRule="auto"/>
        <w:jc w:val="both"/>
      </w:pPr>
      <w:r>
        <w:rPr>
          <w:rFonts w:ascii="Times New Roman" w:cs="Times New Roman" w:eastAsia="Times New Roman" w:hAnsi="Times New Roman"/>
        </w:rPr>
        <w:t xml:space="preserve">D. Micci-Barreca, “A preprocessing scheme for high-cardinality categorical attributes in classification and prediction problems,” </w:t>
      </w:r>
      <w:r>
        <w:rPr>
          <w:rFonts w:ascii="Times New Roman" w:cs="Times New Roman" w:eastAsia="Times New Roman" w:hAnsi="Times New Roman"/>
          <w:i/>
          <w:iCs/>
        </w:rPr>
        <w:t xml:space="preserve">ACM SIGKDD Explorations</w:t>
      </w:r>
      <w:r>
        <w:rPr>
          <w:rFonts w:ascii="Times New Roman" w:cs="Times New Roman" w:eastAsia="Times New Roman" w:hAnsi="Times New Roman"/>
        </w:rPr>
        <w:t xml:space="preserve">, vol. 3, no. 1, pp. 27–32, 2001.</w:t>
      </w:r>
    </w:p>
    <w:p>
      <w:pPr>
        <w:pStyle w:val="ListParagraph"/>
        <w:numPr>
          <w:ilvl w:val="0"/>
          <w:numId w:val="5"/>
        </w:numPr>
        <w:spacing w:after="60" w:before="0" w:line="360" w:lineRule="auto"/>
        <w:jc w:val="both"/>
      </w:pPr>
      <w:r>
        <w:rPr>
          <w:rFonts w:ascii="Times New Roman" w:cs="Times New Roman" w:eastAsia="Times New Roman" w:hAnsi="Times New Roman"/>
        </w:rPr>
        <w:t xml:space="preserve">W. H. Kruskal and W. A. Wallis, “Use of ranks in one-criterion variance analysis,” </w:t>
      </w:r>
      <w:r>
        <w:rPr>
          <w:rFonts w:ascii="Times New Roman" w:cs="Times New Roman" w:eastAsia="Times New Roman" w:hAnsi="Times New Roman"/>
          <w:i/>
          <w:iCs/>
        </w:rPr>
        <w:t xml:space="preserve">Journal of the American Statistical Association</w:t>
      </w:r>
      <w:r>
        <w:rPr>
          <w:rFonts w:ascii="Times New Roman" w:cs="Times New Roman" w:eastAsia="Times New Roman" w:hAnsi="Times New Roman"/>
        </w:rPr>
        <w:t xml:space="preserve">, vol. 47, no. 260, pp. 583–621, 1952.</w:t>
      </w:r>
    </w:p>
    <w:p>
      <w:pPr>
        <w:pStyle w:val="ListParagraph"/>
        <w:numPr>
          <w:ilvl w:val="0"/>
          <w:numId w:val="5"/>
        </w:numPr>
        <w:spacing w:after="60" w:before="0" w:line="360" w:lineRule="auto"/>
        <w:jc w:val="both"/>
      </w:pPr>
      <w:r>
        <w:rPr>
          <w:rFonts w:ascii="Times New Roman" w:cs="Times New Roman" w:eastAsia="Times New Roman" w:hAnsi="Times New Roman"/>
        </w:rPr>
        <w:t xml:space="preserve">H. Cramér, </w:t>
      </w:r>
      <w:r>
        <w:rPr>
          <w:rFonts w:ascii="Times New Roman" w:cs="Times New Roman" w:eastAsia="Times New Roman" w:hAnsi="Times New Roman"/>
          <w:i/>
          <w:iCs/>
        </w:rPr>
        <w:t xml:space="preserve">Mathematical Methods of Statistics</w:t>
      </w:r>
      <w:r>
        <w:rPr>
          <w:rFonts w:ascii="Times New Roman" w:cs="Times New Roman" w:eastAsia="Times New Roman" w:hAnsi="Times New Roman"/>
        </w:rPr>
        <w:t xml:space="preserve">. Princeton, NJ: Princeton University Press, 1946.</w:t>
      </w:r>
    </w:p>
    <w:p>
      <w:pPr>
        <w:pStyle w:val="ListParagraph"/>
        <w:numPr>
          <w:ilvl w:val="0"/>
          <w:numId w:val="5"/>
        </w:numPr>
        <w:spacing w:after="60" w:before="0" w:line="360" w:lineRule="auto"/>
        <w:jc w:val="both"/>
      </w:pPr>
      <w:r>
        <w:rPr>
          <w:rFonts w:ascii="Times New Roman" w:cs="Times New Roman" w:eastAsia="Times New Roman" w:hAnsi="Times New Roman"/>
        </w:rPr>
        <w:t xml:space="preserve">E. B. Wilson, “Probable inference, the law of succession, and statistical inference,” </w:t>
      </w:r>
      <w:r>
        <w:rPr>
          <w:rFonts w:ascii="Times New Roman" w:cs="Times New Roman" w:eastAsia="Times New Roman" w:hAnsi="Times New Roman"/>
          <w:i/>
          <w:iCs/>
        </w:rPr>
        <w:t xml:space="preserve">Journal of the American Statistical Association</w:t>
      </w:r>
      <w:r>
        <w:rPr>
          <w:rFonts w:ascii="Times New Roman" w:cs="Times New Roman" w:eastAsia="Times New Roman" w:hAnsi="Times New Roman"/>
        </w:rPr>
        <w:t xml:space="preserve">, vol. 22, no. 158, pp. 209–212, 1927.</w:t>
      </w:r>
    </w:p>
    <w:p>
      <w:pPr>
        <w:pStyle w:val="ListParagraph"/>
        <w:numPr>
          <w:ilvl w:val="0"/>
          <w:numId w:val="5"/>
        </w:numPr>
        <w:spacing w:after="60" w:before="0" w:line="360" w:lineRule="auto"/>
        <w:jc w:val="both"/>
      </w:pPr>
      <w:r>
        <w:rPr>
          <w:rFonts w:ascii="Times New Roman" w:cs="Times New Roman" w:eastAsia="Times New Roman" w:hAnsi="Times New Roman"/>
        </w:rPr>
        <w:t xml:space="preserve">S. Holm,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vol. 6, no. 2, pp. 65–70, 1979.</w:t>
      </w:r>
    </w:p>
    <w:p>
      <w:pPr>
        <w:pStyle w:val="ListParagraph"/>
        <w:numPr>
          <w:ilvl w:val="0"/>
          <w:numId w:val="5"/>
        </w:numPr>
        <w:spacing w:after="60" w:before="0" w:line="360" w:lineRule="auto"/>
        <w:jc w:val="both"/>
      </w:pPr>
      <w:r>
        <w:rPr>
          <w:rFonts w:ascii="Times New Roman" w:cs="Times New Roman" w:eastAsia="Times New Roman" w:hAnsi="Times New Roman"/>
        </w:rPr>
        <w:t xml:space="preserve">N. Cliff, “Dominance statistics: Ordinal analyses to answer ordinal questions,” </w:t>
      </w:r>
      <w:r>
        <w:rPr>
          <w:rFonts w:ascii="Times New Roman" w:cs="Times New Roman" w:eastAsia="Times New Roman" w:hAnsi="Times New Roman"/>
          <w:i/>
          <w:iCs/>
        </w:rPr>
        <w:t xml:space="preserve">Psychological Bulletin</w:t>
      </w:r>
      <w:r>
        <w:rPr>
          <w:rFonts w:ascii="Times New Roman" w:cs="Times New Roman" w:eastAsia="Times New Roman" w:hAnsi="Times New Roman"/>
        </w:rPr>
        <w:t xml:space="preserve">, vol. 114, no. 3, pp. 494–509, 1993.</w:t>
      </w:r>
    </w:p>
    <w:p>
      <w:pPr>
        <w:pStyle w:val="ListParagraph"/>
        <w:numPr>
          <w:ilvl w:val="0"/>
          <w:numId w:val="5"/>
        </w:numPr>
        <w:spacing w:after="60" w:before="0" w:line="360" w:lineRule="auto"/>
        <w:jc w:val="both"/>
      </w:pPr>
      <w:r>
        <w:rPr>
          <w:rFonts w:ascii="Times New Roman" w:cs="Times New Roman" w:eastAsia="Times New Roman" w:hAnsi="Times New Roman"/>
        </w:rPr>
        <w:t xml:space="preserve">J. G. MacKinnon and H. White, “Some heteroskedasticity-consistent covariance matrix estimators with improved finite sample properties,”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vol. 29, no. 3, pp. 305–325, 1985.</w:t>
      </w:r>
    </w:p>
    <w:p>
      <w:pPr>
        <w:pStyle w:val="ListParagraph"/>
        <w:numPr>
          <w:ilvl w:val="0"/>
          <w:numId w:val="5"/>
        </w:numPr>
        <w:spacing w:after="60" w:before="0" w:line="360" w:lineRule="auto"/>
        <w:jc w:val="both"/>
      </w:pPr>
      <w:r>
        <w:rPr>
          <w:rFonts w:ascii="Times New Roman" w:cs="Times New Roman" w:eastAsia="Times New Roman" w:hAnsi="Times New Roman"/>
        </w:rPr>
        <w:t xml:space="preserve">B. Efron and R. J. Tibshirani, </w:t>
      </w:r>
      <w:r>
        <w:rPr>
          <w:rFonts w:ascii="Times New Roman" w:cs="Times New Roman" w:eastAsia="Times New Roman" w:hAnsi="Times New Roman"/>
          <w:i/>
          <w:iCs/>
        </w:rPr>
        <w:t xml:space="preserve">An Introduction to the Bootstrap</w:t>
      </w:r>
      <w:r>
        <w:rPr>
          <w:rFonts w:ascii="Times New Roman" w:cs="Times New Roman" w:eastAsia="Times New Roman" w:hAnsi="Times New Roman"/>
        </w:rPr>
        <w:t xml:space="preserve">. New York: Chapman &amp; Hall, 1993.</w:t>
      </w:r>
    </w:p>
    <w:p>
      <w:pPr>
        <w:pStyle w:val="ListParagraph"/>
        <w:numPr>
          <w:ilvl w:val="0"/>
          <w:numId w:val="5"/>
        </w:numPr>
        <w:spacing w:after="60" w:before="0" w:line="360" w:lineRule="auto"/>
        <w:jc w:val="both"/>
      </w:pPr>
      <w:r>
        <w:rPr>
          <w:rFonts w:ascii="Times New Roman" w:cs="Times New Roman" w:eastAsia="Times New Roman" w:hAnsi="Times New Roman"/>
        </w:rPr>
        <w:t xml:space="preserve">W. S. Cleveland, “Robust locally weighted regression and smoothing scatterplots,” </w:t>
      </w:r>
      <w:r>
        <w:rPr>
          <w:rFonts w:ascii="Times New Roman" w:cs="Times New Roman" w:eastAsia="Times New Roman" w:hAnsi="Times New Roman"/>
          <w:i/>
          <w:iCs/>
        </w:rPr>
        <w:t xml:space="preserve">Journal of the American Statistical Association</w:t>
      </w:r>
      <w:r>
        <w:rPr>
          <w:rFonts w:ascii="Times New Roman" w:cs="Times New Roman" w:eastAsia="Times New Roman" w:hAnsi="Times New Roman"/>
        </w:rPr>
        <w:t xml:space="preserve">, vol. 74, no. 368, pp. 829–836, 1979.</w:t>
      </w:r>
    </w:p>
    <w:p>
      <w:pPr>
        <w:pStyle w:val="ListParagraph"/>
        <w:numPr>
          <w:ilvl w:val="0"/>
          <w:numId w:val="5"/>
        </w:numPr>
        <w:spacing w:after="60" w:before="0" w:line="360" w:lineRule="auto"/>
        <w:jc w:val="both"/>
      </w:pPr>
      <w:r>
        <w:rPr>
          <w:rFonts w:ascii="Times New Roman" w:cs="Times New Roman" w:eastAsia="Times New Roman" w:hAnsi="Times New Roman"/>
        </w:rPr>
        <w:t xml:space="preserve">S. Seabold and J. Perktold, “Statsmodels: Econometric and statistical modeling with Python,” in </w:t>
      </w:r>
      <w:r>
        <w:rPr>
          <w:rFonts w:ascii="Times New Roman" w:cs="Times New Roman" w:eastAsia="Times New Roman" w:hAnsi="Times New Roman"/>
          <w:i/>
          <w:iCs/>
        </w:rPr>
        <w:t xml:space="preserve">Proc. 9th Python in Science Conference</w:t>
      </w:r>
      <w:r>
        <w:rPr>
          <w:rFonts w:ascii="Times New Roman" w:cs="Times New Roman" w:eastAsia="Times New Roman" w:hAnsi="Times New Roman"/>
        </w:rPr>
        <w:t xml:space="preserve">, 2010, pp. 92–96.</w:t>
      </w:r>
    </w:p>
    <w:p>
      <w:pPr>
        <w:pStyle w:val="ListParagraph"/>
        <w:numPr>
          <w:ilvl w:val="0"/>
          <w:numId w:val="5"/>
        </w:numPr>
        <w:spacing w:after="60" w:before="0" w:line="360" w:lineRule="auto"/>
        <w:jc w:val="both"/>
      </w:pPr>
      <w:r>
        <w:rPr>
          <w:rFonts w:ascii="Times New Roman" w:cs="Times New Roman" w:eastAsia="Times New Roman" w:hAnsi="Times New Roman"/>
        </w:rPr>
        <w:t xml:space="preserve">P. Virtanen et al., “SciPy 1.0: Fundamental algorithms for scientific computing in Python,” </w:t>
      </w:r>
      <w:r>
        <w:rPr>
          <w:rFonts w:ascii="Times New Roman" w:cs="Times New Roman" w:eastAsia="Times New Roman" w:hAnsi="Times New Roman"/>
          <w:i/>
          <w:iCs/>
        </w:rPr>
        <w:t xml:space="preserve">Nature Methods</w:t>
      </w:r>
      <w:r>
        <w:rPr>
          <w:rFonts w:ascii="Times New Roman" w:cs="Times New Roman" w:eastAsia="Times New Roman" w:hAnsi="Times New Roman"/>
        </w:rPr>
        <w:t xml:space="preserve">, vol. 17, pp. 261–272, 2020.</w:t>
      </w:r>
    </w:p>
    <w:p>
      <w:pPr>
        <w:pStyle w:val="ListParagraph"/>
        <w:numPr>
          <w:ilvl w:val="0"/>
          <w:numId w:val="5"/>
        </w:numPr>
        <w:spacing w:after="60" w:before="0" w:line="360" w:lineRule="auto"/>
        <w:jc w:val="both"/>
      </w:pPr>
      <w:r>
        <w:rPr>
          <w:rFonts w:ascii="Times New Roman" w:cs="Times New Roman" w:eastAsia="Times New Roman" w:hAnsi="Times New Roman"/>
        </w:rPr>
        <w:t xml:space="preserve">C. R. Harris et al., “Array programming with NumPy,” </w:t>
      </w:r>
      <w:r>
        <w:rPr>
          <w:rFonts w:ascii="Times New Roman" w:cs="Times New Roman" w:eastAsia="Times New Roman" w:hAnsi="Times New Roman"/>
          <w:i/>
          <w:iCs/>
        </w:rPr>
        <w:t xml:space="preserve">Nature</w:t>
      </w:r>
      <w:r>
        <w:rPr>
          <w:rFonts w:ascii="Times New Roman" w:cs="Times New Roman" w:eastAsia="Times New Roman" w:hAnsi="Times New Roman"/>
        </w:rPr>
        <w:t xml:space="preserve">, vol. 585, pp. 357–362, 2020.</w:t>
      </w:r>
    </w:p>
    <w:p>
      <w:pPr>
        <w:pStyle w:val="ListParagraph"/>
        <w:numPr>
          <w:ilvl w:val="0"/>
          <w:numId w:val="5"/>
        </w:numPr>
        <w:spacing w:after="60" w:before="0" w:line="360" w:lineRule="auto"/>
        <w:jc w:val="both"/>
      </w:pPr>
      <w:r>
        <w:rPr>
          <w:rFonts w:ascii="Times New Roman" w:cs="Times New Roman" w:eastAsia="Times New Roman" w:hAnsi="Times New Roman"/>
        </w:rPr>
        <w:t xml:space="preserve">W. McKinney, “Data structures for statistical computing in Python,” in </w:t>
      </w:r>
      <w:r>
        <w:rPr>
          <w:rFonts w:ascii="Times New Roman" w:cs="Times New Roman" w:eastAsia="Times New Roman" w:hAnsi="Times New Roman"/>
          <w:i/>
          <w:iCs/>
        </w:rPr>
        <w:t xml:space="preserve">Proc. 9th Python in Science Conference</w:t>
      </w:r>
      <w:r>
        <w:rPr>
          <w:rFonts w:ascii="Times New Roman" w:cs="Times New Roman" w:eastAsia="Times New Roman" w:hAnsi="Times New Roman"/>
        </w:rPr>
        <w:t xml:space="preserve">, 2010, pp. 56–61.</w:t>
      </w:r>
    </w:p>
    <w:p>
      <w:pPr>
        <w:pStyle w:val="ListParagraph"/>
        <w:numPr>
          <w:ilvl w:val="0"/>
          <w:numId w:val="5"/>
        </w:numPr>
        <w:spacing w:after="60" w:before="0" w:line="360" w:lineRule="auto"/>
        <w:jc w:val="both"/>
      </w:pPr>
      <w:r>
        <w:rPr>
          <w:rFonts w:ascii="Times New Roman" w:cs="Times New Roman" w:eastAsia="Times New Roman" w:hAnsi="Times New Roman"/>
        </w:rPr>
        <w:t xml:space="preserve">J. D. Hunter, “Matplotlib: A 2D graphics environment,” </w:t>
      </w:r>
      <w:r>
        <w:rPr>
          <w:rFonts w:ascii="Times New Roman" w:cs="Times New Roman" w:eastAsia="Times New Roman" w:hAnsi="Times New Roman"/>
          <w:i/>
          <w:iCs/>
        </w:rPr>
        <w:t xml:space="preserve">Computing in Science &amp; Engineering</w:t>
      </w:r>
      <w:r>
        <w:rPr>
          <w:rFonts w:ascii="Times New Roman" w:cs="Times New Roman" w:eastAsia="Times New Roman" w:hAnsi="Times New Roman"/>
        </w:rPr>
        <w:t xml:space="preserve">, vol. 9, no. 3, pp. 90–95, 2007.</w:t>
      </w:r>
    </w:p>
    <w:p>
      <w:pPr>
        <w:pStyle w:val="ListParagraph"/>
        <w:numPr>
          <w:ilvl w:val="0"/>
          <w:numId w:val="5"/>
        </w:numPr>
        <w:spacing w:after="60" w:before="0" w:line="360" w:lineRule="auto"/>
        <w:jc w:val="both"/>
      </w:pPr>
      <w:r>
        <w:rPr>
          <w:rFonts w:ascii="Times New Roman" w:cs="Times New Roman" w:eastAsia="Times New Roman" w:hAnsi="Times New Roman"/>
        </w:rPr>
        <w:t xml:space="preserve">M. L. Waskom, “seaborn: statistical data visualization,” </w:t>
      </w:r>
      <w:r>
        <w:rPr>
          <w:rFonts w:ascii="Times New Roman" w:cs="Times New Roman" w:eastAsia="Times New Roman" w:hAnsi="Times New Roman"/>
          <w:i/>
          <w:iCs/>
        </w:rPr>
        <w:t xml:space="preserve">Journal of Open Source Software</w:t>
      </w:r>
      <w:r>
        <w:rPr>
          <w:rFonts w:ascii="Times New Roman" w:cs="Times New Roman" w:eastAsia="Times New Roman" w:hAnsi="Times New Roman"/>
        </w:rPr>
        <w:t xml:space="preserve">, vol. 6, no. 60, art. 3021, 2021.</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lineRule="auto"/>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line="360" w:lineRule="auto"/>
      <w:outlineLvl w:val="2"/>
    </w:pPr>
    <w:rPr>
      <w:rFonts w:ascii="Times New Roman" w:cs="Times New Roman" w:eastAsia="Times New Roman" w:hAnsi="Times New Roman"/>
      <w:b/>
      <w:bCs/>
      <w:i/>
      <w:iCs/>
      <w:color w:val="000000"/>
      <w:sz w:val="24"/>
      <w:szCs w:val="24"/>
    </w:rPr>
  </w:style>
  <w:style w:type="paragraph" w:styleId="FrontHeading">
    <w:name w:val="Front Heading"/>
    <w:basedOn w:val="Normal"/>
    <w:next w:val="Normal"/>
    <w:pPr>
      <w:keepNext/>
      <w:spacing w:after="200" w:before="240" w:line="360" w:lineRule="auto"/>
    </w:pPr>
    <w:rPr>
      <w:rFonts w:ascii="Times New Roman" w:cs="Times New Roman" w:eastAsia="Times New Roman" w:hAnsi="Times New Roman"/>
      <w:b/>
      <w:bCs/>
      <w:color w:val="000000"/>
      <w:sz w:val="28"/>
      <w:szCs w:val="28"/>
    </w:rPr>
  </w:style>
  <w:style w:type="paragraph" w:styleId="TOC1">
    <w:name w:val="toc 1"/>
    <w:basedOn w:val="Normal"/>
    <w:next w:val="Normal"/>
    <w:pPr>
      <w:spacing w:after="20" w:before="60" w:line="276" w:lineRule="auto"/>
    </w:pPr>
    <w:rPr>
      <w:rFonts w:ascii="Times New Roman" w:cs="Times New Roman" w:eastAsia="Times New Roman" w:hAnsi="Times New Roman"/>
      <w:b/>
      <w:bCs/>
      <w:sz w:val="24"/>
      <w:szCs w:val="24"/>
    </w:rPr>
  </w:style>
  <w:style w:type="paragraph" w:styleId="TOC2">
    <w:name w:val="toc 2"/>
    <w:basedOn w:val="Normal"/>
    <w:next w:val="Normal"/>
    <w:pPr>
      <w:spacing w:after="0" w:before="0" w:line="276" w:lineRule="auto"/>
      <w:ind w:left="360"/>
    </w:pPr>
    <w:rPr>
      <w:rFonts w:ascii="Times New Roman" w:cs="Times New Roman" w:eastAsia="Times New Roman" w:hAnsi="Times New Roman"/>
      <w:sz w:val="24"/>
      <w:szCs w:val="24"/>
    </w:rPr>
  </w:style>
  <w:style w:type="paragraph" w:styleId="TableofFigures">
    <w:name w:val="table of figures"/>
    <w:basedOn w:val="Normal"/>
    <w:next w:val="Normal"/>
    <w:pPr>
      <w:spacing w:after="60" w:before="0" w:line="252" w:lineRule="auto"/>
    </w:pPr>
    <w:rPr>
      <w:rFonts w:ascii="Times New Roman" w:cs="Times New Roman" w:eastAsia="Times New Roman" w:hAnsi="Times New Roman"/>
      <w:sz w:val="22"/>
      <w:szCs w:val="22"/>
    </w:rPr>
  </w:style>
  <w:style w:type="paragraph" w:styleId="Caption">
    <w:name w:val="caption"/>
    <w:basedOn w:val="Normal"/>
    <w:next w:val="Normal"/>
    <w:qFormat/>
    <w:rPr>
      <w:rFonts w:ascii="Times New Roman" w:cs="Times New Roman" w:eastAsia="Times New Roman" w:hAnsi="Times New Roman"/>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4c5452f96880c121a713c7842527d3c6e6cb52d.png"/><Relationship Id="rId10" Type="http://schemas.openxmlformats.org/officeDocument/2006/relationships/image" Target="media/4330f301cf662443474eaf842edb5639ad74ed51.png"/><Relationship Id="rId11" Type="http://schemas.openxmlformats.org/officeDocument/2006/relationships/image" Target="media/72826b33c5890f3503e7ab0c52e82641b299864d.png"/><Relationship Id="rId12" Type="http://schemas.openxmlformats.org/officeDocument/2006/relationships/image" Target="media/360c3f21f0f5e064086156819118c178f42990f1.png"/><Relationship Id="rId13" Type="http://schemas.openxmlformats.org/officeDocument/2006/relationships/image" Target="media/25b7229d27d9ae18adfeee5a3f439c3ff70d2f9a.png"/><Relationship Id="rId14" Type="http://schemas.openxmlformats.org/officeDocument/2006/relationships/image" Target="media/4be019b6c66b8ca84a8450590f89af121deb33e6.png"/><Relationship Id="rId15" Type="http://schemas.openxmlformats.org/officeDocument/2006/relationships/image" Target="media/da329fbe837ebc5ad9012ead76b6cd64bbf01a61.png"/><Relationship Id="rId16" Type="http://schemas.openxmlformats.org/officeDocument/2006/relationships/image" Target="media/45b422e613b75a0e5cb09cd10b0da8074d510166.png"/><Relationship Id="rId17" Type="http://schemas.openxmlformats.org/officeDocument/2006/relationships/image" Target="media/25e443f82fe22125a3322d2ea5bd3d52ea552a60.png"/><Relationship Id="rId18" Type="http://schemas.openxmlformats.org/officeDocument/2006/relationships/image" Target="media/a4d1296ff41403fc8611456107efbf166364a2ed.png"/><Relationship Id="rId19" Type="http://schemas.openxmlformats.org/officeDocument/2006/relationships/image" Target="media/94c0d8d20409c1526d7c80da281c306a8e390798.png"/><Relationship Id="rId20" Type="http://schemas.openxmlformats.org/officeDocument/2006/relationships/image" Target="media/e5121b469f69a166608404b751c3274199ae65a4.png"/><Relationship Id="rId21" Type="http://schemas.openxmlformats.org/officeDocument/2006/relationships/image" Target="media/ad7f2d523b82d3e479bf45b8a838bb0bfe883e0b.png"/><Relationship Id="rId22" Type="http://schemas.openxmlformats.org/officeDocument/2006/relationships/image" Target="media/2b1d04686baeb667e2440601c6a8380c48d4a982.png"/><Relationship Id="rId23" Type="http://schemas.openxmlformats.org/officeDocument/2006/relationships/image" Target="media/4a64035a9e79a0e270ecff2b08597dc3d4030c64.png"/><Relationship Id="rId24" Type="http://schemas.openxmlformats.org/officeDocument/2006/relationships/image" Target="media/2b091a856e880753030424b7565d700b9292171d.png"/><Relationship Id="rId25" Type="http://schemas.openxmlformats.org/officeDocument/2006/relationships/image" Target="media/4b59741c3b22aa05d51de0540bcba157fcf6d175.png"/><Relationship Id="rId26" Type="http://schemas.openxmlformats.org/officeDocument/2006/relationships/image" Target="media/df7dec1f927f197bff8f5d7e522ca7873018921c.png"/><Relationship Id="rId27" Type="http://schemas.openxmlformats.org/officeDocument/2006/relationships/image" Target="media/43fbf3a351a8983cfd41671da4338d6d5dbf43a8.png"/><Relationship Id="rId28" Type="http://schemas.openxmlformats.org/officeDocument/2006/relationships/image" Target="media/3cd04242f9543417f2aa238260f6391c9c806e76.png"/><Relationship Id="rId29" Type="http://schemas.openxmlformats.org/officeDocument/2006/relationships/image" Target="media/89fe3caadd2d58410ec63242aec310765384a0ca.png"/><Relationship Id="rId30" Type="http://schemas.openxmlformats.org/officeDocument/2006/relationships/image" Target="media/ae68063d1ec51a332bff61d8b6a2a0f01103818d.png"/><Relationship Id="rId31" Type="http://schemas.openxmlformats.org/officeDocument/2006/relationships/image" Target="media/1fe63e75e7d0857316908b1ae3ec1dba84159c40.png"/><Relationship Id="rId32" Type="http://schemas.openxmlformats.org/officeDocument/2006/relationships/image" Target="media/262219b877f79c70b0f0c1d72338590584f6bc0a.png"/><Relationship Id="rId33" Type="http://schemas.openxmlformats.org/officeDocument/2006/relationships/image" Target="media/1f9fab449d63bee288acb721465356f7b6f4fade.png"/><Relationship Id="rId34" Type="http://schemas.openxmlformats.org/officeDocument/2006/relationships/image" Target="media/75505e79a49a2d6fc6fb38e9e8b587bd5ec7d79f.png"/><Relationship Id="rId35" Type="http://schemas.openxmlformats.org/officeDocument/2006/relationships/image" Target="media/1390de02fecbd5ea49888cb456fb5b45629fe94c.png"/><Relationship Id="rId36" Type="http://schemas.openxmlformats.org/officeDocument/2006/relationships/image" Target="media/c205b2d7e6361ecad833c1d5d5d39ebd3d2f93ea.png"/><Relationship Id="rId37" Type="http://schemas.openxmlformats.org/officeDocument/2006/relationships/image" Target="media/b91a38603052f00f4d8563cd38952420b123ed7a.png"/><Relationship Id="rId38" Type="http://schemas.openxmlformats.org/officeDocument/2006/relationships/image" Target="media/26691969fa303e88679071549baea5019f88b379.png"/><Relationship Id="rId39" Type="http://schemas.openxmlformats.org/officeDocument/2006/relationships/image" Target="media/c82b16cc008cdb3df4403f87a0b0c2042b8cd904.png"/><Relationship Id="rId40" Type="http://schemas.openxmlformats.org/officeDocument/2006/relationships/image" Target="media/bdc23bd1de5f0f72751db94f07608cbe7977e5a7.png"/><Relationship Id="rId41" Type="http://schemas.openxmlformats.org/officeDocument/2006/relationships/image" Target="media/616888e35eb82b235f112764d07d6f4d9999836f.png"/><Relationship Id="rId42" Type="http://schemas.openxmlformats.org/officeDocument/2006/relationships/image" Target="media/39b368852c18ee865902b2fbefb1ca28fa1b302e.png"/><Relationship Id="rId43" Type="http://schemas.openxmlformats.org/officeDocument/2006/relationships/image" Target="media/84a970a592457edb6f9bee2036447c40f552d4f9.png"/><Relationship Id="rId44" Type="http://schemas.openxmlformats.org/officeDocument/2006/relationships/image" Target="media/25fe244d73c89d03a99905961e5be175fb87c92a.png"/><Relationship Id="rId45" Type="http://schemas.openxmlformats.org/officeDocument/2006/relationships/fontTable" Target="fontTable.xml"/><Relationship Id="rId46"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Developer Compensation and AI-Tool Adoption: A Predictive Analysis of the Stack Overflow 2024 Developer Survey</dc:title>
  <dc:creator>Student (placeholder)</dc:creator>
  <dc:description>Predictive Analysis CA2 project report</dc:description>
  <cp:lastModifiedBy>Un-named</cp:lastModifiedBy>
  <cp:revision>1</cp:revision>
  <dcterms:created xsi:type="dcterms:W3CDTF">2026-10-19T18:47:56.911Z</dcterms:created>
  <dcterms:modified xsi:type="dcterms:W3CDTF">2026-10-19T18:47:56.912Z</dcterms:modified>
</cp:coreProperties>
</file>

<file path=docProps/custom.xml><?xml version="1.0" encoding="utf-8"?>
<Properties xmlns="http://schemas.openxmlformats.org/officeDocument/2006/custom-properties" xmlns:vt="http://schemas.openxmlformats.org/officeDocument/2006/docPropsVTypes"/>
</file>