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E40AF"/>
          <w:sz w:val="72"/>
          <w:szCs w:val="72"/>
        </w:rPr>
        <w:t xml:space="preserve">FlowDesk</w:t>
      </w:r>
    </w:p>
    <w:p>
      <w:pPr>
        <w:spacing w:after="400" w:before="0"/>
        <w:jc w:val="center"/>
      </w:pPr>
      <w:r>
        <w:rPr>
          <w:rFonts w:ascii="Arial" w:cs="Arial" w:eastAsia="Arial" w:hAnsi="Arial"/>
          <w:color w:val="64748B"/>
          <w:sz w:val="28"/>
          <w:szCs w:val="28"/>
        </w:rPr>
        <w:t xml:space="preserve">AI-Powered Customer Support Orchestration Platform</w:t>
      </w:r>
    </w:p>
    <w:p>
      <w:pPr>
        <w:pBdr>
          <w:bottom w:val="single" w:color="3B82F6" w:sz="4" w:space="4"/>
        </w:pBdr>
        <w:spacing w:after="400" w:before="0"/>
        <w:jc w:val="center"/>
      </w:pPr>
    </w:p>
    <w:p>
      <w:pPr>
        <w:spacing w:after="200" w:before="0"/>
        <w:jc w:val="center"/>
      </w:pPr>
      <w:r>
        <w:rPr>
          <w:rFonts w:ascii="Arial" w:cs="Arial" w:eastAsia="Arial" w:hAnsi="Arial"/>
          <w:b/>
          <w:bCs/>
          <w:color w:val="1E293B"/>
          <w:sz w:val="32"/>
          <w:szCs w:val="32"/>
        </w:rPr>
        <w:t xml:space="preserve">Product Requirements Document</w:t>
      </w:r>
    </w:p>
    <w:p>
      <w:pPr>
        <w:spacing w:after="2000" w:before="0"/>
        <w:jc w:val="center"/>
      </w:pPr>
      <w:r>
        <w:rPr>
          <w:rFonts w:ascii="Arial" w:cs="Arial" w:eastAsia="Arial" w:hAnsi="Arial"/>
          <w:color w:val="64748B"/>
          <w:sz w:val="24"/>
          <w:szCs w:val="24"/>
        </w:rPr>
        <w:t xml:space="preserve">Version 1.0  •  2025</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tblGrid>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64748B"/>
                <w:sz w:val="20"/>
                <w:szCs w:val="20"/>
              </w:rPr>
              <w:t xml:space="preserve">Document Status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 — v1.0</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64748B"/>
                <w:sz w:val="20"/>
                <w:szCs w:val="20"/>
              </w:rPr>
              <w:t xml:space="preserve">Product Owner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FlowDesk Core Team</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64748B"/>
                <w:sz w:val="20"/>
                <w:szCs w:val="20"/>
              </w:rPr>
              <w:t xml:space="preserve">Target Release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 Q3 2025</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Arial" w:cs="Arial" w:eastAsia="Arial" w:hAnsi="Arial"/>
                <w:b/>
                <w:bCs/>
                <w:color w:val="64748B"/>
                <w:sz w:val="20"/>
                <w:szCs w:val="20"/>
              </w:rPr>
              <w:t xml:space="preserve">Classification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Internal</w:t>
            </w:r>
          </w:p>
        </w:tc>
      </w:tr>
    </w:tbl>
    <w:p>
      <w:pPr>
        <w:sectPr>
          <w:pgSz w:w="12240" w:h="15840" w:orient="portrait"/>
          <w:pgMar w:top="1440" w:right="1440" w:bottom="1440" w:left="1440" w:header="708" w:footer="708" w:gutter="0"/>
          <w:pgNumType/>
          <w:docGrid w:linePitch="360"/>
        </w:sectPr>
      </w:pPr>
    </w:p>
    <w:p>
      <w:pPr>
        <w:pStyle w:val="Heading1"/>
        <w:pBdr>
          <w:bottom w:val="single" w:color="1E40AF" w:sz="4" w:space="4"/>
        </w:pBdr>
        <w:spacing w:after="200" w:before="480"/>
      </w:pPr>
      <w:r>
        <w:rPr>
          <w:rFonts w:ascii="Arial" w:cs="Arial" w:eastAsia="Arial" w:hAnsi="Arial"/>
          <w:b/>
          <w:bCs/>
          <w:color w:val="1E40AF"/>
          <w:sz w:val="32"/>
          <w:szCs w:val="32"/>
        </w:rPr>
        <w:t xml:space="preserve">1. Executive Summary</w:t>
      </w:r>
    </w:p>
    <w:p>
      <w:pPr>
        <w:spacing w:after="120" w:before="80"/>
        <w:jc w:val="both"/>
      </w:pPr>
      <w:r>
        <w:rPr>
          <w:rFonts w:ascii="Arial" w:cs="Arial" w:eastAsia="Arial" w:hAnsi="Arial"/>
          <w:color w:val="1E293B"/>
          <w:sz w:val="22"/>
          <w:szCs w:val="22"/>
        </w:rPr>
        <w:t xml:space="preserve">FlowDesk is a multi-tenant, AI-powered B2B SaaS platform that automates customer support ticket resolution for SMBs. By combining Retrieval-Augmented Generation (RAG) on business-specific knowledge documents with an intelligent escalation engine, FlowDesk targets resolution of approximately 60% of inbound support tickets without any human intervention — reducing support operational cost, improving first-response time from hours to seconds, and freeing human agents to focus on genuinely complex cases.</w:t>
      </w:r>
    </w:p>
    <w:p>
      <w:pPr>
        <w:spacing w:after="0"/>
      </w:pPr>
      <w:r>
        <w:t xml:space="preserve"/>
      </w:r>
    </w:p>
    <w:p>
      <w:pPr>
        <w:spacing w:after="120" w:before="80"/>
        <w:jc w:val="both"/>
      </w:pPr>
      <w:r>
        <w:rPr>
          <w:rFonts w:ascii="Arial" w:cs="Arial" w:eastAsia="Arial" w:hAnsi="Arial"/>
          <w:color w:val="1E293B"/>
          <w:sz w:val="22"/>
          <w:szCs w:val="22"/>
        </w:rPr>
        <w:t xml:space="preserve">The platform provides a white-label embeddable support form that businesses integrate into their existing storefronts, websites, or SaaS products. FlowDesk handles the entire lifecycle: intake, AI triage, automated reply, confidence-gated escalation, and human handoff — all observable through a real-time dashboard.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Target Users:  </w:t>
            </w:r>
            <w:r>
              <w:rPr>
                <w:rFonts w:ascii="Arial" w:cs="Arial" w:eastAsia="Arial" w:hAnsi="Arial"/>
                <w:color w:val="1E293B"/>
                <w:sz w:val="20"/>
                <w:szCs w:val="20"/>
              </w:rPr>
              <w:t xml:space="preserve">Primary — E-commerce stores (Shopify, WooCommerce) and SaaS/Tech companies. Secondary — any SMB with a structured returns/refund/product policy.</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2. Problem Statement</w:t>
      </w:r>
    </w:p>
    <w:p>
      <w:pPr>
        <w:pStyle w:val="Heading2"/>
        <w:spacing w:after="160" w:before="360"/>
      </w:pPr>
      <w:r>
        <w:rPr>
          <w:rFonts w:ascii="Arial" w:cs="Arial" w:eastAsia="Arial" w:hAnsi="Arial"/>
          <w:b/>
          <w:bCs/>
          <w:color w:val="1E293B"/>
          <w:sz w:val="26"/>
          <w:szCs w:val="26"/>
        </w:rPr>
        <w:t xml:space="preserve">2.1 The Customer Support Bottleneck</w:t>
      </w:r>
    </w:p>
    <w:p>
      <w:pPr>
        <w:spacing w:after="120" w:before="80"/>
        <w:jc w:val="both"/>
      </w:pPr>
      <w:r>
        <w:rPr>
          <w:rFonts w:ascii="Arial" w:cs="Arial" w:eastAsia="Arial" w:hAnsi="Arial"/>
          <w:color w:val="1E293B"/>
          <w:sz w:val="22"/>
          <w:szCs w:val="22"/>
        </w:rPr>
        <w:t xml:space="preserve">For most SMBs, customer support operates reactively. A customer submits a query, waits hours (often 24–48 hrs) for a human to read it, and receives a response that frequently restates information already present in the company's own return policy or product guide. This pattern is expensive, slow, and unnecessary for the majority of queries.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Pain Point</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9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FlowDesk Solution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24–48 hr first response times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Customer churn; negative reviews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Automated AI reply within 60 seconds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Agents repeatedly answering identical policy questions</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High cost-per-ticket; burnout</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RAG resolves policy-based queries without agents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 unified intake — email, form, DM chaos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Queries are lost or duplicated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Single embeddable form + centralized ticket queue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Manual routing to the right agent</w:t>
            </w:r>
          </w:p>
        </w:tc>
        <w:tc>
          <w:tcPr>
            <w:tcW w:type="dxa" w:w="24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Delays; misrouting</w:t>
            </w:r>
          </w:p>
        </w:tc>
        <w:tc>
          <w:tcPr>
            <w:tcW w:type="dxa" w:w="39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 triage classifies and auto-routes tickets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No visibility into resolution status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Customer frustration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Real-time status emails + dashboard tracking</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2.2 Why RAG Over a Generic LLM?</w:t>
      </w:r>
    </w:p>
    <w:p>
      <w:pPr>
        <w:spacing w:after="120" w:before="80"/>
        <w:jc w:val="both"/>
      </w:pPr>
      <w:r>
        <w:rPr>
          <w:rFonts w:ascii="Arial" w:cs="Arial" w:eastAsia="Arial" w:hAnsi="Arial"/>
          <w:color w:val="1E293B"/>
          <w:sz w:val="22"/>
          <w:szCs w:val="22"/>
        </w:rPr>
        <w:t xml:space="preserve">Generic LLMs hallucinate business-specific details — they do not know a company's exact refund window, their specific shipping partners, or how their SaaS product works. FlowDesk grounds every AI response in the company's own uploaded documents (return policy, product guide, delivery details), ensuring factually accurate, on-brand replies while preventing confidential information from leaking across tenants.</w:t>
      </w:r>
    </w:p>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3. Goals &amp; Success Metrics</w:t>
      </w:r>
    </w:p>
    <w:p>
      <w:pPr>
        <w:pStyle w:val="Heading2"/>
        <w:spacing w:after="160" w:before="360"/>
      </w:pPr>
      <w:r>
        <w:rPr>
          <w:rFonts w:ascii="Arial" w:cs="Arial" w:eastAsia="Arial" w:hAnsi="Arial"/>
          <w:b/>
          <w:bCs/>
          <w:color w:val="1E293B"/>
          <w:sz w:val="26"/>
          <w:szCs w:val="26"/>
        </w:rPr>
        <w:t xml:space="preserve">3.1 Business Goals</w:t>
      </w:r>
    </w:p>
    <w:p>
      <w:pPr>
        <w:pStyle w:val="ListParagraph"/>
        <w:numPr>
          <w:ilvl w:val="0"/>
          <w:numId w:val="2"/>
        </w:numPr>
        <w:spacing w:after="60" w:before="60"/>
      </w:pPr>
      <w:r>
        <w:rPr>
          <w:rFonts w:ascii="Arial" w:cs="Arial" w:eastAsia="Arial" w:hAnsi="Arial"/>
          <w:color w:val="1E293B"/>
          <w:sz w:val="22"/>
          <w:szCs w:val="22"/>
        </w:rPr>
        <w:t xml:space="preserve">Achieve AI auto-resolution rate of ≥ 60% across all ticket categories within 6 months of GA.</w:t>
      </w:r>
    </w:p>
    <w:p>
      <w:pPr>
        <w:pStyle w:val="ListParagraph"/>
        <w:numPr>
          <w:ilvl w:val="0"/>
          <w:numId w:val="2"/>
        </w:numPr>
        <w:spacing w:after="60" w:before="60"/>
      </w:pPr>
      <w:r>
        <w:rPr>
          <w:rFonts w:ascii="Arial" w:cs="Arial" w:eastAsia="Arial" w:hAnsi="Arial"/>
          <w:color w:val="1E293B"/>
          <w:sz w:val="22"/>
          <w:szCs w:val="22"/>
        </w:rPr>
        <w:t xml:space="preserve">Onboard 50 paying business tenants within 3 months of Phase 1 launch.</w:t>
      </w:r>
    </w:p>
    <w:p>
      <w:pPr>
        <w:pStyle w:val="ListParagraph"/>
        <w:numPr>
          <w:ilvl w:val="0"/>
          <w:numId w:val="2"/>
        </w:numPr>
        <w:spacing w:after="60" w:before="60"/>
      </w:pPr>
      <w:r>
        <w:rPr>
          <w:rFonts w:ascii="Arial" w:cs="Arial" w:eastAsia="Arial" w:hAnsi="Arial"/>
          <w:color w:val="1E293B"/>
          <w:sz w:val="22"/>
          <w:szCs w:val="22"/>
        </w:rPr>
        <w:t xml:space="preserve">Reduce average first-response time from 24 hrs to under 90 seconds.</w:t>
      </w:r>
    </w:p>
    <w:p>
      <w:pPr>
        <w:pStyle w:val="ListParagraph"/>
        <w:numPr>
          <w:ilvl w:val="0"/>
          <w:numId w:val="2"/>
        </w:numPr>
        <w:spacing w:after="60" w:before="60"/>
      </w:pPr>
      <w:r>
        <w:rPr>
          <w:rFonts w:ascii="Arial" w:cs="Arial" w:eastAsia="Arial" w:hAnsi="Arial"/>
          <w:color w:val="1E293B"/>
          <w:sz w:val="22"/>
          <w:szCs w:val="22"/>
        </w:rPr>
        <w:t xml:space="preserve">Maintain AI response accuracy (factual correctness vs. policy document) ≥ 92%.</w:t>
      </w:r>
    </w:p>
    <w:p>
      <w:pPr>
        <w:spacing w:after="0"/>
      </w:pPr>
      <w:r>
        <w:t xml:space="preserve"/>
      </w:r>
    </w:p>
    <w:p>
      <w:pPr>
        <w:pStyle w:val="Heading2"/>
        <w:spacing w:after="160" w:before="360"/>
      </w:pPr>
      <w:r>
        <w:rPr>
          <w:rFonts w:ascii="Arial" w:cs="Arial" w:eastAsia="Arial" w:hAnsi="Arial"/>
          <w:b/>
          <w:bCs/>
          <w:color w:val="1E293B"/>
          <w:sz w:val="26"/>
          <w:szCs w:val="26"/>
        </w:rPr>
        <w:t xml:space="preserve">3.2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Baseline (Pre-FlowDesk)</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 1 Target</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 2 Target</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 Auto-Resolution Rate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40%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60%</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Avg. First Response Time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24 hrs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90 seconds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30 seconds</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Ticket Escalation Rate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100% (all human)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60%</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40%</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Customer Satisfaction (CSAT)</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Industry avg ~72%</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78%</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85%</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Avg. Conversations to Resolution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N/A</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3 (AI) / ≤ 5 (human)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 2 (AI)</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Tenant Onboarding Time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N/A</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15 minutes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10 minutes</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4. Product Scope &amp; Phases</w:t>
      </w:r>
    </w:p>
    <w:p>
      <w:pPr>
        <w:spacing w:after="120" w:before="80"/>
        <w:jc w:val="both"/>
      </w:pPr>
      <w:r>
        <w:rPr>
          <w:rFonts w:ascii="Arial" w:cs="Arial" w:eastAsia="Arial" w:hAnsi="Arial"/>
          <w:color w:val="1E293B"/>
          <w:sz w:val="22"/>
          <w:szCs w:val="22"/>
        </w:rPr>
        <w:t xml:space="preserve">FlowDesk is delivered in four progressive phases, each independently deployable and demonstrable. This phased approach enables iterative validation, reduces integration risk, and provides clear project milestones for portfolio and internship demonstration.</w:t>
      </w:r>
    </w:p>
    <w:p>
      <w:pPr>
        <w:spacing w:after="0"/>
      </w:pPr>
      <w:r>
        <w:t xml:space="preserve"/>
      </w:r>
    </w:p>
    <w:p>
      <w:pPr>
        <w:pStyle w:val="Heading2"/>
        <w:spacing w:after="160" w:before="360"/>
      </w:pPr>
      <w:r>
        <w:rPr>
          <w:rFonts w:ascii="Arial" w:cs="Arial" w:eastAsia="Arial" w:hAnsi="Arial"/>
          <w:b/>
          <w:bCs/>
          <w:color w:val="1E293B"/>
          <w:sz w:val="26"/>
          <w:szCs w:val="26"/>
        </w:rPr>
        <w:t xml:space="preserve">Phase 1 — Foundations: Full Human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Scope:  </w:t>
            </w:r>
            <w:r>
              <w:rPr>
                <w:rFonts w:ascii="Arial" w:cs="Arial" w:eastAsia="Arial" w:hAnsi="Arial"/>
                <w:color w:val="1E293B"/>
                <w:sz w:val="20"/>
                <w:szCs w:val="20"/>
              </w:rPr>
              <w:t xml:space="preserve">Complete onboarding, form builder, ticket intake, email notifications, and a human agent dashboard. No AI. Validates the core workflow end-to-end.</w:t>
            </w:r>
          </w:p>
        </w:tc>
      </w:tr>
    </w:tbl>
    <w:p>
      <w:pPr>
        <w:spacing w:after="0"/>
      </w:pPr>
      <w:r>
        <w:t xml:space="preserve"/>
      </w:r>
    </w:p>
    <w:p>
      <w:pPr>
        <w:pStyle w:val="ListParagraph"/>
        <w:numPr>
          <w:ilvl w:val="0"/>
          <w:numId w:val="2"/>
        </w:numPr>
        <w:spacing w:after="60" w:before="60"/>
      </w:pPr>
      <w:r>
        <w:rPr>
          <w:rFonts w:ascii="Arial" w:cs="Arial" w:eastAsia="Arial" w:hAnsi="Arial"/>
          <w:color w:val="1E293B"/>
          <w:sz w:val="22"/>
          <w:szCs w:val="22"/>
        </w:rPr>
        <w:t xml:space="preserve">Multi-tenant business signup with category selection (E-commerce / SaaS-Tech).</w:t>
      </w:r>
    </w:p>
    <w:p>
      <w:pPr>
        <w:pStyle w:val="ListParagraph"/>
        <w:numPr>
          <w:ilvl w:val="0"/>
          <w:numId w:val="2"/>
        </w:numPr>
        <w:spacing w:after="60" w:before="60"/>
      </w:pPr>
      <w:r>
        <w:rPr>
          <w:rFonts w:ascii="Arial" w:cs="Arial" w:eastAsia="Arial" w:hAnsi="Arial"/>
          <w:color w:val="1E293B"/>
          <w:sz w:val="22"/>
          <w:szCs w:val="22"/>
        </w:rPr>
        <w:t xml:space="preserve">Adaptive onboarding wizard: business type → sub-type → policy document upload / delivery partner configuration.</w:t>
      </w:r>
    </w:p>
    <w:p>
      <w:pPr>
        <w:pStyle w:val="ListParagraph"/>
        <w:numPr>
          <w:ilvl w:val="0"/>
          <w:numId w:val="2"/>
        </w:numPr>
        <w:spacing w:after="60" w:before="60"/>
      </w:pPr>
      <w:r>
        <w:rPr>
          <w:rFonts w:ascii="Arial" w:cs="Arial" w:eastAsia="Arial" w:hAnsi="Arial"/>
          <w:color w:val="1E293B"/>
          <w:sz w:val="22"/>
          <w:szCs w:val="22"/>
        </w:rPr>
        <w:t xml:space="preserve">Drag-and-drop support form builder with custom field types (text, select, email, file upload).</w:t>
      </w:r>
    </w:p>
    <w:p>
      <w:pPr>
        <w:pStyle w:val="ListParagraph"/>
        <w:numPr>
          <w:ilvl w:val="0"/>
          <w:numId w:val="2"/>
        </w:numPr>
        <w:spacing w:after="60" w:before="60"/>
      </w:pPr>
      <w:r>
        <w:rPr>
          <w:rFonts w:ascii="Arial" w:cs="Arial" w:eastAsia="Arial" w:hAnsi="Arial"/>
          <w:color w:val="1E293B"/>
          <w:sz w:val="22"/>
          <w:szCs w:val="22"/>
        </w:rPr>
        <w:t xml:space="preserve">API key + webhook endpoint generation per tenant.</w:t>
      </w:r>
    </w:p>
    <w:p>
      <w:pPr>
        <w:pStyle w:val="ListParagraph"/>
        <w:numPr>
          <w:ilvl w:val="0"/>
          <w:numId w:val="2"/>
        </w:numPr>
        <w:spacing w:after="60" w:before="60"/>
      </w:pPr>
      <w:r>
        <w:rPr>
          <w:rFonts w:ascii="Arial" w:cs="Arial" w:eastAsia="Arial" w:hAnsi="Arial"/>
          <w:color w:val="1E293B"/>
          <w:sz w:val="22"/>
          <w:szCs w:val="22"/>
        </w:rPr>
        <w:t xml:space="preserve">Customer-facing form embed (Shopify snippet, WooCommerce plugin, JS SDK, REST endpoint).</w:t>
      </w:r>
    </w:p>
    <w:p>
      <w:pPr>
        <w:pStyle w:val="ListParagraph"/>
        <w:numPr>
          <w:ilvl w:val="0"/>
          <w:numId w:val="2"/>
        </w:numPr>
        <w:spacing w:after="60" w:before="60"/>
      </w:pPr>
      <w:r>
        <w:rPr>
          <w:rFonts w:ascii="Arial" w:cs="Arial" w:eastAsia="Arial" w:hAnsi="Arial"/>
          <w:color w:val="1E293B"/>
          <w:sz w:val="22"/>
          <w:szCs w:val="22"/>
        </w:rPr>
        <w:t xml:space="preserve">Automated acknowledgement email to customers on ticket submission.</w:t>
      </w:r>
    </w:p>
    <w:p>
      <w:pPr>
        <w:pStyle w:val="ListParagraph"/>
        <w:numPr>
          <w:ilvl w:val="0"/>
          <w:numId w:val="2"/>
        </w:numPr>
        <w:spacing w:after="60" w:before="60"/>
      </w:pPr>
      <w:r>
        <w:rPr>
          <w:rFonts w:ascii="Arial" w:cs="Arial" w:eastAsia="Arial" w:hAnsi="Arial"/>
          <w:color w:val="1E293B"/>
          <w:sz w:val="22"/>
          <w:szCs w:val="22"/>
        </w:rPr>
        <w:t xml:space="preserve">Agent inbox dashboard: view, assign, reply, close tickets.</w:t>
      </w:r>
    </w:p>
    <w:p>
      <w:pPr>
        <w:pStyle w:val="ListParagraph"/>
        <w:numPr>
          <w:ilvl w:val="0"/>
          <w:numId w:val="2"/>
        </w:numPr>
        <w:spacing w:after="60" w:before="60"/>
      </w:pPr>
      <w:r>
        <w:rPr>
          <w:rFonts w:ascii="Arial" w:cs="Arial" w:eastAsia="Arial" w:hAnsi="Arial"/>
          <w:color w:val="1E293B"/>
          <w:sz w:val="22"/>
          <w:szCs w:val="22"/>
        </w:rPr>
        <w:t xml:space="preserve">SMTP-based transactional email (acknowledgement, reply, resolution).</w:t>
      </w:r>
    </w:p>
    <w:p>
      <w:pPr>
        <w:spacing w:after="0"/>
      </w:pPr>
      <w:r>
        <w:t xml:space="preserve"/>
      </w:r>
    </w:p>
    <w:p>
      <w:pPr>
        <w:pStyle w:val="Heading2"/>
        <w:spacing w:after="160" w:before="360"/>
      </w:pPr>
      <w:r>
        <w:rPr>
          <w:rFonts w:ascii="Arial" w:cs="Arial" w:eastAsia="Arial" w:hAnsi="Arial"/>
          <w:b/>
          <w:bCs/>
          <w:color w:val="1E293B"/>
          <w:sz w:val="26"/>
          <w:szCs w:val="26"/>
        </w:rPr>
        <w:t xml:space="preserve">Phase 2 — Intelligence: Basic RAG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Scope:  </w:t>
            </w:r>
            <w:r>
              <w:rPr>
                <w:rFonts w:ascii="Arial" w:cs="Arial" w:eastAsia="Arial" w:hAnsi="Arial"/>
                <w:color w:val="1E293B"/>
                <w:sz w:val="20"/>
                <w:szCs w:val="20"/>
              </w:rPr>
              <w:t xml:space="preserve">Introduce AI-driven automatic resolution. The system attempts to answer queries using embedded company documents before any human involvement.</w:t>
            </w:r>
          </w:p>
        </w:tc>
      </w:tr>
    </w:tbl>
    <w:p>
      <w:pPr>
        <w:spacing w:after="0"/>
      </w:pPr>
      <w:r>
        <w:t xml:space="preserve"/>
      </w:r>
    </w:p>
    <w:p>
      <w:pPr>
        <w:pStyle w:val="ListParagraph"/>
        <w:numPr>
          <w:ilvl w:val="0"/>
          <w:numId w:val="2"/>
        </w:numPr>
        <w:spacing w:after="60" w:before="60"/>
      </w:pPr>
      <w:r>
        <w:rPr>
          <w:rFonts w:ascii="Arial" w:cs="Arial" w:eastAsia="Arial" w:hAnsi="Arial"/>
          <w:color w:val="1E293B"/>
          <w:sz w:val="22"/>
          <w:szCs w:val="22"/>
        </w:rPr>
        <w:t xml:space="preserve">Document ingestion pipeline: PDF/text upload → chunking → embedding → VectorDB storage per tenant namespace.</w:t>
      </w:r>
    </w:p>
    <w:p>
      <w:pPr>
        <w:pStyle w:val="ListParagraph"/>
        <w:numPr>
          <w:ilvl w:val="0"/>
          <w:numId w:val="2"/>
        </w:numPr>
        <w:spacing w:after="60" w:before="60"/>
      </w:pPr>
      <w:r>
        <w:rPr>
          <w:rFonts w:ascii="Arial" w:cs="Arial" w:eastAsia="Arial" w:hAnsi="Arial"/>
          <w:color w:val="1E293B"/>
          <w:sz w:val="22"/>
          <w:szCs w:val="22"/>
        </w:rPr>
        <w:t xml:space="preserve">Semantic retrieval: customer query → embedding → cosine similarity search over tenant's own vectors.</w:t>
      </w:r>
    </w:p>
    <w:p>
      <w:pPr>
        <w:pStyle w:val="ListParagraph"/>
        <w:numPr>
          <w:ilvl w:val="0"/>
          <w:numId w:val="2"/>
        </w:numPr>
        <w:spacing w:after="60" w:before="60"/>
      </w:pPr>
      <w:r>
        <w:rPr>
          <w:rFonts w:ascii="Arial" w:cs="Arial" w:eastAsia="Arial" w:hAnsi="Arial"/>
          <w:color w:val="1E293B"/>
          <w:sz w:val="22"/>
          <w:szCs w:val="22"/>
        </w:rPr>
        <w:t xml:space="preserve">Confidence-gated response: if similarity score ≥ configured threshold, auto-send AI-crafted reply; else escalate.</w:t>
      </w:r>
    </w:p>
    <w:p>
      <w:pPr>
        <w:pStyle w:val="ListParagraph"/>
        <w:numPr>
          <w:ilvl w:val="0"/>
          <w:numId w:val="2"/>
        </w:numPr>
        <w:spacing w:after="60" w:before="60"/>
      </w:pPr>
      <w:r>
        <w:rPr>
          <w:rFonts w:ascii="Arial" w:cs="Arial" w:eastAsia="Arial" w:hAnsi="Arial"/>
          <w:color w:val="1E293B"/>
          <w:sz w:val="22"/>
          <w:szCs w:val="22"/>
        </w:rPr>
        <w:t xml:space="preserve">3-turn conversation limit: AI attempts resolution across up to 3 exchanges; if unresolved, ticket escalates to Priority Human queue.</w:t>
      </w:r>
    </w:p>
    <w:p>
      <w:pPr>
        <w:pStyle w:val="ListParagraph"/>
        <w:numPr>
          <w:ilvl w:val="0"/>
          <w:numId w:val="2"/>
        </w:numPr>
        <w:spacing w:after="60" w:before="60"/>
      </w:pPr>
      <w:r>
        <w:rPr>
          <w:rFonts w:ascii="Arial" w:cs="Arial" w:eastAsia="Arial" w:hAnsi="Arial"/>
          <w:color w:val="1E293B"/>
          <w:sz w:val="22"/>
          <w:szCs w:val="22"/>
        </w:rPr>
        <w:t xml:space="preserve">Audit log per ticket: query received, chunks retrieved, similarity scores, response sent, resolution outcome.</w:t>
      </w:r>
    </w:p>
    <w:p>
      <w:pPr>
        <w:pStyle w:val="ListParagraph"/>
        <w:numPr>
          <w:ilvl w:val="0"/>
          <w:numId w:val="2"/>
        </w:numPr>
        <w:spacing w:after="60" w:before="60"/>
      </w:pPr>
      <w:r>
        <w:rPr>
          <w:rFonts w:ascii="Arial" w:cs="Arial" w:eastAsia="Arial" w:hAnsi="Arial"/>
          <w:color w:val="1E293B"/>
          <w:sz w:val="22"/>
          <w:szCs w:val="22"/>
        </w:rPr>
        <w:t xml:space="preserve">Resolution analytics dashboard: auto-resolved vs escalated by category, accuracy over time.</w:t>
      </w:r>
    </w:p>
    <w:p>
      <w:pPr>
        <w:spacing w:after="0"/>
      </w:pPr>
      <w:r>
        <w:t xml:space="preserve"/>
      </w:r>
    </w:p>
    <w:p>
      <w:pPr>
        <w:pStyle w:val="Heading2"/>
        <w:spacing w:after="160" w:before="360"/>
      </w:pPr>
      <w:r>
        <w:rPr>
          <w:rFonts w:ascii="Arial" w:cs="Arial" w:eastAsia="Arial" w:hAnsi="Arial"/>
          <w:b/>
          <w:bCs/>
          <w:color w:val="1E293B"/>
          <w:sz w:val="26"/>
          <w:szCs w:val="26"/>
        </w:rPr>
        <w:t xml:space="preserve">Phase 3 — Integrations: Business DB &amp; Logistics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Scope:  </w:t>
            </w:r>
            <w:r>
              <w:rPr>
                <w:rFonts w:ascii="Arial" w:cs="Arial" w:eastAsia="Arial" w:hAnsi="Arial"/>
                <w:color w:val="1E293B"/>
                <w:sz w:val="20"/>
                <w:szCs w:val="20"/>
              </w:rPr>
              <w:t xml:space="preserve">Connect FlowDesk to the tenant's existing order management system and last-mile delivery partners to enable real-time order-aware responses.</w:t>
            </w:r>
          </w:p>
        </w:tc>
      </w:tr>
    </w:tbl>
    <w:p>
      <w:pPr>
        <w:spacing w:after="0"/>
      </w:pPr>
      <w:r>
        <w:t xml:space="preserve"/>
      </w:r>
    </w:p>
    <w:p>
      <w:pPr>
        <w:pStyle w:val="ListParagraph"/>
        <w:numPr>
          <w:ilvl w:val="0"/>
          <w:numId w:val="2"/>
        </w:numPr>
        <w:spacing w:after="60" w:before="60"/>
      </w:pPr>
      <w:r>
        <w:rPr>
          <w:rFonts w:ascii="Arial" w:cs="Arial" w:eastAsia="Arial" w:hAnsi="Arial"/>
          <w:color w:val="1E293B"/>
          <w:sz w:val="22"/>
          <w:szCs w:val="22"/>
        </w:rPr>
        <w:t xml:space="preserve">Generic order lookup API connector (configurable endpoint per tenant).</w:t>
      </w:r>
    </w:p>
    <w:p>
      <w:pPr>
        <w:pStyle w:val="ListParagraph"/>
        <w:numPr>
          <w:ilvl w:val="0"/>
          <w:numId w:val="2"/>
        </w:numPr>
        <w:spacing w:after="60" w:before="60"/>
      </w:pPr>
      <w:r>
        <w:rPr>
          <w:rFonts w:ascii="Arial" w:cs="Arial" w:eastAsia="Arial" w:hAnsi="Arial"/>
          <w:color w:val="1E293B"/>
          <w:sz w:val="22"/>
          <w:szCs w:val="22"/>
        </w:rPr>
        <w:t xml:space="preserve">Logistics partner integration: configurable tracking API endpoint; supports standard carriers.</w:t>
      </w:r>
    </w:p>
    <w:p>
      <w:pPr>
        <w:pStyle w:val="ListParagraph"/>
        <w:numPr>
          <w:ilvl w:val="0"/>
          <w:numId w:val="2"/>
        </w:numPr>
        <w:spacing w:after="60" w:before="60"/>
      </w:pPr>
      <w:r>
        <w:rPr>
          <w:rFonts w:ascii="Arial" w:cs="Arial" w:eastAsia="Arial" w:hAnsi="Arial"/>
          <w:color w:val="1E293B"/>
          <w:sz w:val="22"/>
          <w:szCs w:val="22"/>
        </w:rPr>
        <w:t xml:space="preserve">Order-aware AI responses: AI can retrieve live order status, tracking number, and estimated delivery without agent intervention.</w:t>
      </w:r>
    </w:p>
    <w:p>
      <w:pPr>
        <w:pStyle w:val="ListParagraph"/>
        <w:numPr>
          <w:ilvl w:val="0"/>
          <w:numId w:val="2"/>
        </w:numPr>
        <w:spacing w:after="60" w:before="60"/>
      </w:pPr>
      <w:r>
        <w:rPr>
          <w:rFonts w:ascii="Arial" w:cs="Arial" w:eastAsia="Arial" w:hAnsi="Arial"/>
          <w:color w:val="1E293B"/>
          <w:sz w:val="22"/>
          <w:szCs w:val="22"/>
        </w:rPr>
        <w:t xml:space="preserve">Webhook ingestion: tenants can push order/delivery events into FlowDesk to proactively notify customers.</w:t>
      </w:r>
    </w:p>
    <w:p>
      <w:pPr>
        <w:pStyle w:val="ListParagraph"/>
        <w:numPr>
          <w:ilvl w:val="0"/>
          <w:numId w:val="2"/>
        </w:numPr>
        <w:spacing w:after="60" w:before="60"/>
      </w:pPr>
      <w:r>
        <w:rPr>
          <w:rFonts w:ascii="Arial" w:cs="Arial" w:eastAsia="Arial" w:hAnsi="Arial"/>
          <w:color w:val="1E293B"/>
          <w:sz w:val="22"/>
          <w:szCs w:val="22"/>
        </w:rPr>
        <w:t xml:space="preserve">Secure credential vault per tenant for storing third-party API keys (AES-256 encrypted at rest).</w:t>
      </w:r>
    </w:p>
    <w:p>
      <w:pPr>
        <w:spacing w:after="0"/>
      </w:pPr>
      <w:r>
        <w:t xml:space="preserve"/>
      </w:r>
    </w:p>
    <w:p>
      <w:pPr>
        <w:pStyle w:val="Heading2"/>
        <w:spacing w:after="160" w:before="360"/>
      </w:pPr>
      <w:r>
        <w:rPr>
          <w:rFonts w:ascii="Arial" w:cs="Arial" w:eastAsia="Arial" w:hAnsi="Arial"/>
          <w:b/>
          <w:bCs/>
          <w:color w:val="1E293B"/>
          <w:sz w:val="26"/>
          <w:szCs w:val="26"/>
        </w:rPr>
        <w:t xml:space="preserve">Phase 4 — Conversational UI: Customer-Facing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Scope:  </w:t>
            </w:r>
            <w:r>
              <w:rPr>
                <w:rFonts w:ascii="Arial" w:cs="Arial" w:eastAsia="Arial" w:hAnsi="Arial"/>
                <w:color w:val="1E293B"/>
                <w:sz w:val="20"/>
                <w:szCs w:val="20"/>
              </w:rPr>
              <w:t xml:space="preserve">Replace the static support form with an interactive, streaming chatbot widget for real-time back-and-forth resolution.</w:t>
            </w:r>
          </w:p>
        </w:tc>
      </w:tr>
    </w:tbl>
    <w:p>
      <w:pPr>
        <w:spacing w:after="0"/>
      </w:pPr>
      <w:r>
        <w:t xml:space="preserve"/>
      </w:r>
    </w:p>
    <w:p>
      <w:pPr>
        <w:pStyle w:val="ListParagraph"/>
        <w:numPr>
          <w:ilvl w:val="0"/>
          <w:numId w:val="2"/>
        </w:numPr>
        <w:spacing w:after="60" w:before="60"/>
      </w:pPr>
      <w:r>
        <w:rPr>
          <w:rFonts w:ascii="Arial" w:cs="Arial" w:eastAsia="Arial" w:hAnsi="Arial"/>
          <w:color w:val="1E293B"/>
          <w:sz w:val="22"/>
          <w:szCs w:val="22"/>
        </w:rPr>
        <w:t xml:space="preserve">Embeddable React chat widget (replaces static form; backwards-compatible).</w:t>
      </w:r>
    </w:p>
    <w:p>
      <w:pPr>
        <w:pStyle w:val="ListParagraph"/>
        <w:numPr>
          <w:ilvl w:val="0"/>
          <w:numId w:val="2"/>
        </w:numPr>
        <w:spacing w:after="60" w:before="60"/>
      </w:pPr>
      <w:r>
        <w:rPr>
          <w:rFonts w:ascii="Arial" w:cs="Arial" w:eastAsia="Arial" w:hAnsi="Arial"/>
          <w:color w:val="1E293B"/>
          <w:sz w:val="22"/>
          <w:szCs w:val="22"/>
        </w:rPr>
        <w:t xml:space="preserve">Streaming AI responses via SSE for low-latency feel.</w:t>
      </w:r>
    </w:p>
    <w:p>
      <w:pPr>
        <w:pStyle w:val="ListParagraph"/>
        <w:numPr>
          <w:ilvl w:val="0"/>
          <w:numId w:val="2"/>
        </w:numPr>
        <w:spacing w:after="60" w:before="60"/>
      </w:pPr>
      <w:r>
        <w:rPr>
          <w:rFonts w:ascii="Arial" w:cs="Arial" w:eastAsia="Arial" w:hAnsi="Arial"/>
          <w:color w:val="1E293B"/>
          <w:sz w:val="22"/>
          <w:szCs w:val="22"/>
        </w:rPr>
        <w:t xml:space="preserve">Context-aware multi-turn conversation with session memory.</w:t>
      </w:r>
    </w:p>
    <w:p>
      <w:pPr>
        <w:pStyle w:val="ListParagraph"/>
        <w:numPr>
          <w:ilvl w:val="0"/>
          <w:numId w:val="2"/>
        </w:numPr>
        <w:spacing w:after="60" w:before="60"/>
      </w:pPr>
      <w:r>
        <w:rPr>
          <w:rFonts w:ascii="Arial" w:cs="Arial" w:eastAsia="Arial" w:hAnsi="Arial"/>
          <w:color w:val="1E293B"/>
          <w:sz w:val="22"/>
          <w:szCs w:val="22"/>
        </w:rPr>
        <w:t xml:space="preserve">Graceful human handoff: live agent joins chat thread when AI escalates.</w:t>
      </w:r>
    </w:p>
    <w:p>
      <w:pPr>
        <w:pStyle w:val="ListParagraph"/>
        <w:numPr>
          <w:ilvl w:val="0"/>
          <w:numId w:val="2"/>
        </w:numPr>
        <w:spacing w:after="60" w:before="60"/>
      </w:pPr>
      <w:r>
        <w:rPr>
          <w:rFonts w:ascii="Arial" w:cs="Arial" w:eastAsia="Arial" w:hAnsi="Arial"/>
          <w:color w:val="1E293B"/>
          <w:sz w:val="22"/>
          <w:szCs w:val="22"/>
        </w:rPr>
        <w:t xml:space="preserve">Mobile-responsive widget with white-label theme customization per tenant.</w:t>
      </w:r>
    </w:p>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5.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2160"/>
      </w:tblGrid>
      <w:tr>
        <w:trPr>
          <w:tblHeader/>
        </w:trPr>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Persona</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Key Pain Point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Business Owner (Tenant Admin)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Signs up, configures FlowDesk, monitors performance.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Reduce support cost and response time with minimal setup.</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Spends too much time / money on repetitive support tickets.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Support Agent</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Reviews escalated tickets, sends manual replies.</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Clear queue efficiently; easy-to-use inbox.</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Overwhelmed by volume; no context on customer history.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End Customer</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Submits a support query via form/chatbot.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 a fast, accurate answer to their problem.</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Waiting 24+ hours for a response to a simple question.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Developer (Tenant Tech)</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Integrates FlowDesk form into their platform.</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Quick, well-documented API/SDK integration.</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Poor documentation; integration takes too long.</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6. Detailed User Flows</w:t>
      </w:r>
    </w:p>
    <w:p>
      <w:pPr>
        <w:pStyle w:val="Heading2"/>
        <w:spacing w:after="160" w:before="360"/>
      </w:pPr>
      <w:r>
        <w:rPr>
          <w:rFonts w:ascii="Arial" w:cs="Arial" w:eastAsia="Arial" w:hAnsi="Arial"/>
          <w:b/>
          <w:bCs/>
          <w:color w:val="1E293B"/>
          <w:sz w:val="26"/>
          <w:szCs w:val="26"/>
        </w:rPr>
        <w:t xml:space="preserve">6.1 Tenant Onboarding Flow</w:t>
      </w:r>
    </w:p>
    <w:p>
      <w:pPr>
        <w:spacing w:after="120" w:before="80"/>
        <w:jc w:val="both"/>
      </w:pPr>
      <w:r>
        <w:rPr>
          <w:rFonts w:ascii="Arial" w:cs="Arial" w:eastAsia="Arial" w:hAnsi="Arial"/>
          <w:color w:val="1E293B"/>
          <w:sz w:val="22"/>
          <w:szCs w:val="22"/>
        </w:rPr>
        <w:t xml:space="preserve">The onboarding wizard dynamically adapts its steps based on the business type selected, ensuring each tenant only configures what is relevant to their operation.</w:t>
      </w:r>
    </w:p>
    <w:p>
      <w:pPr>
        <w:spacing w:after="0"/>
      </w:pPr>
      <w:r>
        <w:t xml:space="preserve"/>
      </w:r>
    </w:p>
    <w:p>
      <w:pPr>
        <w:pStyle w:val="ListParagraph"/>
        <w:numPr>
          <w:ilvl w:val="0"/>
          <w:numId w:val="3"/>
        </w:numPr>
        <w:spacing w:after="60" w:before="60"/>
      </w:pPr>
      <w:r>
        <w:rPr>
          <w:rFonts w:ascii="Arial" w:cs="Arial" w:eastAsia="Arial" w:hAnsi="Arial"/>
          <w:color w:val="1E293B"/>
          <w:sz w:val="22"/>
          <w:szCs w:val="22"/>
        </w:rPr>
        <w:t xml:space="preserve">Tenant navigates to FlowDesk and clicks 'Get Started'. Enters company name, work email, and password. Email verification link is sent.</w:t>
      </w:r>
    </w:p>
    <w:p>
      <w:pPr>
        <w:pStyle w:val="ListParagraph"/>
        <w:numPr>
          <w:ilvl w:val="0"/>
          <w:numId w:val="3"/>
        </w:numPr>
        <w:spacing w:after="60" w:before="60"/>
      </w:pPr>
      <w:r>
        <w:rPr>
          <w:rFonts w:ascii="Arial" w:cs="Arial" w:eastAsia="Arial" w:hAnsi="Arial"/>
          <w:color w:val="1E293B"/>
          <w:sz w:val="22"/>
          <w:szCs w:val="22"/>
        </w:rPr>
        <w:t xml:space="preserve">After verification, tenant selects Business Category: E-commerce or SaaS/Tech.</w:t>
      </w:r>
    </w:p>
    <w:p>
      <w:pPr>
        <w:pStyle w:val="ListParagraph"/>
        <w:numPr>
          <w:ilvl w:val="0"/>
          <w:numId w:val="3"/>
        </w:numPr>
        <w:spacing w:after="60" w:before="60"/>
      </w:pPr>
      <w:r>
        <w:rPr>
          <w:rFonts w:ascii="Arial" w:cs="Arial" w:eastAsia="Arial" w:hAnsi="Arial"/>
          <w:color w:val="1E293B"/>
          <w:sz w:val="22"/>
          <w:szCs w:val="22"/>
        </w:rPr>
        <w:t xml:space="preserve">E-commerce path: System asks 'Are you selling digital or physical goods?'</w:t>
      </w:r>
    </w:p>
    <w:p>
      <w:pPr>
        <w:pStyle w:val="ListParagraph"/>
        <w:numPr>
          <w:ilvl w:val="0"/>
          <w:numId w:val="4"/>
        </w:numPr>
        <w:spacing w:after="60" w:before="60"/>
      </w:pPr>
      <w:r>
        <w:rPr>
          <w:rFonts w:ascii="Arial" w:cs="Arial" w:eastAsia="Arial" w:hAnsi="Arial"/>
          <w:color w:val="1E293B"/>
          <w:sz w:val="22"/>
          <w:szCs w:val="22"/>
        </w:rPr>
        <w:t xml:space="preserve">Digital goods: Enter delivery method (email delivery, direct download link, or in-platform viewing URL).</w:t>
      </w:r>
    </w:p>
    <w:p>
      <w:pPr>
        <w:pStyle w:val="ListParagraph"/>
        <w:numPr>
          <w:ilvl w:val="0"/>
          <w:numId w:val="4"/>
        </w:numPr>
        <w:spacing w:after="60" w:before="60"/>
      </w:pPr>
      <w:r>
        <w:rPr>
          <w:rFonts w:ascii="Arial" w:cs="Arial" w:eastAsia="Arial" w:hAnsi="Arial"/>
          <w:color w:val="1E293B"/>
          <w:sz w:val="22"/>
          <w:szCs w:val="22"/>
        </w:rPr>
        <w:t xml:space="preserve">Physical goods: Enter delivery partner name + tracking API endpoint + API key.</w:t>
      </w:r>
    </w:p>
    <w:p>
      <w:pPr>
        <w:pStyle w:val="ListParagraph"/>
        <w:numPr>
          <w:ilvl w:val="0"/>
          <w:numId w:val="3"/>
        </w:numPr>
        <w:spacing w:after="60" w:before="60"/>
      </w:pPr>
      <w:r>
        <w:rPr>
          <w:rFonts w:ascii="Arial" w:cs="Arial" w:eastAsia="Arial" w:hAnsi="Arial"/>
          <w:color w:val="1E293B"/>
          <w:sz w:val="22"/>
          <w:szCs w:val="22"/>
        </w:rPr>
        <w:t xml:space="preserve">SaaS/Tech path: Tenant uploads Return &amp; Refund Policy PDF and Product Guide PDF (or pastes text). These become the RAG knowledge base.</w:t>
      </w:r>
    </w:p>
    <w:p>
      <w:pPr>
        <w:pStyle w:val="ListParagraph"/>
        <w:numPr>
          <w:ilvl w:val="0"/>
          <w:numId w:val="3"/>
        </w:numPr>
        <w:spacing w:after="60" w:before="60"/>
      </w:pPr>
      <w:r>
        <w:rPr>
          <w:rFonts w:ascii="Arial" w:cs="Arial" w:eastAsia="Arial" w:hAnsi="Arial"/>
          <w:color w:val="1E293B"/>
          <w:sz w:val="22"/>
          <w:szCs w:val="22"/>
        </w:rPr>
        <w:t xml:space="preserve">Form Builder: Tenant adds custom input fields (field name, type, required/optional). Platform generates a live preview.</w:t>
      </w:r>
    </w:p>
    <w:p>
      <w:pPr>
        <w:pStyle w:val="ListParagraph"/>
        <w:numPr>
          <w:ilvl w:val="0"/>
          <w:numId w:val="3"/>
        </w:numPr>
        <w:spacing w:after="60" w:before="60"/>
      </w:pPr>
      <w:r>
        <w:rPr>
          <w:rFonts w:ascii="Arial" w:cs="Arial" w:eastAsia="Arial" w:hAnsi="Arial"/>
          <w:color w:val="1E293B"/>
          <w:sz w:val="22"/>
          <w:szCs w:val="22"/>
        </w:rPr>
        <w:t xml:space="preserve">Platform generates API Key, Form Embed Code, and REST Endpoint. Provides integration guides for: Shopify, WooCommerce, Next.js, React, Node.js, Django, FastAPI.</w:t>
      </w:r>
    </w:p>
    <w:p>
      <w:pPr>
        <w:pStyle w:val="ListParagraph"/>
        <w:numPr>
          <w:ilvl w:val="0"/>
          <w:numId w:val="3"/>
        </w:numPr>
        <w:spacing w:after="60" w:before="60"/>
      </w:pPr>
      <w:r>
        <w:rPr>
          <w:rFonts w:ascii="Arial" w:cs="Arial" w:eastAsia="Arial" w:hAnsi="Arial"/>
          <w:color w:val="1E293B"/>
          <w:sz w:val="22"/>
          <w:szCs w:val="22"/>
        </w:rPr>
        <w:t xml:space="preserve">Onboarding complete. Tenant lands on the Agent Dashboard.</w:t>
      </w:r>
    </w:p>
    <w:p>
      <w:pPr>
        <w:spacing w:after="0"/>
      </w:pPr>
      <w:r>
        <w:t xml:space="preserve"/>
      </w:r>
    </w:p>
    <w:p>
      <w:pPr>
        <w:pStyle w:val="Heading2"/>
        <w:spacing w:after="160" w:before="360"/>
      </w:pPr>
      <w:r>
        <w:rPr>
          <w:rFonts w:ascii="Arial" w:cs="Arial" w:eastAsia="Arial" w:hAnsi="Arial"/>
          <w:b/>
          <w:bCs/>
          <w:color w:val="1E293B"/>
          <w:sz w:val="26"/>
          <w:szCs w:val="26"/>
        </w:rPr>
        <w:t xml:space="preserve">6.2 Customer Support Request Flow (Phase 1 — Human)</w:t>
      </w:r>
    </w:p>
    <w:p>
      <w:pPr>
        <w:pStyle w:val="ListParagraph"/>
        <w:numPr>
          <w:ilvl w:val="0"/>
          <w:numId w:val="3"/>
        </w:numPr>
        <w:spacing w:after="60" w:before="60"/>
      </w:pPr>
      <w:r>
        <w:rPr>
          <w:rFonts w:ascii="Arial" w:cs="Arial" w:eastAsia="Arial" w:hAnsi="Arial"/>
          <w:color w:val="1E293B"/>
          <w:sz w:val="22"/>
          <w:szCs w:val="22"/>
        </w:rPr>
        <w:t xml:space="preserve">Customer visits tenant's website and opens the embedded support form.</w:t>
      </w:r>
    </w:p>
    <w:p>
      <w:pPr>
        <w:pStyle w:val="ListParagraph"/>
        <w:numPr>
          <w:ilvl w:val="0"/>
          <w:numId w:val="3"/>
        </w:numPr>
        <w:spacing w:after="60" w:before="60"/>
      </w:pPr>
      <w:r>
        <w:rPr>
          <w:rFonts w:ascii="Arial" w:cs="Arial" w:eastAsia="Arial" w:hAnsi="Arial"/>
          <w:color w:val="1E293B"/>
          <w:sz w:val="22"/>
          <w:szCs w:val="22"/>
        </w:rPr>
        <w:t xml:space="preserve">Customer fills in fields (name, email, order ID if relevant, query description) and submits.</w:t>
      </w:r>
    </w:p>
    <w:p>
      <w:pPr>
        <w:pStyle w:val="ListParagraph"/>
        <w:numPr>
          <w:ilvl w:val="0"/>
          <w:numId w:val="3"/>
        </w:numPr>
        <w:spacing w:after="60" w:before="60"/>
      </w:pPr>
      <w:r>
        <w:rPr>
          <w:rFonts w:ascii="Arial" w:cs="Arial" w:eastAsia="Arial" w:hAnsi="Arial"/>
          <w:color w:val="1E293B"/>
          <w:sz w:val="22"/>
          <w:szCs w:val="22"/>
        </w:rPr>
        <w:t xml:space="preserve">FlowDesk receives the form submission via the tenant's form endpoint.</w:t>
      </w:r>
    </w:p>
    <w:p>
      <w:pPr>
        <w:pStyle w:val="ListParagraph"/>
        <w:numPr>
          <w:ilvl w:val="0"/>
          <w:numId w:val="3"/>
        </w:numPr>
        <w:spacing w:after="60" w:before="60"/>
      </w:pPr>
      <w:r>
        <w:rPr>
          <w:rFonts w:ascii="Arial" w:cs="Arial" w:eastAsia="Arial" w:hAnsi="Arial"/>
          <w:color w:val="1E293B"/>
          <w:sz w:val="22"/>
          <w:szCs w:val="22"/>
        </w:rPr>
        <w:t xml:space="preserve">System creates a Ticket record in the database with status: OPEN.</w:t>
      </w:r>
    </w:p>
    <w:p>
      <w:pPr>
        <w:pStyle w:val="ListParagraph"/>
        <w:numPr>
          <w:ilvl w:val="0"/>
          <w:numId w:val="3"/>
        </w:numPr>
        <w:spacing w:after="60" w:before="60"/>
      </w:pPr>
      <w:r>
        <w:rPr>
          <w:rFonts w:ascii="Arial" w:cs="Arial" w:eastAsia="Arial" w:hAnsi="Arial"/>
          <w:color w:val="1E293B"/>
          <w:sz w:val="22"/>
          <w:szCs w:val="22"/>
        </w:rPr>
        <w:t xml:space="preserve">An acknowledgement email is dispatched to the customer: 'We received your query. Our agent will respond within 24 hours.'</w:t>
      </w:r>
    </w:p>
    <w:p>
      <w:pPr>
        <w:pStyle w:val="ListParagraph"/>
        <w:numPr>
          <w:ilvl w:val="0"/>
          <w:numId w:val="3"/>
        </w:numPr>
        <w:spacing w:after="60" w:before="60"/>
      </w:pPr>
      <w:r>
        <w:rPr>
          <w:rFonts w:ascii="Arial" w:cs="Arial" w:eastAsia="Arial" w:hAnsi="Arial"/>
          <w:color w:val="1E293B"/>
          <w:sz w:val="22"/>
          <w:szCs w:val="22"/>
        </w:rPr>
        <w:t xml:space="preserve">Ticket appears in the Tenant's Agent Inbox, sorted by submission time.</w:t>
      </w:r>
    </w:p>
    <w:p>
      <w:pPr>
        <w:pStyle w:val="ListParagraph"/>
        <w:numPr>
          <w:ilvl w:val="0"/>
          <w:numId w:val="3"/>
        </w:numPr>
        <w:spacing w:after="60" w:before="60"/>
      </w:pPr>
      <w:r>
        <w:rPr>
          <w:rFonts w:ascii="Arial" w:cs="Arial" w:eastAsia="Arial" w:hAnsi="Arial"/>
          <w:color w:val="1E293B"/>
          <w:sz w:val="22"/>
          <w:szCs w:val="22"/>
        </w:rPr>
        <w:t xml:space="preserve">Agent opens ticket, reads the query, types a reply, and sends it. Customer receives reply via email.</w:t>
      </w:r>
    </w:p>
    <w:p>
      <w:pPr>
        <w:pStyle w:val="ListParagraph"/>
        <w:numPr>
          <w:ilvl w:val="0"/>
          <w:numId w:val="3"/>
        </w:numPr>
        <w:spacing w:after="60" w:before="60"/>
      </w:pPr>
      <w:r>
        <w:rPr>
          <w:rFonts w:ascii="Arial" w:cs="Arial" w:eastAsia="Arial" w:hAnsi="Arial"/>
          <w:color w:val="1E293B"/>
          <w:sz w:val="22"/>
          <w:szCs w:val="22"/>
        </w:rPr>
        <w:t xml:space="preserve">Agent marks ticket as Resolved. Customer receives a resolution confirmation email.</w:t>
      </w:r>
    </w:p>
    <w:p>
      <w:pPr>
        <w:spacing w:after="0"/>
      </w:pPr>
      <w:r>
        <w:t xml:space="preserve"/>
      </w:r>
    </w:p>
    <w:p>
      <w:pPr>
        <w:pStyle w:val="Heading2"/>
        <w:spacing w:after="160" w:before="360"/>
      </w:pPr>
      <w:r>
        <w:rPr>
          <w:rFonts w:ascii="Arial" w:cs="Arial" w:eastAsia="Arial" w:hAnsi="Arial"/>
          <w:b/>
          <w:bCs/>
          <w:color w:val="1E293B"/>
          <w:sz w:val="26"/>
          <w:szCs w:val="26"/>
        </w:rPr>
        <w:t xml:space="preserve">6.3 Customer Support Request Flow (Phase 2 — AI Resolution)</w:t>
      </w:r>
    </w:p>
    <w:p>
      <w:pPr>
        <w:pStyle w:val="ListParagraph"/>
        <w:numPr>
          <w:ilvl w:val="0"/>
          <w:numId w:val="3"/>
        </w:numPr>
        <w:spacing w:after="60" w:before="60"/>
      </w:pPr>
      <w:r>
        <w:rPr>
          <w:rFonts w:ascii="Arial" w:cs="Arial" w:eastAsia="Arial" w:hAnsi="Arial"/>
          <w:color w:val="1E293B"/>
          <w:sz w:val="22"/>
          <w:szCs w:val="22"/>
        </w:rPr>
        <w:t xml:space="preserve">Steps 1–5 identical to Phase 1.</w:t>
      </w:r>
    </w:p>
    <w:p>
      <w:pPr>
        <w:pStyle w:val="ListParagraph"/>
        <w:numPr>
          <w:ilvl w:val="0"/>
          <w:numId w:val="3"/>
        </w:numPr>
        <w:spacing w:after="60" w:before="60"/>
      </w:pPr>
      <w:r>
        <w:rPr>
          <w:rFonts w:ascii="Arial" w:cs="Arial" w:eastAsia="Arial" w:hAnsi="Arial"/>
          <w:color w:val="1E293B"/>
          <w:sz w:val="22"/>
          <w:szCs w:val="22"/>
        </w:rPr>
        <w:t xml:space="preserve">AI Triage Engine runs asynchronously in the background (via BullMQ job):</w:t>
      </w:r>
    </w:p>
    <w:p>
      <w:pPr>
        <w:pStyle w:val="ListParagraph"/>
        <w:numPr>
          <w:ilvl w:val="0"/>
          <w:numId w:val="4"/>
        </w:numPr>
        <w:spacing w:after="60" w:before="60"/>
      </w:pPr>
      <w:r>
        <w:rPr>
          <w:rFonts w:ascii="Arial" w:cs="Arial" w:eastAsia="Arial" w:hAnsi="Arial"/>
          <w:color w:val="1E293B"/>
          <w:sz w:val="22"/>
          <w:szCs w:val="22"/>
        </w:rPr>
        <w:t xml:space="preserve">Customer query is embedded using the same embedding model used during document ingestion.</w:t>
      </w:r>
    </w:p>
    <w:p>
      <w:pPr>
        <w:pStyle w:val="ListParagraph"/>
        <w:numPr>
          <w:ilvl w:val="0"/>
          <w:numId w:val="4"/>
        </w:numPr>
        <w:spacing w:after="60" w:before="60"/>
      </w:pPr>
      <w:r>
        <w:rPr>
          <w:rFonts w:ascii="Arial" w:cs="Arial" w:eastAsia="Arial" w:hAnsi="Arial"/>
          <w:color w:val="1E293B"/>
          <w:sz w:val="22"/>
          <w:szCs w:val="22"/>
        </w:rPr>
        <w:t xml:space="preserve">Cosine similarity search runs over the tenant's VectorDB namespace.</w:t>
      </w:r>
    </w:p>
    <w:p>
      <w:pPr>
        <w:pStyle w:val="ListParagraph"/>
        <w:numPr>
          <w:ilvl w:val="0"/>
          <w:numId w:val="4"/>
        </w:numPr>
        <w:spacing w:after="60" w:before="60"/>
      </w:pPr>
      <w:r>
        <w:rPr>
          <w:rFonts w:ascii="Arial" w:cs="Arial" w:eastAsia="Arial" w:hAnsi="Arial"/>
          <w:color w:val="1E293B"/>
          <w:sz w:val="22"/>
          <w:szCs w:val="22"/>
        </w:rPr>
        <w:t xml:space="preserve">Top-k chunks are retrieved with similarity scores.</w:t>
      </w:r>
    </w:p>
    <w:p>
      <w:pPr>
        <w:pStyle w:val="ListParagraph"/>
        <w:numPr>
          <w:ilvl w:val="0"/>
          <w:numId w:val="4"/>
        </w:numPr>
        <w:spacing w:after="60" w:before="60"/>
      </w:pPr>
      <w:r>
        <w:rPr>
          <w:rFonts w:ascii="Arial" w:cs="Arial" w:eastAsia="Arial" w:hAnsi="Arial"/>
          <w:color w:val="1E293B"/>
          <w:sz w:val="22"/>
          <w:szCs w:val="22"/>
        </w:rPr>
        <w:t xml:space="preserve">If max similarity score ≥ confidence threshold (configurable per tenant, default 0.78): AI crafts a grounded reply using the retrieved chunks + LLM synthesis. Reply is sent to customer. Ticket status set to AI_RESOLVED.</w:t>
      </w:r>
    </w:p>
    <w:p>
      <w:pPr>
        <w:pStyle w:val="ListParagraph"/>
        <w:numPr>
          <w:ilvl w:val="0"/>
          <w:numId w:val="4"/>
        </w:numPr>
        <w:spacing w:after="60" w:before="60"/>
      </w:pPr>
      <w:r>
        <w:rPr>
          <w:rFonts w:ascii="Arial" w:cs="Arial" w:eastAsia="Arial" w:hAnsi="Arial"/>
          <w:color w:val="1E293B"/>
          <w:sz w:val="22"/>
          <w:szCs w:val="22"/>
        </w:rPr>
        <w:t xml:space="preserve">If score &lt; threshold: ticket is queued to the human agent inbox as normal.</w:t>
      </w:r>
    </w:p>
    <w:p>
      <w:pPr>
        <w:pStyle w:val="ListParagraph"/>
        <w:numPr>
          <w:ilvl w:val="0"/>
          <w:numId w:val="3"/>
        </w:numPr>
        <w:spacing w:after="60" w:before="60"/>
      </w:pPr>
      <w:r>
        <w:rPr>
          <w:rFonts w:ascii="Arial" w:cs="Arial" w:eastAsia="Arial" w:hAnsi="Arial"/>
          <w:color w:val="1E293B"/>
          <w:sz w:val="22"/>
          <w:szCs w:val="22"/>
        </w:rPr>
        <w:t xml:space="preserve">If the AI sends a reply, the customer can respond back (up to 3 total AI turns).</w:t>
      </w:r>
    </w:p>
    <w:p>
      <w:pPr>
        <w:pStyle w:val="ListParagraph"/>
        <w:numPr>
          <w:ilvl w:val="0"/>
          <w:numId w:val="3"/>
        </w:numPr>
        <w:spacing w:after="60" w:before="60"/>
      </w:pPr>
      <w:r>
        <w:rPr>
          <w:rFonts w:ascii="Arial" w:cs="Arial" w:eastAsia="Arial" w:hAnsi="Arial"/>
          <w:color w:val="1E293B"/>
          <w:sz w:val="22"/>
          <w:szCs w:val="22"/>
        </w:rPr>
        <w:t xml:space="preserve">If after 3 AI turns the customer has not acknowledged resolution or has replied with a new complaint: ticket is escalated to PRIORITY_HUMAN status and surfaced to the agent queue with high-priority flag.</w:t>
      </w:r>
    </w:p>
    <w:p>
      <w:pPr>
        <w:pStyle w:val="ListParagraph"/>
        <w:numPr>
          <w:ilvl w:val="0"/>
          <w:numId w:val="3"/>
        </w:numPr>
        <w:spacing w:after="60" w:before="60"/>
      </w:pPr>
      <w:r>
        <w:rPr>
          <w:rFonts w:ascii="Arial" w:cs="Arial" w:eastAsia="Arial" w:hAnsi="Arial"/>
          <w:color w:val="1E293B"/>
          <w:sz w:val="22"/>
          <w:szCs w:val="22"/>
        </w:rPr>
        <w:t xml:space="preserve">All AI decisions (query, retrieved chunks, scores, reply, outcome) are written to the resolution_audit_log table for observability.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Design Decision:  </w:t>
            </w:r>
            <w:r>
              <w:rPr>
                <w:rFonts w:ascii="Arial" w:cs="Arial" w:eastAsia="Arial" w:hAnsi="Arial"/>
                <w:color w:val="1E293B"/>
                <w:sz w:val="20"/>
                <w:szCs w:val="20"/>
              </w:rPr>
              <w:t xml:space="preserve">The 3-turn limit is intentional. Allowing unbounded AI turns risks frustrating customers with an unhelpful loop. The limit enforces a graceful degradation path to human resolution.</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7. Functional Requirements</w:t>
      </w:r>
    </w:p>
    <w:p>
      <w:pPr>
        <w:pStyle w:val="Heading2"/>
        <w:spacing w:after="160" w:before="360"/>
      </w:pPr>
      <w:r>
        <w:rPr>
          <w:rFonts w:ascii="Arial" w:cs="Arial" w:eastAsia="Arial" w:hAnsi="Arial"/>
          <w:b/>
          <w:bCs/>
          <w:color w:val="1E293B"/>
          <w:sz w:val="26"/>
          <w:szCs w:val="26"/>
        </w:rPr>
        <w:t xml:space="preserve">7.1 Authentication &amp;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AUTH-01</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Tenant signup via email/password with email verification.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AUTH-02</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JWT-based session management with refresh tokens (7-day expiry).</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AUTH-03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Each tenant is isolated: data, vector embeddings, API keys are namespaced by tenant_id.</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AUTH-04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 key generation (SHA-256 hashed, stored salted) per tenant with the ability to rotate.</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AUTH-05</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Rate limiting per API key: configurable RPM limit, enforced by Redis token-bucket.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AUTH-06</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Role-based access: Tenant Admin, Support Agent (read/reply tickets), Read-Only (analytics).</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7.2 Onboarding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ONBD-01</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Adaptive wizard: business category selection drives subsequent configuration steps.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ONBD-02</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Support for document upload (PDF, TXT, MD) up to 20 MB per file; up to 10 files per tenant.</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ONBD-03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Delivery partner configuration: store partner name, tracking URL template, API endpoint, API key (encrypted).</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ONBD-04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Form builder: add/remove/reorder fields; field types: text, textarea, email, phone, select, file upload.</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ONBD-05</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Platform generates integration snippets for Shopify, WooCommerce, Next.js, React, Node.js, Django, FastAPI.</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ONBD-06</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Tenant can update policy documents post-onboarding; re-indexing job is triggered automatically.</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7.3 Ticket Ingestion &amp; Queue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TICK-01</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REST endpoint accepts form submissions; validates against tenant's configured field schema.</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TICK-02</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Ticket record stores: tenant_id, customer_email, fields (JSONB), status, created_at, updated_at, priority, assigned_agent_id.</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TICK-03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Ticket statuses: OPEN, AI_PROCESSING, AI_RESOLVED, ESCALATED, IN_PROGRESS, RESOLVED, CLOSED.</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TICK-04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Priority levels: NORMAL, HIGH (escalated by AI), URGENT (set manually by agent).</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TICK-05</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Kafka topic per tenant for ticket events; ensures ordered processing and replay capability.</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TICK-06</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BullMQ job queues handle: AI resolution jobs, email dispatch jobs, document ingestion jobs — each with retry logic (max 3 attempts, exponential backoff).</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7.4 AI Resolution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AI-01</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Document ingestion: chunk documents (512-token chunks, 50-token overlap), embed via configured model, store in tenant-namespaced VectorDB collection.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AI-02</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Query-time retrieval: embed incoming query, retrieve top-5 chunks by cosine similarity.</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AI-03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Confidence gate: configurable similarity threshold (default 0.78). Responses below threshold are not auto-sent.</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AI-04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LLM synthesis: retrieved chunks + query sent to LLM (Gemini API / Ollama) with a strict grounding prompt. Model instructed to respond only from provided context; never hallucinate.</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AI-05</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3-turn conversation limit: after 3 AI turns without explicit resolution, ticket escalates to PRIORITY_HUMAN.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AI-06</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Audit log per AI decision: ticket_id, retrieved_chunk_ids, similarity_scores, llm_prompt_hash, response_text, resolution_outcome.</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AI-07</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Ollama used as local/on-premise LLM fallback for tenants with data residency requirements.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AI-08</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Embedding model: configurable per deployment (default: text-embedding-004 for Gemini, nomic-embed-text for Ollama).</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7.5 Email &amp;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840"/>
        <w:gridCol w:w="1440"/>
      </w:tblGrid>
      <w:tr>
        <w:trPr>
          <w:tblHeader/>
        </w:trPr>
        <w:tc>
          <w:tcPr>
            <w:tcW w:type="dxa" w:w="10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6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14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EMAIL-01</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Acknowledgement email sent within 5 seconds of ticket creation.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EMAIL-02</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 resolution email includes the response body and a 'Was this helpful?' CTA (Yes/No).</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EMAIL-03</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Escalation notification email to customer: 'We are connecting you with a specialist.' Sent when ticket escalates.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EMAIL-04</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Agent reply email: plain-text + HTML template, from tenant's configured sender domain (DKIM/SPF support).</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EMAIL-05</w:t>
            </w:r>
          </w:p>
        </w:tc>
        <w:tc>
          <w:tcPr>
            <w:tcW w:type="dxa" w:w="6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Resolution confirmation email sent when ticket is marked Resolved.</w:t>
            </w:r>
          </w:p>
        </w:tc>
        <w:tc>
          <w:tcPr>
            <w:tcW w:type="dxa" w:w="14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P0</w:t>
            </w:r>
          </w:p>
        </w:tc>
      </w:tr>
      <w:tr>
        <w:tc>
          <w:tcPr>
            <w:tcW w:type="dxa" w:w="10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EMAIL-06</w:t>
            </w:r>
          </w:p>
        </w:tc>
        <w:tc>
          <w:tcPr>
            <w:tcW w:type="dxa" w:w="6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All email jobs queued via BullMQ; SMTP via configurable provider (default: Nodemailer + SMTP).</w:t>
            </w:r>
          </w:p>
        </w:tc>
        <w:tc>
          <w:tcPr>
            <w:tcW w:type="dxa" w:w="14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P1</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7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Performance</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 resolution pipeline (ingestion to reply) completes in ≤ 10 seconds under normal load. API endpoints respond in ≤ 300 ms at P95.</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Scalability</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Kafka + BullMQ architecture supports horizontal scaling of consumer workers. System handles burst ingestion of 1,000 tickets/minute without data loss.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Availability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Target 99.5% uptime for Phase 1. Queue-based decoupling ensures ticket data is not lost even during AI service downtime.</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Security</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All data encrypted in transit (TLS 1.3) and at rest (AES-256). API keys are never stored in plaintext. Tenant data isolation enforced at DB query level (tenant_id filter on every query).</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Data Privacy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Tenant vector embeddings are namespaced; cross-tenant retrieval is architecturally impossible. PII in tickets is masked in logs.</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Observability</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Structured logging (JSON) for all services. Resolution audit trail per ticket stored for minimum 90 days. Dashboard shows: resolution rate, escalation rate, avg response time, AI accuracy trend.</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Reliability</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All async jobs include retry logic: max 3 attempts with exponential backoff. Dead-letter queue for permanently failed jobs with alerting.</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Maintainability</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Microservices are independently deployable. Each service has its own schema migration and environment config.</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9. System Architecture</w:t>
      </w:r>
    </w:p>
    <w:p>
      <w:pPr>
        <w:pStyle w:val="Heading2"/>
        <w:spacing w:after="160" w:before="360"/>
      </w:pPr>
      <w:r>
        <w:rPr>
          <w:rFonts w:ascii="Arial" w:cs="Arial" w:eastAsia="Arial" w:hAnsi="Arial"/>
          <w:b/>
          <w:bCs/>
          <w:color w:val="1E293B"/>
          <w:sz w:val="26"/>
          <w:szCs w:val="26"/>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8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3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Frontend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Next.js 14, TypeScript, Tailwind CSS, ShadCN/UI, Redux Toolkit (RTK)</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SSR for SEO on marketing pages; App Router for dashboard; RTK for server state sync.</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Backend API</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Node.js, Express.js, TypeScript</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Familiar JS runtime; suits event-driven I/O heavy workload (ticket ingestion, email dispatch).</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Primary Database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PostgreSQL</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ACID compliance for ticket records, tenant config, audit logs. JSONB for flexible form field storage.</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Message Broker</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Apache Kafka</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Decouples ticket ingestion from AI processing. Enables event replay, ordered delivery per tenant topic, and horizontal consumer scaling.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Job Queue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BullMQ + Redis</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Priority queues for AI resolution jobs, email dispatch. Retry/backoff/dead-letter built-in. Redis also used for rate-limiting and session caching.</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 — Embeddings &amp; LLM</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Gemini API (primary) / Ollama (on-prem fallback)</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Gemini for cloud deployments; Ollama for data-sensitive tenants who need local inference.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Vector Database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Qdrant (recommended) / Pinecone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Tenant-namespaced collections. Qdrant preferred for self-hosted deployments; Pinecone for fully managed.</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Email</w:t>
            </w:r>
          </w:p>
        </w:tc>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Nodemailer + SMTP / SendGrid</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BullMQ-queued email jobs. Provider-agnostic via env config.</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Auth</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Custom JWT microservice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Short-lived access tokens (15 min) + refresh tokens (7 days). Separate auth service enables future SSO/OAuth.</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9.2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840"/>
        <w:gridCol w:w="3000"/>
      </w:tblGrid>
      <w:tr>
        <w:trPr>
          <w:tblHeader/>
        </w:trPr>
        <w:tc>
          <w:tcPr>
            <w:tcW w:type="dxa" w:w="25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38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30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Key Dependencies</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Auth Service</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Signup, login, token issuance, refresh, API key management.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PostgreSQL, Redis (session cache)</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Tenant Config Service</w:t>
            </w:r>
          </w:p>
        </w:tc>
        <w:tc>
          <w:tcPr>
            <w:tcW w:type="dxa" w:w="3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Onboarding wizard state, form schema, policy document metadata, delivery partner config.</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PostgreSQL, S3-compatible storage</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Ticket Ingestion Service</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Accepts form submissions, validates schema, creates ticket record, publishes to Kafka.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PostgreSQL, Kafka</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AI Resolution Service</w:t>
            </w:r>
          </w:p>
        </w:tc>
        <w:tc>
          <w:tcPr>
            <w:tcW w:type="dxa" w:w="3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Kafka consumer. Embeds query, retrieves chunks, gates confidence, calls LLM, writes reply or escalates.</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Kafka, Qdrant, Gemini/Ollama API, PostgreSQL</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Email Dispatch Service</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BullMQ consumer. Sends templated emails via SMTP. Handles retries on failure.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BullMQ, Redis, SMTP provider</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Document Ingestion Service</w:t>
            </w:r>
          </w:p>
        </w:tc>
        <w:tc>
          <w:tcPr>
            <w:tcW w:type="dxa" w:w="3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On document upload: chunks, embeds, stores vectors in tenant's Qdrant namespace.</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S3, Qdrant, Embedding model API</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Query Resolve Service</w:t>
            </w:r>
          </w:p>
        </w:tc>
        <w:tc>
          <w:tcPr>
            <w:tcW w:type="dxa" w:w="38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Orchestrates the multi-turn AI conversation state; manages the 3-turn counter and escalation trigger.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PostgreSQL, Redis, AI Resolution Service</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Dashboard API (BFF)</w:t>
            </w:r>
          </w:p>
        </w:tc>
        <w:tc>
          <w:tcPr>
            <w:tcW w:type="dxa" w:w="38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Aggregates ticket data, analytics, agent actions for the frontend dashboard.</w:t>
            </w:r>
          </w:p>
        </w:tc>
        <w:tc>
          <w:tcPr>
            <w:tcW w:type="dxa" w:w="30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PostgreSQL, Redis</w:t>
            </w:r>
          </w:p>
        </w:tc>
      </w:tr>
    </w:tbl>
    <w:p>
      <w:pPr>
        <w:spacing w:after="0"/>
      </w:pPr>
      <w:r>
        <w:t xml:space="preserve"/>
      </w:r>
    </w:p>
    <w:p>
      <w:pPr>
        <w:pStyle w:val="Heading2"/>
        <w:spacing w:after="160" w:before="360"/>
      </w:pPr>
      <w:r>
        <w:rPr>
          <w:rFonts w:ascii="Arial" w:cs="Arial" w:eastAsia="Arial" w:hAnsi="Arial"/>
          <w:b/>
          <w:bCs/>
          <w:color w:val="1E293B"/>
          <w:sz w:val="26"/>
          <w:szCs w:val="26"/>
        </w:rPr>
        <w:t xml:space="preserve">9.3 Data Flow — Ticket Lifecycle</w:t>
      </w:r>
    </w:p>
    <w:p>
      <w:pPr>
        <w:spacing w:after="120" w:before="80"/>
        <w:jc w:val="both"/>
      </w:pPr>
      <w:r>
        <w:rPr>
          <w:rFonts w:ascii="Arial" w:cs="Arial" w:eastAsia="Arial" w:hAnsi="Arial"/>
          <w:color w:val="1E293B"/>
          <w:sz w:val="22"/>
          <w:szCs w:val="22"/>
        </w:rPr>
        <w:t xml:space="preserve">The following describes the complete data flow from customer form submission to resolution, illustrating how the microservices, Kafka, and BullMQ interact:</w:t>
      </w:r>
    </w:p>
    <w:p>
      <w:pPr>
        <w:spacing w:after="0"/>
      </w:pPr>
      <w:r>
        <w:t xml:space="preserve"/>
      </w:r>
    </w:p>
    <w:p>
      <w:pPr>
        <w:pStyle w:val="ListParagraph"/>
        <w:numPr>
          <w:ilvl w:val="0"/>
          <w:numId w:val="3"/>
        </w:numPr>
        <w:spacing w:after="60" w:before="60"/>
      </w:pPr>
      <w:r>
        <w:rPr>
          <w:rFonts w:ascii="Arial" w:cs="Arial" w:eastAsia="Arial" w:hAnsi="Arial"/>
          <w:color w:val="1E293B"/>
          <w:sz w:val="22"/>
          <w:szCs w:val="22"/>
        </w:rPr>
        <w:t xml:space="preserve">Customer submits form → Ticket Ingestion Service validates payload, writes OPEN ticket to PostgreSQL, publishes ticket.created event to Kafka topic fd.tickets.{tenant_id}.</w:t>
      </w:r>
    </w:p>
    <w:p>
      <w:pPr>
        <w:pStyle w:val="ListParagraph"/>
        <w:numPr>
          <w:ilvl w:val="0"/>
          <w:numId w:val="3"/>
        </w:numPr>
        <w:spacing w:after="60" w:before="60"/>
      </w:pPr>
      <w:r>
        <w:rPr>
          <w:rFonts w:ascii="Arial" w:cs="Arial" w:eastAsia="Arial" w:hAnsi="Arial"/>
          <w:color w:val="1E293B"/>
          <w:sz w:val="22"/>
          <w:szCs w:val="22"/>
        </w:rPr>
        <w:t xml:space="preserve">Email Dispatch Service consumes ticket.created → enqueues acknowledgement email job in BullMQ → sends email to customer.</w:t>
      </w:r>
    </w:p>
    <w:p>
      <w:pPr>
        <w:pStyle w:val="ListParagraph"/>
        <w:numPr>
          <w:ilvl w:val="0"/>
          <w:numId w:val="3"/>
        </w:numPr>
        <w:spacing w:after="60" w:before="60"/>
      </w:pPr>
      <w:r>
        <w:rPr>
          <w:rFonts w:ascii="Arial" w:cs="Arial" w:eastAsia="Arial" w:hAnsi="Arial"/>
          <w:color w:val="1E293B"/>
          <w:sz w:val="22"/>
          <w:szCs w:val="22"/>
        </w:rPr>
        <w:t xml:space="preserve">AI Resolution Service consumes ticket.created → begins async resolution pipeline (embed query → retrieve → gate → synthesize → reply or escalate).</w:t>
      </w:r>
    </w:p>
    <w:p>
      <w:pPr>
        <w:pStyle w:val="ListParagraph"/>
        <w:numPr>
          <w:ilvl w:val="0"/>
          <w:numId w:val="3"/>
        </w:numPr>
        <w:spacing w:after="60" w:before="60"/>
      </w:pPr>
      <w:r>
        <w:rPr>
          <w:rFonts w:ascii="Arial" w:cs="Arial" w:eastAsia="Arial" w:hAnsi="Arial"/>
          <w:color w:val="1E293B"/>
          <w:sz w:val="22"/>
          <w:szCs w:val="22"/>
        </w:rPr>
        <w:t xml:space="preserve">Query Resolve Service tracks conversation turns. After each AI reply, if customer responds: counter incremented. At turn 3 without resolution: publishes ticket.escalated event.</w:t>
      </w:r>
    </w:p>
    <w:p>
      <w:pPr>
        <w:pStyle w:val="ListParagraph"/>
        <w:numPr>
          <w:ilvl w:val="0"/>
          <w:numId w:val="3"/>
        </w:numPr>
        <w:spacing w:after="60" w:before="60"/>
      </w:pPr>
      <w:r>
        <w:rPr>
          <w:rFonts w:ascii="Arial" w:cs="Arial" w:eastAsia="Arial" w:hAnsi="Arial"/>
          <w:color w:val="1E293B"/>
          <w:sz w:val="22"/>
          <w:szCs w:val="22"/>
        </w:rPr>
        <w:t xml:space="preserve">On ticket.escalated: Email Dispatch sends escalation notice to customer; ticket priority set to HIGH in PostgreSQL; Agent Dashboard surfaces ticket at top of queue.</w:t>
      </w:r>
    </w:p>
    <w:p>
      <w:pPr>
        <w:pStyle w:val="ListParagraph"/>
        <w:numPr>
          <w:ilvl w:val="0"/>
          <w:numId w:val="3"/>
        </w:numPr>
        <w:spacing w:after="60" w:before="60"/>
      </w:pPr>
      <w:r>
        <w:rPr>
          <w:rFonts w:ascii="Arial" w:cs="Arial" w:eastAsia="Arial" w:hAnsi="Arial"/>
          <w:color w:val="1E293B"/>
          <w:sz w:val="22"/>
          <w:szCs w:val="22"/>
        </w:rPr>
        <w:t xml:space="preserve">Agent replies from dashboard → Email Dispatch Service sends reply → Agent marks Resolved → Resolution email sent → ticket.closed event published.</w:t>
      </w:r>
    </w:p>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10. Database Schema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3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Key Columns</w:t>
            </w:r>
          </w:p>
        </w:tc>
        <w:tc>
          <w:tcPr>
            <w:tcW w:type="dxa" w:w="3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tenants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 company_name, email, password_hash, business_category, business_sub_type, created_at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Root entity. All other tables reference tenant_id.</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tenant_config</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tenant_id (FK), delivery_method, delivery_partner_name, tracking_endpoint, tracking_api_key_enc, policy_docs (JSONB)</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Stores encrypted third-party keys. policy_docs lists S3 keys of uploaded documents.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form_schemas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 tenant_id, fields (JSONB), created_at, updated_at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JSONB field: [{name, type, required, label}]. Versioned; new submissions use latest schema.</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api_keys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id, tenant_id, key_hash, key_prefix (last 4 chars for display), created_at, last_used_at, revoked</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Keys are one-way hashed. key_prefix shown in UI for identification.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tickets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 tenant_id, customer_email, fields (JSONB), status, priority, ai_turn_count, assigned_agent_id, created_at, updated_at, resolved_at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Core ticket record. status and priority drive queue sorting. ai_turn_count drives escalation logic.</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ticket_messages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id, ticket_id, sender_type (CUSTOMER/AI/AGENT), body, sent_at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Full conversation thread per ticket.</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resolution_audit_log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id, ticket_id, retrieved_chunk_ids (ARRAY), similarity_scores (ARRAY), confidence_score, llm_response, resolution_outcome, created_at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Observability table. Enables accuracy reporting and model improvement feedback loop.</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agents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id, tenant_id, email, role, created_at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Sub-users of a tenant. Role: ADMIN / AGENT / READONLY.</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11. API Reference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3600"/>
        <w:gridCol w:w="1800"/>
      </w:tblGrid>
      <w:tr>
        <w:trPr>
          <w:tblHeader/>
        </w:trPr>
        <w:tc>
          <w:tcPr>
            <w:tcW w:type="dxa" w:w="7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4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36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Auth</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/api/v1/auth/signup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Register new tenant.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Public</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/api/v1/auth/login</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Authenticate, receive access + refresh tokens.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Public</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/api/v1/auth/refresh</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Rotate access token using refresh token.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Public</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GET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/api/v1/tenant/config</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Retrieve current tenant configuration.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PUT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/api/v1/tenant/config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Update onboarding config (delivery, policy).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 Admin</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/api/v1/tenant/documents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Upload policy/product document for ingestion.</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 Admin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/api/v1/forms/:formId/schema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 form field schema for a tenant form.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 Key</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/api/v1/forms/:formId/submit</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Customer submits support request.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 Key</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/api/v1/tickets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List tickets (paginated, filterable by status/priority).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GET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/api/v1/tickets/:id</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Get ticket detail including full message thread.</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/api/v1/tickets/:id/reply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Agent sends reply to customer.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 Agent</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PATCH</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/api/v1/tickets/:id/status</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Update ticket status (resolve, close, escalate).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 Agent</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GET</w:t>
            </w:r>
          </w:p>
        </w:tc>
        <w:tc>
          <w:tcPr>
            <w:tcW w:type="dxa" w:w="3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/api/v1/analytics/resolution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Resolution rate, auto-resolve %, escalation breakdown.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JWT Admin</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POST</w:t>
            </w:r>
          </w:p>
        </w:tc>
        <w:tc>
          <w:tcPr>
            <w:tcW w:type="dxa" w:w="324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/api/v1/keys/rotate</w:t>
            </w:r>
          </w:p>
        </w:tc>
        <w:tc>
          <w:tcPr>
            <w:tcW w:type="dxa" w:w="36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Revoke current API key, generate new one.</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JWT Admin</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12. Security Considerations</w:t>
      </w:r>
    </w:p>
    <w:p>
      <w:pPr>
        <w:pStyle w:val="Heading2"/>
        <w:spacing w:after="160" w:before="360"/>
      </w:pPr>
      <w:r>
        <w:rPr>
          <w:rFonts w:ascii="Arial" w:cs="Arial" w:eastAsia="Arial" w:hAnsi="Arial"/>
          <w:b/>
          <w:bCs/>
          <w:color w:val="1E293B"/>
          <w:sz w:val="26"/>
          <w:szCs w:val="26"/>
        </w:rPr>
        <w:t xml:space="preserve">12.1 Tenant Data Isolation</w:t>
      </w:r>
    </w:p>
    <w:p>
      <w:pPr>
        <w:spacing w:after="120" w:before="80"/>
        <w:jc w:val="both"/>
      </w:pPr>
      <w:r>
        <w:rPr>
          <w:rFonts w:ascii="Arial" w:cs="Arial" w:eastAsia="Arial" w:hAnsi="Arial"/>
          <w:color w:val="1E293B"/>
          <w:sz w:val="22"/>
          <w:szCs w:val="22"/>
        </w:rPr>
        <w:t xml:space="preserve">All PostgreSQL queries include tenant_id in the WHERE clause enforced at the ORM/repository layer — not at the application business logic layer. This ensures that even a bug in the business logic cannot leak cross-tenant data. Vector database collections are namespaced by tenant_id; collection-level access control is enforced.</w:t>
      </w:r>
    </w:p>
    <w:p>
      <w:pPr>
        <w:spacing w:after="0"/>
      </w:pPr>
      <w:r>
        <w:t xml:space="preserve"/>
      </w:r>
    </w:p>
    <w:p>
      <w:pPr>
        <w:pStyle w:val="Heading2"/>
        <w:spacing w:after="160" w:before="360"/>
      </w:pPr>
      <w:r>
        <w:rPr>
          <w:rFonts w:ascii="Arial" w:cs="Arial" w:eastAsia="Arial" w:hAnsi="Arial"/>
          <w:b/>
          <w:bCs/>
          <w:color w:val="1E293B"/>
          <w:sz w:val="26"/>
          <w:szCs w:val="26"/>
        </w:rPr>
        <w:t xml:space="preserve">12.2 API Key Security</w:t>
      </w:r>
    </w:p>
    <w:p>
      <w:pPr>
        <w:spacing w:after="120" w:before="80"/>
        <w:jc w:val="both"/>
      </w:pPr>
      <w:r>
        <w:rPr>
          <w:rFonts w:ascii="Arial" w:cs="Arial" w:eastAsia="Arial" w:hAnsi="Arial"/>
          <w:color w:val="1E293B"/>
          <w:sz w:val="22"/>
          <w:szCs w:val="22"/>
        </w:rPr>
        <w:t xml:space="preserve">API keys are generated as cryptographically random 32-byte strings (hex-encoded). Only a SHA-256 hash is stored in the database. The last 4 characters of the key prefix are stored in plaintext for UI identification only. Keys are transmitted once at creation; if lost, rotation is required.</w:t>
      </w:r>
    </w:p>
    <w:p>
      <w:pPr>
        <w:spacing w:after="0"/>
      </w:pPr>
      <w:r>
        <w:t xml:space="preserve"/>
      </w:r>
    </w:p>
    <w:p>
      <w:pPr>
        <w:pStyle w:val="Heading2"/>
        <w:spacing w:after="160" w:before="360"/>
      </w:pPr>
      <w:r>
        <w:rPr>
          <w:rFonts w:ascii="Arial" w:cs="Arial" w:eastAsia="Arial" w:hAnsi="Arial"/>
          <w:b/>
          <w:bCs/>
          <w:color w:val="1E293B"/>
          <w:sz w:val="26"/>
          <w:szCs w:val="26"/>
        </w:rPr>
        <w:t xml:space="preserve">12.3 Third-Party Credential Storage</w:t>
      </w:r>
    </w:p>
    <w:p>
      <w:pPr>
        <w:spacing w:after="120" w:before="80"/>
        <w:jc w:val="both"/>
      </w:pPr>
      <w:r>
        <w:rPr>
          <w:rFonts w:ascii="Arial" w:cs="Arial" w:eastAsia="Arial" w:hAnsi="Arial"/>
          <w:color w:val="1E293B"/>
          <w:sz w:val="22"/>
          <w:szCs w:val="22"/>
        </w:rPr>
        <w:t xml:space="preserve">Delivery partner API keys stored in tenant_config are encrypted with AES-256-GCM before being written to the database. The encryption key is stored in environment secrets (never in the DB). Decryption happens only at request time in the Document Ingestion or Ticket Ingestion services.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E40AF" w:sz="12"/>
              <w:bottom w:val="single" w:color="CBD5E1" w:sz="1"/>
              <w:right w:val="single" w:color="CBD5E1" w:sz="1"/>
            </w:tcBorders>
            <w:shd w:fill="FEF9C3" w:val="clear"/>
            <w:tcMar>
              <w:top w:type="dxa" w:w="100"/>
              <w:left w:type="dxa" w:w="160"/>
              <w:bottom w:type="dxa" w:w="100"/>
              <w:right w:type="dxa" w:w="160"/>
            </w:tcMar>
          </w:tcPr>
          <w:p>
            <w:r>
              <w:rPr>
                <w:rFonts w:ascii="Arial" w:cs="Arial" w:eastAsia="Arial" w:hAnsi="Arial"/>
                <w:b/>
                <w:bCs/>
                <w:color w:val="1E40AF"/>
                <w:sz w:val="20"/>
                <w:szCs w:val="20"/>
              </w:rPr>
              <w:t xml:space="preserve">Security Note:  </w:t>
            </w:r>
            <w:r>
              <w:rPr>
                <w:rFonts w:ascii="Arial" w:cs="Arial" w:eastAsia="Arial" w:hAnsi="Arial"/>
                <w:color w:val="1E293B"/>
                <w:sz w:val="20"/>
                <w:szCs w:val="20"/>
              </w:rPr>
              <w:t xml:space="preserve">Rate limiting is enforced at the API key level using a Redis token-bucket algorithm. Default limit: 100 requests/minute per key. Configurable per tenant.</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13. Integration Guide Summary</w:t>
      </w:r>
    </w:p>
    <w:p>
      <w:pPr>
        <w:spacing w:after="120" w:before="80"/>
        <w:jc w:val="both"/>
      </w:pPr>
      <w:r>
        <w:rPr>
          <w:rFonts w:ascii="Arial" w:cs="Arial" w:eastAsia="Arial" w:hAnsi="Arial"/>
          <w:color w:val="1E293B"/>
          <w:sz w:val="22"/>
          <w:szCs w:val="22"/>
        </w:rPr>
        <w:t xml:space="preserve">FlowDesk provides auto-generated integration snippets for every major platform and framework upon form creation. These are surfaced in the onboarding dashboard under 'Integrate'.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Platform / Framework</w:t>
            </w:r>
          </w:p>
        </w:tc>
        <w:tc>
          <w:tcPr>
            <w:tcW w:type="dxa" w:w="43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Integration Method</w:t>
            </w:r>
          </w:p>
        </w:tc>
        <w:tc>
          <w:tcPr>
            <w:tcW w:type="dxa" w:w="25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Estimated Setup Time</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Shopify</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Copy-paste HTML snippet into theme.liquid / custom section.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&lt; 5 minutes</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WooCommerce</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FlowDesk WooCommerce plugin (ZIP download); activate and paste API key.</w:t>
            </w:r>
          </w:p>
        </w:tc>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10 minutes</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Next.js / React</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npm install @flowdesk/widget; import &lt;FlowDeskWidget apiKey='...' /&gt;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&lt; 5 minutes</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Node.js / Express backend</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Server-side ticket submission via REST API + API Key header.</w:t>
            </w:r>
          </w:p>
        </w:tc>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15 minutes</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Django</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Python requests snippet with API Key; paste into view or signal.</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&lt; 15 minutes</w:t>
            </w:r>
          </w:p>
        </w:tc>
      </w:tr>
      <w:tr>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FastAPI</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httpx async snippet with API Key; integrate into background task.</w:t>
            </w:r>
          </w:p>
        </w:tc>
        <w:tc>
          <w:tcPr>
            <w:tcW w:type="dxa" w:w="25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&lt; 15 minutes</w:t>
            </w:r>
          </w:p>
        </w:tc>
      </w:tr>
      <w:tr>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Generic REST</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POST /api/v1/forms/:formId/submit with JSON body + X-API-Key header.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&lt; 5 minutes</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14. Project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160"/>
      </w:tblGrid>
      <w:tr>
        <w:trPr>
          <w:tblHeader/>
        </w:trPr>
        <w:tc>
          <w:tcPr>
            <w:tcW w:type="dxa" w:w="28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43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M1 — Auth &amp; Onboarding</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Signup/login, onboarding wizard (all business types), form builder, API key generation.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Week 3</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M2 — Ticket Intake &amp; Email</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Form embed SDK, ticket ingestion endpoint, Kafka integration, acknowledgement emails, agent inbox.</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Week 6</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M3 — Phase 1 Complete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Full human agent workflow: view, reply, resolve tickets. SMTP email system. Dashboard v1.</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Week 8</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M4 — RAG Pipeline</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Document ingestion, chunking, embedding, VectorDB storage. Query-time retrieval with confidence gate.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Week 11</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M5 — Phase 2 Complete</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AI auto-resolution live. 3-turn escalation. Audit log. Resolution analytics dashboard.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Week 14</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M6 — Phase 3: Integrations</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Order lookup connector, delivery partner tracking, webhook ingestion, encrypted credential vault.</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Week 18</w:t>
            </w:r>
          </w:p>
        </w:tc>
      </w:tr>
      <w:tr>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M7 — Phase 4: Chatbot</w:t>
            </w:r>
          </w:p>
        </w:tc>
        <w:tc>
          <w:tcPr>
            <w:tcW w:type="dxa" w:w="43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Embeddable chat widget, streaming responses, live agent handoff.</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Week 22</w:t>
            </w:r>
          </w:p>
        </w:tc>
      </w:tr>
      <w:tr>
        <w:tc>
          <w:tcPr>
            <w:tcW w:type="dxa" w:w="28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M8 — Load Testing &amp; Hardening</w:t>
            </w:r>
          </w:p>
        </w:tc>
        <w:tc>
          <w:tcPr>
            <w:tcW w:type="dxa" w:w="43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k6 load tests (1000 tickets/min burst), rate limiter validation, security audit.</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Week 24</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15. Open Questions &amp;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2160"/>
        <w:gridCol w:w="1800"/>
      </w:tblGrid>
      <w:tr>
        <w:trPr>
          <w:tblHeader/>
        </w:trPr>
        <w:tc>
          <w:tcPr>
            <w:tcW w:type="dxa" w:w="72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468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Question / Decision Needed</w:t>
            </w:r>
          </w:p>
        </w:tc>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18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OQ-01</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Which VectorDB to standardize on for Phase 2? Qdrant (self-hosted) vs Pinecone (managed)?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Tech Lead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Open</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OQ-02</w:t>
            </w:r>
          </w:p>
        </w:tc>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Should confidence threshold be global or per-category (returns vs shipping vs billing)?</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Product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Open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OQ-03</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GDPR compliance: what is the data retention policy for ticket PII and audit logs?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Legal/Product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Open</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OQ-04</w:t>
            </w:r>
          </w:p>
        </w:tc>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Pricing model: per-ticket volume vs per-tenant seat vs flat SaaS?</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Business</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Open</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OQ-05</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Should Phase 4 chatbot support voice input (Web Speech API)?</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Product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Future</w:t>
            </w:r>
          </w:p>
        </w:tc>
      </w:tr>
      <w:tr>
        <w:tc>
          <w:tcPr>
            <w:tcW w:type="dxa" w:w="72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OQ-06</w:t>
            </w:r>
          </w:p>
        </w:tc>
        <w:tc>
          <w:tcPr>
            <w:tcW w:type="dxa" w:w="468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Multi-language support: should AI respond in the customer's detected language?</w:t>
            </w:r>
          </w:p>
        </w:tc>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Product</w:t>
            </w:r>
          </w:p>
        </w:tc>
        <w:tc>
          <w:tcPr>
            <w:tcW w:type="dxa" w:w="18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Future</w:t>
            </w:r>
          </w:p>
        </w:tc>
      </w:tr>
      <w:tr>
        <w:tc>
          <w:tcPr>
            <w:tcW w:type="dxa" w:w="7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OQ-07</w:t>
            </w:r>
          </w:p>
        </w:tc>
        <w:tc>
          <w:tcPr>
            <w:tcW w:type="dxa" w:w="46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CRM integrations (HubSpot, Salesforce) for Phase 3 expansion?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Partnerships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Future</w:t>
            </w:r>
          </w:p>
        </w:tc>
      </w:tr>
    </w:tbl>
    <w:p>
      <w:pPr>
        <w:spacing w:after="0"/>
      </w:pPr>
      <w:r>
        <w:t xml:space="preserve"/>
      </w:r>
    </w:p>
    <w:p>
      <w:pPr>
        <w:pStyle w:val="Heading1"/>
        <w:pBdr>
          <w:bottom w:val="single" w:color="1E40AF" w:sz="4" w:space="4"/>
        </w:pBdr>
        <w:spacing w:after="200" w:before="480"/>
      </w:pPr>
      <w:r>
        <w:rPr>
          <w:rFonts w:ascii="Arial" w:cs="Arial" w:eastAsia="Arial" w:hAnsi="Arial"/>
          <w:b/>
          <w:bCs/>
          <w:color w:val="1E40AF"/>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200"/>
            <w:tcBorders>
              <w:top w:val="single" w:color="CBD5E1" w:sz="1"/>
              <w:left w:val="single" w:color="CBD5E1" w:sz="1"/>
              <w:bottom w:val="single" w:color="CBD5E1" w:sz="1"/>
              <w:right w:val="single" w:color="CBD5E1"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RAG</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Retrieval-Augmented Generation — an AI pattern that grounds LLM responses in retrieved context documents to reduce hallucination.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Confidence Gate</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 threshold check on the cosine similarity score of retrieved document chunks. If score &lt; threshold, AI does not auto-send a response.</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Tenant</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 business that has signed up for FlowDesk and embeds the support form in their product.</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Ticket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 single customer support request, from submission through to resolution.</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BullMQ</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A Node.js job queue library backed by Redis. Used for async processing of AI jobs, email dispatch, and document ingestion.</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Kafka</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 distributed event streaming platform. Used to decouple ticket ingestion from downstream processing services.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Chunking</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The process of splitting a large document into smaller overlapping segments for embedding. Enables precise retrieval.</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Namespace (VectorDB)</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A logical partition in the vector database that isolates one tenant's embeddings from another's.</w:t>
            </w:r>
          </w:p>
        </w:tc>
      </w:tr>
      <w:tr>
        <w:tc>
          <w:tcPr>
            <w:tcW w:type="dxa" w:w="2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Escalation</w:t>
            </w:r>
          </w:p>
        </w:tc>
        <w:tc>
          <w:tcPr>
            <w:tcW w:type="dxa" w:w="7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vAlign w:val="top"/>
          </w:tcPr>
          <w:p>
            <w:r>
              <w:rPr>
                <w:rFonts w:ascii="Arial" w:cs="Arial" w:eastAsia="Arial" w:hAnsi="Arial"/>
                <w:color w:val="1E293B"/>
                <w:sz w:val="20"/>
                <w:szCs w:val="20"/>
              </w:rPr>
              <w:t xml:space="preserve">The act of moving a ticket from AI handling to a human support agent, triggered either by low AI confidence or reaching the 3-turn limit.</w:t>
            </w:r>
          </w:p>
        </w:tc>
      </w:tr>
      <w:tr>
        <w:tc>
          <w:tcPr>
            <w:tcW w:type="dxa" w:w="216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CSAT</w:t>
            </w:r>
          </w:p>
        </w:tc>
        <w:tc>
          <w:tcPr>
            <w:tcW w:type="dxa" w:w="72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vAlign w:val="top"/>
          </w:tcPr>
          <w:p>
            <w:r>
              <w:rPr>
                <w:rFonts w:ascii="Arial" w:cs="Arial" w:eastAsia="Arial" w:hAnsi="Arial"/>
                <w:color w:val="1E293B"/>
                <w:sz w:val="20"/>
                <w:szCs w:val="20"/>
              </w:rPr>
              <w:t xml:space="preserve">Customer Satisfaction Score — a metric measuring how satisfied customers are with a support interaction.</w:t>
            </w:r>
          </w:p>
        </w:tc>
      </w:tr>
    </w:tbl>
    <w:p>
      <w:pPr>
        <w:spacing w:after="0"/>
      </w:pPr>
      <w:r>
        <w:t xml:space="preserve"/>
      </w:r>
    </w:p>
    <w:p>
      <w:pPr>
        <w:spacing w:after="0" w:before="720"/>
        <w:jc w:val="center"/>
      </w:pPr>
      <w:r>
        <w:rPr>
          <w:rFonts w:ascii="Arial" w:cs="Arial" w:eastAsia="Arial" w:hAnsi="Arial"/>
          <w:i/>
          <w:iCs/>
          <w:color w:val="64748B"/>
          <w:sz w:val="20"/>
          <w:szCs w:val="20"/>
        </w:rPr>
        <w:t xml:space="preserve">— End of Document —</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82F6" w:sz="4" w:space="4"/>
      </w:pBdr>
      <w:tabs>
        <w:tab w:val="right" w:pos="9026"/>
      </w:tabs>
      <w:spacing w:after="0" w:before="200"/>
    </w:pPr>
    <w:r>
      <w:rPr>
        <w:rFonts w:ascii="Arial" w:cs="Arial" w:eastAsia="Arial" w:hAnsi="Arial"/>
        <w:color w:val="64748B"/>
        <w:sz w:val="18"/>
        <w:szCs w:val="18"/>
      </w:rPr>
      <w:t xml:space="preserve">Confidential — Internal Use Only</w:t>
    </w:r>
    <w:r>
      <w:rPr>
        <w:rFonts w:ascii="Arial" w:cs="Arial" w:eastAsia="Arial" w:hAnsi="Arial"/>
        <w:color w:val="64748B"/>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82F6" w:sz="4" w:space="4"/>
      </w:pBdr>
      <w:tabs>
        <w:tab w:val="right" w:pos="9026"/>
      </w:tabs>
      <w:spacing w:after="200" w:before="0"/>
    </w:pPr>
    <w:r>
      <w:rPr>
        <w:rFonts w:ascii="Arial" w:cs="Arial" w:eastAsia="Arial" w:hAnsi="Arial"/>
        <w:color w:val="64748B"/>
        <w:sz w:val="18"/>
        <w:szCs w:val="18"/>
      </w:rPr>
      <w:t xml:space="preserve">FlowDesk — Product Requirements Document</w:t>
    </w:r>
    <w:r>
      <w:rPr>
        <w:rFonts w:ascii="Arial" w:cs="Arial" w:eastAsia="Arial" w:hAnsi="Arial"/>
        <w:sz w:val="18"/>
        <w:szCs w:val="18"/>
      </w:rPr>
      <w:t xml:space="preserve">	</w:t>
    </w:r>
    <w:r>
      <w:rPr>
        <w:rFonts w:ascii="Arial" w:cs="Arial" w:eastAsia="Arial" w:hAnsi="Arial"/>
        <w:color w:val="64748B"/>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0AF"/>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E293B"/>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2026-04-29T20:50:07.274Z</dcterms:created>
  <dcterms:modified xsi:type="dcterms:W3CDTF">2026-04-29T20:50:07.275Z</dcterms:modified>
</cp:coreProperties>
</file>

<file path=docProps/custom.xml><?xml version="1.0" encoding="utf-8"?>
<Properties xmlns="http://schemas.openxmlformats.org/officeDocument/2006/custom-properties" xmlns:vt="http://schemas.openxmlformats.org/officeDocument/2006/docPropsVTypes"/>
</file>