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 w:after="0"/>
      </w:pPr>
      <w:r>
        <w:rPr>
          <w:b/>
          <w:bCs/>
          <w:color w:val="0F6E6E"/>
          <w:sz w:val="19"/>
          <w:szCs w:val="19"/>
          <w:caps/>
        </w:rPr>
        <w:t xml:space="preserve">WINDROSE AI  ·  CARE MANAGEMENT (MEDICARE)</w:t>
      </w:r>
    </w:p>
    <w:p>
      <w:pPr>
        <w:pBdr>
          <w:bottom w:val="single" w:color="0F6E6E" w:sz="12"/>
        </w:pBdr>
        <w:spacing w:before="40" w:after="0"/>
      </w:pPr>
    </w:p>
    <w:p>
      <w:pPr>
        <w:spacing w:before="250" w:after="60"/>
      </w:pPr>
      <w:r>
        <w:rPr>
          <w:b/>
          <w:bCs/>
          <w:color w:val="16241F"/>
          <w:sz w:val="56"/>
          <w:szCs w:val="56"/>
        </w:rPr>
        <w:t xml:space="preserve">Agent Playbook</w:t>
      </w:r>
    </w:p>
    <w:p>
      <w:pPr>
        <w:spacing w:after="40"/>
      </w:pPr>
      <w:r>
        <w:rPr>
          <w:i/>
          <w:iCs/>
          <w:color w:val="5B6B66"/>
          <w:sz w:val="25"/>
          <w:szCs w:val="25"/>
        </w:rPr>
        <w:t xml:space="preserve">How to put the nine Windrose agents to work in a Medicare care-management program.</w:t>
      </w:r>
    </w:p>
    <w:p>
      <w:pPr>
        <w:spacing w:after="260"/>
      </w:pPr>
    </w:p>
    <w:p>
      <w:pPr>
        <w:spacing w:after="120" w:line="276"/>
      </w:pPr>
      <w:r>
        <w:rPr>
          <w:color w:val="16241F"/>
        </w:rPr>
        <w:t xml:space="preserve">This playbook maps each of Windrose's nine agents to a concrete job in a provider-side </w:t>
      </w:r>
      <w:r>
        <w:rPr>
          <w:b/>
          <w:bCs/>
          <w:color w:val="16241F"/>
        </w:rPr>
        <w:t xml:space="preserve">Medicare care-management</w:t>
      </w:r>
      <w:r>
        <w:rPr>
          <w:color w:val="16241F"/>
        </w:rPr>
        <w:t xml:space="preserve"> program — CCM, PCM, TCM, BHI, CoCM, RPM, RTM, and APCM 2025 — and shows a care manager, clinician reviewer, or practice CFO exactly how to use it. It is grounded in the real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care-management-medicare</w:t>
      </w:r>
      <w:r>
        <w:rPr>
          <w:color w:val="16241F"/>
        </w:rPr>
        <w:t xml:space="preserve"> pack (BRD 25).</w:t>
      </w:r>
    </w:p>
    <w:p>
      <w:pPr>
        <w:spacing w:after="150"/>
      </w:pPr>
    </w:p>
    <w:p>
      <w:pPr>
        <w:spacing w:after="120" w:line="276"/>
      </w:pPr>
      <w:r>
        <w:rPr>
          <w:b/>
          <w:bCs/>
          <w:color w:val="16241F"/>
        </w:rPr>
        <w:t xml:space="preserve">Pack: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care-management-medicare v1.0.0</w:t>
      </w:r>
      <w:r>
        <w:rPr>
          <w:color w:val="16241F"/>
        </w:rPr>
        <w:t xml:space="preserve">  (Windrose Inc.)</w:t>
      </w:r>
    </w:p>
    <w:p>
      <w:pPr>
        <w:spacing w:after="120" w:line="276"/>
      </w:pPr>
      <w:r>
        <w:rPr>
          <w:b/>
          <w:bCs/>
          <w:color w:val="16241F"/>
        </w:rPr>
        <w:t xml:space="preserve">Programs:  </w:t>
      </w:r>
      <w:r>
        <w:rPr>
          <w:color w:val="16241F"/>
        </w:rPr>
        <w:t xml:space="preserve">CCM · PCM · TCM · BHI · CoCM · RPM · RTM · APCM (2025)</w:t>
      </w:r>
    </w:p>
    <w:p>
      <w:pPr>
        <w:spacing w:after="120" w:line="276"/>
      </w:pPr>
      <w:r>
        <w:rPr>
          <w:b/>
          <w:bCs/>
          <w:color w:val="16241F"/>
        </w:rPr>
        <w:t xml:space="preserve">Audience:  </w:t>
      </w:r>
      <w:r>
        <w:rPr>
          <w:color w:val="16241F"/>
        </w:rPr>
        <w:t xml:space="preserve">Care Manager (RN/LPN), Clinician MD Reviewer, Director of Care Coordination, Practice CFO, Compliance Officer</w:t>
      </w:r>
    </w:p>
    <w:p>
      <w:pPr>
        <w:spacing w:after="120" w:line="276"/>
      </w:pPr>
      <w:r>
        <w:rPr>
          <w:b/>
          <w:bCs/>
          <w:color w:val="16241F"/>
        </w:rPr>
        <w:t xml:space="preserve">Golden rule:  </w:t>
      </w:r>
      <w:r>
        <w:rPr>
          <w:b/>
          <w:bCs/>
          <w:color w:val="B23A48"/>
        </w:rPr>
        <w:t xml:space="preserve">Windrose never bills. </w:t>
      </w:r>
      <w:r>
        <w:rPr>
          <w:color w:val="16241F"/>
        </w:rPr>
        <w:t xml:space="preserve">Every billing decision is a proposal a human approves (four-eyes).</w:t>
      </w:r>
    </w:p>
    <w:p>
      <w:pPr>
        <w:spacing w:after="120" w:line="276"/>
      </w:pPr>
      <w:r>
        <w:rPr>
          <w:b/>
          <w:bCs/>
          <w:color w:val="16241F"/>
        </w:rPr>
        <w:t xml:space="preserve">Date:  </w:t>
      </w:r>
      <w:r>
        <w:rPr>
          <w:color w:val="16241F"/>
        </w:rPr>
        <w:t xml:space="preserve">2026-07-17</w:t>
      </w:r>
    </w:p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0F6E6E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0F6E6E"/>
        </w:rPr>
        <w:t xml:space="preserve">1.  The care-management problem Windrose solves</w:t>
      </w:r>
    </w:p>
    <w:p>
      <w:pPr>
        <w:spacing w:after="120" w:line="276"/>
      </w:pPr>
      <w:r>
        <w:rPr>
          <w:color w:val="16241F"/>
        </w:rPr>
        <w:t xml:space="preserve">Medicare care-management revenue is real but fragile: a practice earns it only when the </w:t>
      </w:r>
      <w:r>
        <w:rPr>
          <w:b/>
          <w:bCs/>
          <w:color w:val="16241F"/>
        </w:rPr>
        <w:t xml:space="preserve">right code</w:t>
      </w:r>
      <w:r>
        <w:rPr>
          <w:color w:val="16241F"/>
        </w:rPr>
        <w:t xml:space="preserve"> is billed for a patient with </w:t>
      </w:r>
      <w:r>
        <w:rPr>
          <w:b/>
          <w:bCs/>
          <w:color w:val="16241F"/>
        </w:rPr>
        <w:t xml:space="preserve">active consent</w:t>
      </w:r>
      <w:r>
        <w:rPr>
          <w:color w:val="16241F"/>
        </w:rPr>
        <w:t xml:space="preserve">, the </w:t>
      </w:r>
      <w:r>
        <w:rPr>
          <w:b/>
          <w:bCs/>
          <w:color w:val="16241F"/>
        </w:rPr>
        <w:t xml:space="preserve">time minimum</w:t>
      </w:r>
      <w:r>
        <w:rPr>
          <w:color w:val="16241F"/>
        </w:rPr>
        <w:t xml:space="preserve"> is met, </w:t>
      </w:r>
      <w:r>
        <w:rPr>
          <w:b/>
          <w:bCs/>
          <w:color w:val="16241F"/>
        </w:rPr>
        <w:t xml:space="preserve">mutual-exclusion</w:t>
      </w:r>
      <w:r>
        <w:rPr>
          <w:color w:val="16241F"/>
        </w:rPr>
        <w:t xml:space="preserve"> rules are respected, and the </w:t>
      </w:r>
      <w:r>
        <w:rPr>
          <w:b/>
          <w:bCs/>
          <w:color w:val="16241F"/>
        </w:rPr>
        <w:t xml:space="preserve">documentation</w:t>
      </w:r>
      <w:r>
        <w:rPr>
          <w:color w:val="16241F"/>
        </w:rPr>
        <w:t xml:space="preserve"> would survive a RAC audit. Miss any of those and the revenue leaks — or worse, an over-bill becomes a compliance liability.</w:t>
      </w:r>
    </w:p>
    <w:p>
      <w:pPr>
        <w:spacing w:after="120" w:line="276"/>
      </w:pPr>
      <w:r>
        <w:rPr>
          <w:color w:val="16241F"/>
        </w:rPr>
        <w:t xml:space="preserve">Windrose turns that into a </w:t>
      </w:r>
      <w:r>
        <w:rPr>
          <w:b/>
          <w:bCs/>
          <w:color w:val="16241F"/>
        </w:rPr>
        <w:t xml:space="preserve">governed decision workflow</w:t>
      </w:r>
      <w:r>
        <w:rPr>
          <w:color w:val="16241F"/>
        </w:rPr>
        <w:t xml:space="preserve">: data comes in as governed datasets, agents watch the panel and the monthly billing queue and </w:t>
      </w:r>
      <w:r>
        <w:rPr>
          <w:b/>
          <w:bCs/>
          <w:color w:val="16241F"/>
        </w:rPr>
        <w:t xml:space="preserve">propose</w:t>
      </w:r>
      <w:r>
        <w:rPr>
          <w:color w:val="16241F"/>
        </w:rPr>
        <w:t xml:space="preserve"> — a disposition, a model, a dashboard — grounded in the CMS rules, and a human on the care team </w:t>
      </w:r>
      <w:r>
        <w:rPr>
          <w:b/>
          <w:bCs/>
          <w:color w:val="16241F"/>
        </w:rPr>
        <w:t xml:space="preserve">approves</w:t>
      </w:r>
      <w:r>
        <w:rPr>
          <w:color w:val="16241F"/>
        </w:rPr>
        <w:t xml:space="preserve">. Every correction becomes training data. The nine agents are the workforce; this playbook is their job description for care management.</w:t>
      </w:r>
    </w:p>
    <w:tbl>
      <w:tblPr>
        <w:tblW w:type="dxa" w:w="9360"/>
        <w:tblBorders>
          <w:top w:val="single" w:color="C6D8D5" w:sz="2"/>
          <w:left w:val="single" w:color="B23A48" w:sz="18"/>
          <w:bottom w:val="single" w:color="C6D8D5" w:sz="2"/>
          <w:right w:val="single" w:color="C6D8D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EC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B23A48"/>
                <w:sz w:val="18"/>
                <w:szCs w:val="18"/>
                <w:caps/>
              </w:rPr>
              <w:t xml:space="preserve">The one rule that shapes everything</w:t>
            </w:r>
          </w:p>
          <w:p>
            <w:pPr>
              <w:spacing w:after="0" w:line="264"/>
            </w:pPr>
            <w:r>
              <w:rPr>
                <w:b/>
                <w:bCs/>
                <w:color w:val="B23A48"/>
              </w:rPr>
              <w:t xml:space="preserve">CMM_AUTONOMOUS_BILLING_FORBIDDEN (BR-2). </w:t>
            </w:r>
            <w:r>
              <w:rPr>
                <w:color w:val="16241F"/>
              </w:rPr>
              <w:t xml:space="preserve">No agent ever files a bill, writes to the EHR, or posts a charge on its own. Every consequential action is a proposal routed to a care manager, clinician reviewer, or CFO for four-eyes approval. This is enforced by the platform, not by convention.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0F6E6E"/>
        </w:rPr>
        <w:t xml:space="preserve">2.  The care team (who approves what)</w:t>
      </w:r>
    </w:p>
    <w:p>
      <w:pPr>
        <w:spacing w:after="120" w:line="276"/>
      </w:pPr>
      <w:r>
        <w:rPr>
          <w:color w:val="16241F"/>
        </w:rPr>
        <w:t xml:space="preserve">The pack ships six care-team roles. Windrose only shows each person what their role allows; the approver on a proposal is never the one (or the agent) who created it.</w:t>
      </w:r>
    </w:p>
    <w:tbl>
      <w:tblPr>
        <w:tblW w:type="dxa" w:w="9360"/>
        <w:tblBorders>
          <w:top w:val="single" w:color="C6D8D5" w:sz="2"/>
          <w:left w:val="single" w:color="C6D8D5" w:sz="2"/>
          <w:bottom w:val="single" w:color="C6D8D5" w:sz="2"/>
          <w:right w:val="single" w:color="C6D8D5" w:sz="2"/>
          <w:insideH w:val="single" w:color="C6D8D5" w:sz="2"/>
          <w:insideV w:val="single" w:color="C6D8D5" w:sz="2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400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Primary job</w:t>
            </w:r>
          </w:p>
        </w:tc>
        <w:tc>
          <w:tcPr>
            <w:tcW w:type="dxa" w:w="316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Approves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</w:rPr>
              <w:t xml:space="preserve">Care Manager RN</w:t>
            </w:r>
          </w:p>
        </w:tc>
        <w:tc>
          <w:tcPr>
            <w:tcW w:type="dxa" w:w="4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Works the panel + billing-review queue; signs care activity / RPM notes</w:t>
            </w:r>
          </w:p>
        </w:tc>
        <w:tc>
          <w:tcPr>
            <w:tcW w:type="dxa" w:w="31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activity &amp; RPM notes, lower-risk billing dispositions</w:t>
            </w:r>
          </w:p>
        </w:tc>
      </w:tr>
      <w:tr>
        <w:tc>
          <w:tcPr>
            <w:tcW w:type="dxa" w:w="220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</w:rPr>
              <w:t xml:space="preserve">Care Manager LPN</w:t>
            </w:r>
          </w:p>
        </w:tc>
        <w:tc>
          <w:tcPr>
            <w:tcW w:type="dxa" w:w="400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Outreach, enrollment, documentation gathering</w:t>
            </w:r>
          </w:p>
        </w:tc>
        <w:tc>
          <w:tcPr>
            <w:tcW w:type="dxa" w:w="316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documentation-complete items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</w:rPr>
              <w:t xml:space="preserve">Clinician MD Reviewer</w:t>
            </w:r>
          </w:p>
        </w:tc>
        <w:tc>
          <w:tcPr>
            <w:tcW w:type="dxa" w:w="4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Clinical escalations, care-plan sign-off</w:t>
            </w:r>
          </w:p>
        </w:tc>
        <w:tc>
          <w:tcPr>
            <w:tcW w:type="dxa" w:w="31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  <w:rFonts w:ascii="Consolas" w:cs="Consolas" w:eastAsia="Consolas" w:hAnsi="Consolas"/>
              </w:rPr>
              <w:t xml:space="preserve">escalate_md</w:t>
            </w: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 items, care plans</w:t>
            </w:r>
          </w:p>
        </w:tc>
      </w:tr>
      <w:tr>
        <w:tc>
          <w:tcPr>
            <w:tcW w:type="dxa" w:w="220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</w:rPr>
              <w:t xml:space="preserve">Director of Care Coordination</w:t>
            </w:r>
          </w:p>
        </w:tc>
        <w:tc>
          <w:tcPr>
            <w:tcW w:type="dxa" w:w="400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Program operations, staffing, KPIs</w:t>
            </w:r>
          </w:p>
        </w:tc>
        <w:tc>
          <w:tcPr>
            <w:tcW w:type="dxa" w:w="316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program-level &amp; exception approvals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</w:rPr>
              <w:t xml:space="preserve">Practice CFO</w:t>
            </w:r>
          </w:p>
        </w:tc>
        <w:tc>
          <w:tcPr>
            <w:tcW w:type="dxa" w:w="4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Revenue integrity, billing sign-off</w:t>
            </w:r>
          </w:p>
        </w:tc>
        <w:tc>
          <w:tcPr>
            <w:tcW w:type="dxa" w:w="31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billing dispositions, revenue-leakage actions</w:t>
            </w:r>
          </w:p>
        </w:tc>
      </w:tr>
      <w:tr>
        <w:tc>
          <w:tcPr>
            <w:tcW w:type="dxa" w:w="220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</w:rPr>
              <w:t xml:space="preserve">Compliance Officer</w:t>
            </w:r>
          </w:p>
        </w:tc>
        <w:tc>
          <w:tcPr>
            <w:tcW w:type="dxa" w:w="400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Consent, audit defensibility, policy</w:t>
            </w:r>
          </w:p>
        </w:tc>
        <w:tc>
          <w:tcPr>
            <w:tcW w:type="dxa" w:w="316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consent holds, RAC-audit packages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0F6E6E"/>
        </w:rPr>
        <w:t xml:space="preserve">3.  The nine agents, mapped to care management</w:t>
      </w:r>
    </w:p>
    <w:p>
      <w:pPr>
        <w:spacing w:after="120" w:line="276"/>
      </w:pPr>
      <w:r>
        <w:rPr>
          <w:color w:val="16241F"/>
        </w:rPr>
        <w:t xml:space="preserve">Every agent below is the </w:t>
      </w:r>
      <w:r>
        <w:rPr>
          <w:b/>
          <w:bCs/>
          <w:color w:val="16241F"/>
        </w:rPr>
        <w:t xml:space="preserve">same platform agent</w:t>
      </w:r>
      <w:r>
        <w:rPr>
          <w:color w:val="16241F"/>
        </w:rPr>
        <w:t xml:space="preserve"> you saw in the claims pack — specialised to Medicare care management through tenant configuration (persona + domain + CMS-rule grounding), not a code fork. Two agents (case-triage, analytics) carry explicit care-management instructions today; the rest apply unchanged.</w:t>
      </w:r>
    </w:p>
    <w:tbl>
      <w:tblPr>
        <w:tblW w:type="dxa" w:w="9360"/>
        <w:tblBorders>
          <w:top w:val="single" w:color="C6D8D5" w:sz="2"/>
          <w:left w:val="single" w:color="C6D8D5" w:sz="2"/>
          <w:bottom w:val="single" w:color="C6D8D5" w:sz="2"/>
          <w:right w:val="single" w:color="C6D8D5" w:sz="2"/>
          <w:insideH w:val="single" w:color="C6D8D5" w:sz="2"/>
          <w:insideV w:val="single" w:color="C6D8D5" w:sz="2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440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Its care-management job</w:t>
            </w:r>
          </w:p>
        </w:tc>
        <w:tc>
          <w:tcPr>
            <w:tcW w:type="dxa" w:w="306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approves the result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  <w:rFonts w:ascii="Consolas" w:cs="Consolas" w:eastAsia="Consolas" w:hAnsi="Consolas"/>
              </w:rPr>
              <w:t xml:space="preserve">onboarding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Propose how to land EHR / RPM / claims / ADT feeds as governed datasets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Director / Data admin</w:t>
            </w:r>
          </w:p>
        </w:tc>
      </w:tr>
      <w:tr>
        <w:tc>
          <w:tcPr>
            <w:tcW w:type="dxa" w:w="190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  <w:rFonts w:ascii="Consolas" w:cs="Consolas" w:eastAsia="Consolas" w:hAnsi="Consolas"/>
              </w:rPr>
              <w:t xml:space="preserve">analytics</w:t>
            </w:r>
          </w:p>
        </w:tc>
        <w:tc>
          <w:tcPr>
            <w:tcW w:type="dxa" w:w="440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Answer care KPI questions (enrollment, RPM adherence, revenue leakage) — read-only</w:t>
            </w:r>
          </w:p>
        </w:tc>
        <w:tc>
          <w:tcPr>
            <w:tcW w:type="dxa" w:w="306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— (no write)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  <w:rFonts w:ascii="Consolas" w:cs="Consolas" w:eastAsia="Consolas" w:hAnsi="Consolas"/>
              </w:rPr>
              <w:t xml:space="preserve">dashboard-designer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Draft RPM-ops / enrollment-funnel / revenue-leakage boards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Director</w:t>
            </w:r>
          </w:p>
        </w:tc>
      </w:tr>
      <w:tr>
        <w:tc>
          <w:tcPr>
            <w:tcW w:type="dxa" w:w="190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  <w:rFonts w:ascii="Consolas" w:cs="Consolas" w:eastAsia="Consolas" w:hAnsi="Consolas"/>
              </w:rPr>
              <w:t xml:space="preserve">model-training</w:t>
            </w:r>
          </w:p>
        </w:tc>
        <w:tc>
          <w:tcPr>
            <w:tcW w:type="dxa" w:w="440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Propose an enrollment-propensity / readmission-risk training run</w:t>
            </w:r>
          </w:p>
        </w:tc>
        <w:tc>
          <w:tcPr>
            <w:tcW w:type="dxa" w:w="306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  <w:rFonts w:ascii="Consolas" w:cs="Consolas" w:eastAsia="Consolas" w:hAnsi="Consolas"/>
              </w:rPr>
              <w:t xml:space="preserve">ml-engineer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Autonomously build &amp; compare candidate risk models, propose the winner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Director (four-eyes promote)</w:t>
            </w:r>
          </w:p>
        </w:tc>
      </w:tr>
      <w:tr>
        <w:tc>
          <w:tcPr>
            <w:tcW w:type="dxa" w:w="190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  <w:rFonts w:ascii="Consolas" w:cs="Consolas" w:eastAsia="Consolas" w:hAnsi="Consolas"/>
              </w:rPr>
              <w:t xml:space="preserve">inference</w:t>
            </w:r>
          </w:p>
        </w:tc>
        <w:tc>
          <w:tcPr>
            <w:tcW w:type="dxa" w:w="440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Batch-score the patient panel with the production risk model</w:t>
            </w:r>
          </w:p>
        </w:tc>
        <w:tc>
          <w:tcPr>
            <w:tcW w:type="dxa" w:w="306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Care Manager RN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  <w:rFonts w:ascii="Consolas" w:cs="Consolas" w:eastAsia="Consolas" w:hAnsi="Consolas"/>
              </w:rPr>
              <w:t xml:space="preserve">case-triage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The billing reviewer: propose a disposition on each flagged BillingCandidate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Care Manager / Clinician / CFO</w:t>
            </w:r>
          </w:p>
        </w:tc>
      </w:tr>
      <w:tr>
        <w:tc>
          <w:tcPr>
            <w:tcW w:type="dxa" w:w="190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  <w:rFonts w:ascii="Consolas" w:cs="Consolas" w:eastAsia="Consolas" w:hAnsi="Consolas"/>
              </w:rPr>
              <w:t xml:space="preserve">governance</w:t>
            </w:r>
          </w:p>
        </w:tc>
        <w:tc>
          <w:tcPr>
            <w:tcW w:type="dxa" w:w="440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Open a retrain proposal when a risk model drifts</w:t>
            </w:r>
          </w:p>
        </w:tc>
        <w:tc>
          <w:tcPr>
            <w:tcW w:type="dxa" w:w="306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  <w:rFonts w:ascii="Consolas" w:cs="Consolas" w:eastAsia="Consolas" w:hAnsi="Consolas"/>
              </w:rPr>
              <w:t xml:space="preserve">meta-router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Front door: route a free-text care-manager request to the right agent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(delegate's approver)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color w:val="16241F"/>
        </w:rPr>
        <w:t xml:space="preserve">The rest of this playbook is one section per agent: what it does, how to use it, and what it grounds on. The care-specific data it reasons over is already live in the platform: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1. </w:t>
      </w:r>
      <w:r>
        <w:rPr>
          <w:i/>
          <w:iCs/>
          <w:color w:val="5B6B66"/>
          <w:sz w:val="17"/>
          <w:szCs w:val="17"/>
        </w:rPr>
        <w:t xml:space="preserve">Real care-management assets in the running platform: the care_mgmt_core and rpm_readings governed semantic models (alongside other packs’ models).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2. </w:t>
      </w:r>
      <w:r>
        <w:rPr>
          <w:i/>
          <w:iCs/>
          <w:color w:val="5B6B66"/>
          <w:sz w:val="17"/>
          <w:szCs w:val="17"/>
        </w:rPr>
        <w:t xml:space="preserve">The care-management dashboards — Enrollment Funnel, Revenue Leakage, RPM Ops, Readmission Watch, Referral Intake, Post-Acute Network — installed by the pack.</w:t>
      </w:r>
    </w:p>
    <w:p>
      <w:pPr>
        <w:pStyle w:val="Heading1"/>
        <w:spacing w:before="300" w:after="70"/>
      </w:pPr>
      <w:r>
        <w:rPr>
          <w:b/>
          <w:bCs/>
          <w:color w:val="0F6E6E"/>
        </w:rPr>
        <w:t xml:space="preserve">4.  Agent-by-agent playbook</w:t>
      </w:r>
    </w:p>
    <w:p>
      <w:pPr>
        <w:pStyle w:val="Heading2"/>
        <w:spacing w:before="24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onboarding  </w:t>
      </w:r>
      <w:r>
        <w:rPr>
          <w:b/>
          <w:bCs/>
          <w:color w:val="16241F"/>
        </w:rPr>
        <w:t xml:space="preserve">   4.1. Bring the care data in</w:t>
      </w:r>
    </w:p>
    <w:p>
      <w:pPr>
        <w:spacing w:after="120" w:line="276"/>
      </w:pPr>
      <w:r>
        <w:rPr>
          <w:color w:val="16241F"/>
        </w:rPr>
        <w:t xml:space="preserve">Care management runs on data from many systems: EHR (Epic, athenahealth, eClinicalWorks…), RPM device vendors, claims, and ADT discharge feeds. The onboarding agent inspects a source and </w:t>
      </w:r>
      <w:r>
        <w:rPr>
          <w:b/>
          <w:bCs/>
          <w:color w:val="16241F"/>
        </w:rPr>
        <w:t xml:space="preserve">proposes</w:t>
      </w:r>
      <w:r>
        <w:rPr>
          <w:color w:val="16241F"/>
        </w:rPr>
        <w:t xml:space="preserve"> an ingestion config + column mapping — grounded in the connector catalog and a live preview — landing patients, encounters, device readings, discharges, consents, and billing candidates as governed datasets.</w:t>
      </w:r>
    </w:p>
    <w:p>
      <w:pPr>
        <w:spacing w:after="120" w:line="276"/>
      </w:pPr>
      <w:r>
        <w:rPr>
          <w:b/>
          <w:bCs/>
          <w:color w:val="16241F"/>
        </w:rPr>
        <w:t xml:space="preserve">How to use it: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6241F"/>
        </w:rPr>
        <w:t xml:space="preserve">Go to </w:t>
      </w:r>
      <w:r>
        <w:rPr>
          <w:b/>
          <w:bCs/>
          <w:color w:val="16241F"/>
        </w:rPr>
        <w:t xml:space="preserve">Data → Data Sources → New data source</w:t>
      </w:r>
      <w:r>
        <w:rPr>
          <w:color w:val="16241F"/>
        </w:rPr>
        <w:t xml:space="preserve">; pick your EHR/RPM connector or upload a seed extract (CSV/Parquet).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6241F"/>
        </w:rPr>
        <w:t xml:space="preserve">Ask onboarding (or the Copilot) to “onboard this RPM device feed as a dataset.” It returns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ingestion.create</w:t>
      </w:r>
      <w:r>
        <w:rPr>
          <w:color w:val="16241F"/>
        </w:rPr>
        <w:t xml:space="preserve"> proposal with the mapped columns and types.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6241F"/>
        </w:rPr>
        <w:t xml:space="preserve">A data admin approves; the feed lands as a </w:t>
      </w:r>
      <w:r>
        <w:rPr>
          <w:b/>
          <w:bCs/>
          <w:color w:val="2E7D57"/>
        </w:rPr>
        <w:t xml:space="preserve">ready</w:t>
      </w:r>
      <w:r>
        <w:rPr>
          <w:color w:val="16241F"/>
        </w:rPr>
        <w:t xml:space="preserve"> dataset that everything downstream reads.</w:t>
      </w:r>
    </w:p>
    <w:tbl>
      <w:tblPr>
        <w:tblW w:type="dxa" w:w="9360"/>
        <w:tblBorders>
          <w:top w:val="single" w:color="C6D8D5" w:sz="2"/>
          <w:left w:val="single" w:color="B26B00" w:sz="18"/>
          <w:bottom w:val="single" w:color="C6D8D5" w:sz="2"/>
          <w:right w:val="single" w:color="C6D8D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1E3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B26B00"/>
                <w:sz w:val="18"/>
                <w:szCs w:val="18"/>
                <w:caps/>
              </w:rPr>
              <w:t xml:space="preserve">Live vs deferred</w:t>
            </w:r>
          </w:p>
          <w:p>
            <w:pPr>
              <w:spacing w:after="0" w:line="264"/>
            </w:pPr>
            <w:r>
              <w:rPr>
                <w:color w:val="16241F"/>
              </w:rPr>
              <w:t xml:space="preserve">Production EHR/RPM connectors and SoR write-back (care-activity, care-plan, billing-candidate writes with idempotency keys) are materialised by pack-service with your credentials. Today the pack ships seed datasets in the exact landing shape, and all platform writes stay proposal-mode.</w:t>
            </w:r>
          </w:p>
        </w:tc>
      </w:tr>
    </w:tbl>
    <w:p>
      <w:pPr>
        <w:pStyle w:val="Heading2"/>
        <w:spacing w:before="24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analytics  </w:t>
      </w:r>
      <w:r>
        <w:rPr>
          <w:b/>
          <w:bCs/>
          <w:color w:val="16241F"/>
        </w:rPr>
        <w:t xml:space="preserve">   4.2. Ask the panel a question</w:t>
      </w:r>
    </w:p>
    <w:p>
      <w:pPr>
        <w:spacing w:after="120" w:line="276"/>
      </w:pPr>
      <w:r>
        <w:rPr>
          <w:color w:val="16241F"/>
        </w:rPr>
        <w:t xml:space="preserve">The analytics agent answers care-management KPI questions over the governed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care_mgmt_core</w:t>
      </w:r>
      <w:r>
        <w:rPr>
          <w:color w:val="16241F"/>
        </w:rPr>
        <w:t xml:space="preserve"> and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rpm_readings</w:t>
      </w:r>
      <w:r>
        <w:rPr>
          <w:color w:val="16241F"/>
        </w:rPr>
        <w:t xml:space="preserve"> models — </w:t>
      </w:r>
      <w:r>
        <w:rPr>
          <w:b/>
          <w:bCs/>
          <w:color w:val="16241F"/>
        </w:rPr>
        <w:t xml:space="preserve">read-only</w:t>
      </w:r>
      <w:r>
        <w:rPr>
          <w:color w:val="16241F"/>
        </w:rPr>
        <w:t xml:space="preserve">, always citing the measures it used. It never writes.</w:t>
      </w:r>
    </w:p>
    <w:p>
      <w:pPr>
        <w:spacing w:after="120" w:line="276"/>
      </w:pPr>
      <w:r>
        <w:rPr>
          <w:b/>
          <w:bCs/>
          <w:color w:val="16241F"/>
        </w:rPr>
        <w:t xml:space="preserve">Ask it things like: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color w:val="16241F"/>
        </w:rPr>
        <w:t xml:space="preserve">“What is our RPM 16-day compliance rate this month?”  →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rpm_16day_compliance_rate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color w:val="16241F"/>
        </w:rPr>
        <w:t xml:space="preserve">“Where is revenue leaking?”  →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total_expected_revenue</w:t>
      </w:r>
      <w:r>
        <w:rPr>
          <w:color w:val="16241F"/>
        </w:rPr>
        <w:t xml:space="preserve"> (held_count × reimbursement)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color w:val="16241F"/>
        </w:rPr>
        <w:t xml:space="preserve">“What’s our TCM 2-day contact rate and 30-day readmission rate?”  →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tcm_2day_contact_rate</w:t>
      </w:r>
      <w:r>
        <w:rPr>
          <w:color w:val="16241F"/>
        </w:rPr>
        <w:t xml:space="preserve">,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readmission_rate_30d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color w:val="16241F"/>
        </w:rPr>
        <w:t xml:space="preserve">“How many active patients per care manager?”  →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care_manager_active_patients</w:t>
      </w:r>
    </w:p>
    <w:p>
      <w:pPr>
        <w:spacing w:after="120" w:line="276"/>
      </w:pPr>
      <w:r>
        <w:rPr>
          <w:color w:val="16241F"/>
        </w:rPr>
        <w:t xml:space="preserve">Open the </w:t>
      </w:r>
      <w:r>
        <w:rPr>
          <w:b/>
          <w:bCs/>
          <w:color w:val="16241F"/>
        </w:rPr>
        <w:t xml:space="preserve">Copilot</w:t>
      </w:r>
      <w:r>
        <w:rPr>
          <w:color w:val="16241F"/>
        </w:rPr>
        <w:t xml:space="preserve"> on any care page and type the question; the answer is grounded and cites whether a figure is </w:t>
      </w:r>
      <w:r>
        <w:rPr>
          <w:i/>
          <w:iCs/>
        </w:rPr>
        <w:t xml:space="preserve">expected reimbursement</w:t>
      </w:r>
      <w:r>
        <w:rPr>
          <w:color w:val="16241F"/>
        </w:rPr>
        <w:t xml:space="preserve"> vs posted revenue.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3. </w:t>
      </w:r>
      <w:r>
        <w:rPr>
          <w:i/>
          <w:iCs/>
          <w:color w:val="5B6B66"/>
          <w:sz w:val="17"/>
          <w:szCs w:val="17"/>
        </w:rPr>
        <w:t xml:space="preserve">The role-grounded Copilot answering over the governed semantic layer. It reasons within your role and never fabricates — the same surface serves care-management questions.</w:t>
      </w:r>
    </w:p>
    <w:p>
      <w:pPr>
        <w:pStyle w:val="Heading2"/>
        <w:spacing w:before="24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dashboard-designer  </w:t>
      </w:r>
      <w:r>
        <w:rPr>
          <w:b/>
          <w:bCs/>
          <w:color w:val="16241F"/>
        </w:rPr>
        <w:t xml:space="preserve">   4.3. Stand up the ops boards</w:t>
      </w:r>
    </w:p>
    <w:p>
      <w:pPr>
        <w:spacing w:after="120" w:line="276"/>
      </w:pPr>
      <w:r>
        <w:rPr>
          <w:color w:val="16241F"/>
        </w:rPr>
        <w:t xml:space="preserve">The dashboard-designer proposes a draft dashboard — a title plus charts bound to real measures/dimensions — grounded in the semantic layer and the chart catalog. For care management it drafts the three program boards: </w:t>
      </w:r>
      <w:r>
        <w:rPr>
          <w:b/>
          <w:bCs/>
          <w:color w:val="16241F"/>
        </w:rPr>
        <w:t xml:space="preserve">Enrollment Funnel</w:t>
      </w:r>
      <w:r>
        <w:rPr>
          <w:color w:val="16241F"/>
        </w:rPr>
        <w:t xml:space="preserve">, </w:t>
      </w:r>
      <w:r>
        <w:rPr>
          <w:b/>
          <w:bCs/>
          <w:color w:val="16241F"/>
        </w:rPr>
        <w:t xml:space="preserve">Revenue Leakage</w:t>
      </w:r>
      <w:r>
        <w:rPr>
          <w:color w:val="16241F"/>
        </w:rPr>
        <w:t xml:space="preserve">, and </w:t>
      </w:r>
      <w:r>
        <w:rPr>
          <w:b/>
          <w:bCs/>
          <w:color w:val="16241F"/>
        </w:rPr>
        <w:t xml:space="preserve">RPM Ops</w:t>
      </w:r>
      <w:r>
        <w:rPr>
          <w:color w:val="16241F"/>
        </w:rPr>
        <w:t xml:space="preserve">.</w:t>
      </w:r>
    </w:p>
    <w:p>
      <w:pPr>
        <w:spacing w:after="120" w:line="276"/>
      </w:pPr>
      <w:r>
        <w:rPr>
          <w:b/>
          <w:bCs/>
          <w:color w:val="16241F"/>
        </w:rPr>
        <w:t xml:space="preserve">How to use it: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6241F"/>
        </w:rPr>
        <w:t xml:space="preserve">Ask “design an RPM operations dashboard.” It proposes charts over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rpm_readings</w:t>
      </w:r>
      <w:r>
        <w:rPr>
          <w:color w:val="16241F"/>
        </w:rPr>
        <w:t xml:space="preserve"> (adherence, 16-day compliance, avg reading days).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6241F"/>
        </w:rPr>
        <w:t xml:space="preserve">Review the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chart.dashboard.create</w:t>
      </w:r>
      <w:r>
        <w:rPr>
          <w:color w:val="16241F"/>
        </w:rPr>
        <w:t xml:space="preserve"> proposal; a director approves; the board appears under </w:t>
      </w:r>
      <w:r>
        <w:rPr>
          <w:b/>
          <w:bCs/>
          <w:color w:val="16241F"/>
        </w:rPr>
        <w:t xml:space="preserve">Dashboards</w:t>
      </w:r>
      <w:r>
        <w:rPr>
          <w:color w:val="16241F"/>
        </w:rPr>
        <w:t xml:space="preserve"> (Figure 2).</w:t>
      </w:r>
    </w:p>
    <w:p>
      <w:pPr>
        <w:pStyle w:val="Heading2"/>
        <w:spacing w:before="24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model-training  </w:t>
      </w:r>
      <w:r>
        <w:rPr>
          <w:b/>
          <w:bCs/>
          <w:color w:val="16241F"/>
        </w:rPr>
        <w:t xml:space="preserve">   4.4. Propose a risk / propensity model</w:t>
      </w:r>
    </w:p>
    <w:p>
      <w:pPr>
        <w:spacing w:after="120" w:line="276"/>
      </w:pPr>
      <w:r>
        <w:rPr>
          <w:color w:val="16241F"/>
        </w:rPr>
        <w:t xml:space="preserve">The model-training agent turns a plain-language goal into a governed training-run proposal: it resolves the algorithm, fills hyperparameters, and picks label + feature columns grounded in the algorithm catalog and prior runs. For care management the pack ships a real </w:t>
      </w:r>
      <w:r>
        <w:rPr>
          <w:b/>
          <w:bCs/>
          <w:color w:val="16241F"/>
        </w:rPr>
        <w:t xml:space="preserve">enrollment-propensity</w:t>
      </w:r>
      <w:r>
        <w:rPr>
          <w:color w:val="16241F"/>
        </w:rPr>
        <w:t xml:space="preserve"> training pipeline.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6241F"/>
        </w:rPr>
        <w:t xml:space="preserve">Ask “train an enrollment-propensity model on the patient panel to predict CCM uptake.”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6241F"/>
        </w:rPr>
        <w:t xml:space="preserve">It returns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pipeline.template.create_from_algorithm</w:t>
      </w:r>
      <w:r>
        <w:rPr>
          <w:color w:val="16241F"/>
        </w:rPr>
        <w:t xml:space="preserve"> proposal (algorithm, params, label = enrolled, features). Approve → the pipeline runs and registers a model.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4. </w:t>
      </w:r>
      <w:r>
        <w:rPr>
          <w:i/>
          <w:iCs/>
          <w:color w:val="5B6B66"/>
          <w:sz w:val="17"/>
          <w:szCs w:val="17"/>
        </w:rPr>
        <w:t xml:space="preserve">Experiments &amp; the model registry. A pipeline-trained model (e.g. enrollment propensity, readmission risk) auto-mirrors here, ready to gate and promote.</w:t>
      </w:r>
    </w:p>
    <w:p>
      <w:pPr>
        <w:pStyle w:val="Heading2"/>
        <w:spacing w:before="24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ml-engineer  </w:t>
      </w:r>
      <w:r>
        <w:rPr>
          <w:b/>
          <w:bCs/>
          <w:color w:val="16241F"/>
        </w:rPr>
        <w:t xml:space="preserve">   4.5. Build the model for me</w:t>
      </w:r>
    </w:p>
    <w:p>
      <w:pPr>
        <w:spacing w:after="120" w:line="276"/>
      </w:pPr>
      <w:r>
        <w:rPr>
          <w:color w:val="16241F"/>
        </w:rPr>
        <w:t xml:space="preserve">Where model-training proposes one run, the </w:t>
      </w:r>
      <w:r>
        <w:rPr>
          <w:b/>
          <w:bCs/>
          <w:color w:val="16241F"/>
        </w:rPr>
        <w:t xml:space="preserve">ml-engineer</w:t>
      </w:r>
      <w:r>
        <w:rPr>
          <w:color w:val="16241F"/>
        </w:rPr>
        <w:t xml:space="preserve"> agent runs the whole data-science loop autonomously: it inspects the dataset schema, launches several candidate models in sandboxed pipeline runs, compares </w:t>
      </w:r>
      <w:r>
        <w:rPr>
          <w:b/>
          <w:bCs/>
          <w:color w:val="16241F"/>
        </w:rPr>
        <w:t xml:space="preserve">real</w:t>
      </w:r>
      <w:r>
        <w:rPr>
          <w:color w:val="16241F"/>
        </w:rPr>
        <w:t xml:space="preserve"> metrics, and proposes promoting the winner — </w:t>
      </w:r>
      <w:r>
        <w:rPr>
          <w:b/>
          <w:bCs/>
          <w:color w:val="16241F"/>
        </w:rPr>
        <w:t xml:space="preserve">four-eyes, never promoting directly</w:t>
      </w:r>
      <w:r>
        <w:rPr>
          <w:color w:val="16241F"/>
        </w:rPr>
        <w:t xml:space="preserve">. Use it to build the 30-day readmission-risk or enrollment-propensity model without hand-tuning.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6241F"/>
        </w:rPr>
        <w:t xml:space="preserve">Point it at a prepared panel dataset and the label (e.g.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readmitted_30d</w:t>
      </w:r>
      <w:r>
        <w:rPr>
          <w:color w:val="16241F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6241F"/>
        </w:rPr>
        <w:t xml:space="preserve">It trains candidates, then emits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experiment.model.promote</w:t>
      </w:r>
      <w:r>
        <w:rPr>
          <w:color w:val="16241F"/>
        </w:rPr>
        <w:t xml:space="preserve"> proposal for the best one, with the comparison as evidence. A director approves the promotion.</w:t>
      </w:r>
    </w:p>
    <w:p>
      <w:pPr>
        <w:pStyle w:val="Heading2"/>
        <w:spacing w:before="24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inference  </w:t>
      </w:r>
      <w:r>
        <w:rPr>
          <w:b/>
          <w:bCs/>
          <w:color w:val="16241F"/>
        </w:rPr>
        <w:t xml:space="preserve">   4.6. Score the panel</w:t>
      </w:r>
    </w:p>
    <w:p>
      <w:pPr>
        <w:spacing w:after="120" w:line="276"/>
      </w:pPr>
      <w:r>
        <w:rPr>
          <w:color w:val="16241F"/>
        </w:rPr>
        <w:t xml:space="preserve">The inference agent proposes a batch scoring job: it resolves the model’s </w:t>
      </w:r>
      <w:r>
        <w:rPr>
          <w:b/>
          <w:bCs/>
          <w:color w:val="16241F"/>
        </w:rPr>
        <w:t xml:space="preserve">production</w:t>
      </w:r>
      <w:r>
        <w:rPr>
          <w:color w:val="16241F"/>
        </w:rPr>
        <w:t xml:space="preserve"> version, checks the input dataset’s schema is compatible, and proposes a job whose output is a scored dataset the care team works from (e.g. this month’s readmission-risk or enrollment-propensity scores).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6241F"/>
        </w:rPr>
        <w:t xml:space="preserve">Ask “score the current panel with the production readmission model.”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6241F"/>
        </w:rPr>
        <w:t xml:space="preserve">It returns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inference.submit</w:t>
      </w:r>
      <w:r>
        <w:rPr>
          <w:color w:val="16241F"/>
        </w:rPr>
        <w:t xml:space="preserve"> proposal (model version + input dataset, compatibility confirmed). A care manager approves; the scored panel lands as a dataset and feeds the worklist.</w:t>
      </w:r>
    </w:p>
    <w:p>
      <w:pPr>
        <w:pStyle w:val="Heading2"/>
        <w:spacing w:before="24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case-triage  </w:t>
      </w:r>
      <w:r>
        <w:rPr>
          <w:b/>
          <w:bCs/>
          <w:color w:val="16241F"/>
        </w:rPr>
        <w:t xml:space="preserve">   4.7. The billing reviewer (the heart of it)</w:t>
      </w:r>
    </w:p>
    <w:p>
      <w:pPr>
        <w:spacing w:after="120" w:line="276"/>
      </w:pPr>
      <w:r>
        <w:rPr>
          <w:color w:val="16241F"/>
        </w:rPr>
        <w:t xml:space="preserve">This is the agent that earns the program its revenue safely. Each month the </w:t>
      </w:r>
      <w:r>
        <w:rPr>
          <w:b/>
          <w:bCs/>
          <w:color w:val="16241F"/>
        </w:rPr>
        <w:t xml:space="preserve">billing-review queue</w:t>
      </w:r>
      <w:r>
        <w:rPr>
          <w:color w:val="16241F"/>
        </w:rPr>
        <w:t xml:space="preserve"> fills with auditor-flagged </w:t>
      </w:r>
      <w:r>
        <w:rPr>
          <w:b/>
          <w:bCs/>
          <w:color w:val="16241F"/>
        </w:rPr>
        <w:t xml:space="preserve">BillingCandidates</w:t>
      </w:r>
      <w:r>
        <w:rPr>
          <w:color w:val="16241F"/>
        </w:rPr>
        <w:t xml:space="preserve"> plus drafted activity notes, care plans, RPM review notes, and TCM discharge items. For each, case-triage proposes a </w:t>
      </w:r>
      <w:r>
        <w:rPr>
          <w:b/>
          <w:bCs/>
          <w:color w:val="16241F"/>
        </w:rPr>
        <w:t xml:space="preserve">disposition</w:t>
      </w:r>
      <w:r>
        <w:rPr>
          <w:color w:val="16241F"/>
        </w:rPr>
        <w:t xml:space="preserve"> — grounded in the retrieved CMS rules — citing the exact missing artifact. It </w:t>
      </w:r>
      <w:r>
        <w:rPr>
          <w:b/>
          <w:bCs/>
          <w:i/>
          <w:iCs/>
        </w:rPr>
        <w:t xml:space="preserve">never</w:t>
      </w:r>
      <w:r>
        <w:rPr>
          <w:color w:val="16241F"/>
        </w:rPr>
        <w:t xml:space="preserve"> bills.</w:t>
      </w:r>
    </w:p>
    <w:p>
      <w:pPr>
        <w:spacing w:after="120" w:line="276"/>
      </w:pPr>
      <w:r>
        <w:rPr>
          <w:b/>
          <w:bCs/>
          <w:color w:val="16241F"/>
        </w:rPr>
        <w:t xml:space="preserve">What it checks, in order (from the pack’s agent instructions):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6241F"/>
        </w:rPr>
        <w:t xml:space="preserve">Consent</w:t>
      </w:r>
      <w:r>
        <w:rPr>
          <w:color w:val="16241F"/>
        </w:rPr>
        <w:t xml:space="preserve"> — active, non-revoked consent for the program family (a hard prerequisite; revocation is immediate).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6241F"/>
        </w:rPr>
        <w:t xml:space="preserve">Code time-minimums</w:t>
      </w:r>
      <w:r>
        <w:rPr>
          <w:color w:val="16241F"/>
        </w:rPr>
        <w:t xml:space="preserve"> — 99490 ≥ 20 min, 99487 ≥ 60, 99424 ≥ 30, 99484 ≥ 20, 99492 ≥ 70, 99493 ≥ 60, 99457 ≥ 20 (+99439 add-on blocks).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6241F"/>
        </w:rPr>
        <w:t xml:space="preserve">Same-month mutual exclusions</w:t>
      </w:r>
      <w:r>
        <w:rPr>
          <w:color w:val="16241F"/>
        </w:rPr>
        <w:t xml:space="preserve"> — 99490 vs 99424; 99484 vs 99492–99494.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6241F"/>
        </w:rPr>
        <w:t xml:space="preserve">RPM 16-day rule</w:t>
      </w:r>
      <w:r>
        <w:rPr>
          <w:color w:val="16241F"/>
        </w:rPr>
        <w:t xml:space="preserve"> for 99454 — but 99457 stays billable independently when its 20-minute threshold is met.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6241F"/>
        </w:rPr>
        <w:t xml:space="preserve">TCM windows</w:t>
      </w:r>
      <w:r>
        <w:rPr>
          <w:color w:val="16241F"/>
        </w:rPr>
        <w:t xml:space="preserve"> — contact ≤ 2 business days; face-to-face ≤ 7 days (99496) / ≤ 14 days (99495); med-rec documented.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6241F"/>
        </w:rPr>
        <w:t xml:space="preserve">Setting rules</w:t>
      </w:r>
      <w:r>
        <w:rPr>
          <w:color w:val="16241F"/>
        </w:rPr>
        <w:t xml:space="preserve"> — FQHC/RHC bill G0511 instead of standard CCM/BHI; APCM (G0556/57/58) is bundled and replaces CCM/PCM/TCM that month.</w:t>
      </w:r>
    </w:p>
    <w:p>
      <w:pPr>
        <w:spacing w:after="120" w:line="276"/>
      </w:pPr>
      <w:r>
        <w:rPr>
          <w:b/>
          <w:bCs/>
          <w:color w:val="16241F"/>
        </w:rPr>
        <w:t xml:space="preserve">The dispositions it proposes</w:t>
      </w:r>
    </w:p>
    <w:tbl>
      <w:tblPr>
        <w:tblW w:type="dxa" w:w="9360"/>
        <w:tblBorders>
          <w:top w:val="single" w:color="C6D8D5" w:sz="2"/>
          <w:left w:val="single" w:color="C6D8D5" w:sz="2"/>
          <w:bottom w:val="single" w:color="C6D8D5" w:sz="2"/>
          <w:right w:val="single" w:color="C6D8D5" w:sz="2"/>
          <w:insideH w:val="single" w:color="C6D8D5" w:sz="2"/>
          <w:insideV w:val="single" w:color="C6D8D5" w:sz="2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Disposition</w:t>
            </w:r>
          </w:p>
        </w:tc>
        <w:tc>
          <w:tcPr>
            <w:tcW w:type="dxa" w:w="420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216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Signal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  <w:rFonts w:ascii="Consolas" w:cs="Consolas" w:eastAsia="Consolas" w:hAnsi="Consolas"/>
              </w:rPr>
              <w:t xml:space="preserve">bill_approved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Approve the flagged codes</w:t>
            </w:r>
          </w:p>
        </w:tc>
        <w:tc>
          <w:tcPr>
            <w:tcW w:type="dxa" w:w="21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E7D57"/>
                <w:sz w:val="17"/>
                <w:szCs w:val="17"/>
              </w:rPr>
              <w:t xml:space="preserve">false positive</w:t>
            </w:r>
          </w:p>
        </w:tc>
      </w:tr>
      <w:tr>
        <w:tc>
          <w:tcPr>
            <w:tcW w:type="dxa" w:w="300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  <w:rFonts w:ascii="Consolas" w:cs="Consolas" w:eastAsia="Consolas" w:hAnsi="Consolas"/>
              </w:rPr>
              <w:t xml:space="preserve">bill_held</w:t>
            </w:r>
          </w:p>
        </w:tc>
        <w:tc>
          <w:tcPr>
            <w:tcW w:type="dxa" w:w="420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Hold for missing documentation (note required)</w:t>
            </w:r>
          </w:p>
        </w:tc>
        <w:tc>
          <w:tcPr>
            <w:tcW w:type="dxa" w:w="216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 positive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  <w:rFonts w:ascii="Consolas" w:cs="Consolas" w:eastAsia="Consolas" w:hAnsi="Consolas"/>
              </w:rPr>
              <w:t xml:space="preserve">bill_adjusted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Code adjusted before billing (note required)</w:t>
            </w:r>
          </w:p>
        </w:tc>
        <w:tc>
          <w:tcPr>
            <w:tcW w:type="dxa" w:w="21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other</w:t>
            </w:r>
          </w:p>
        </w:tc>
      </w:tr>
      <w:tr>
        <w:tc>
          <w:tcPr>
            <w:tcW w:type="dxa" w:w="300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  <w:rFonts w:ascii="Consolas" w:cs="Consolas" w:eastAsia="Consolas" w:hAnsi="Consolas"/>
              </w:rPr>
              <w:t xml:space="preserve">consent_issue_confirmed</w:t>
            </w:r>
          </w:p>
        </w:tc>
        <w:tc>
          <w:tcPr>
            <w:tcW w:type="dxa" w:w="420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Consent missing/revoked — do not bill</w:t>
            </w:r>
          </w:p>
        </w:tc>
        <w:tc>
          <w:tcPr>
            <w:tcW w:type="dxa" w:w="216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3A48"/>
                <w:sz w:val="17"/>
                <w:szCs w:val="17"/>
              </w:rPr>
              <w:t xml:space="preserve">true positive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  <w:rFonts w:ascii="Consolas" w:cs="Consolas" w:eastAsia="Consolas" w:hAnsi="Consolas"/>
              </w:rPr>
              <w:t xml:space="preserve">activity_note_approved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Care-activity note approved</w:t>
            </w:r>
          </w:p>
        </w:tc>
        <w:tc>
          <w:tcPr>
            <w:tcW w:type="dxa" w:w="21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benign</w:t>
            </w:r>
          </w:p>
        </w:tc>
      </w:tr>
      <w:tr>
        <w:tc>
          <w:tcPr>
            <w:tcW w:type="dxa" w:w="300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  <w:rFonts w:ascii="Consolas" w:cs="Consolas" w:eastAsia="Consolas" w:hAnsi="Consolas"/>
              </w:rPr>
              <w:t xml:space="preserve">care_plan_approved</w:t>
            </w:r>
          </w:p>
        </w:tc>
        <w:tc>
          <w:tcPr>
            <w:tcW w:type="dxa" w:w="420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Care plan approved as plan of record</w:t>
            </w:r>
          </w:p>
        </w:tc>
        <w:tc>
          <w:tcPr>
            <w:tcW w:type="dxa" w:w="216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benign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  <w:rFonts w:ascii="Consolas" w:cs="Consolas" w:eastAsia="Consolas" w:hAnsi="Consolas"/>
              </w:rPr>
              <w:t xml:space="preserve">rpm_review_signed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RPM review note signed</w:t>
            </w:r>
          </w:p>
        </w:tc>
        <w:tc>
          <w:tcPr>
            <w:tcW w:type="dxa" w:w="21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benign</w:t>
            </w:r>
          </w:p>
        </w:tc>
      </w:tr>
      <w:tr>
        <w:tc>
          <w:tcPr>
            <w:tcW w:type="dxa" w:w="300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  <w:rFonts w:ascii="Consolas" w:cs="Consolas" w:eastAsia="Consolas" w:hAnsi="Consolas"/>
              </w:rPr>
              <w:t xml:space="preserve">escalate_md</w:t>
            </w:r>
          </w:p>
        </w:tc>
        <w:tc>
          <w:tcPr>
            <w:tcW w:type="dxa" w:w="420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Escalate to clinician reviewer</w:t>
            </w:r>
          </w:p>
        </w:tc>
        <w:tc>
          <w:tcPr>
            <w:tcW w:type="dxa" w:w="216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6241F"/>
                <w:sz w:val="17"/>
                <w:szCs w:val="17"/>
              </w:rPr>
              <w:t xml:space="preserve">inconclusive</w:t>
            </w:r>
          </w:p>
        </w:tc>
      </w:tr>
    </w:tbl>
    <w:p>
      <w:pPr>
        <w:spacing w:after="120" w:line="276"/>
      </w:pPr>
      <w:r>
        <w:rPr>
          <w:b/>
          <w:bCs/>
          <w:color w:val="16241F"/>
        </w:rPr>
        <w:t xml:space="preserve">How the care team uses it: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6241F"/>
        </w:rPr>
        <w:t xml:space="preserve">Open </w:t>
      </w:r>
      <w:r>
        <w:rPr>
          <w:b/>
          <w:bCs/>
          <w:color w:val="16241F"/>
        </w:rPr>
        <w:t xml:space="preserve">Cases</w:t>
      </w:r>
      <w:r>
        <w:rPr>
          <w:color w:val="16241F"/>
        </w:rPr>
        <w:t xml:space="preserve"> — the monthly billing-review worklist, ranked. Each row is a flagged candidate with its patient/program context.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5. </w:t>
      </w:r>
      <w:r>
        <w:rPr>
          <w:i/>
          <w:iCs/>
          <w:color w:val="5B6B66"/>
          <w:sz w:val="17"/>
          <w:szCs w:val="17"/>
        </w:rPr>
        <w:t xml:space="preserve">The review worklist surface (claims demo shown; for care management this is the monthly billing-review queue of flagged BillingCandidates).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6241F"/>
        </w:rPr>
        <w:t xml:space="preserve">Open a candidate. The </w:t>
      </w:r>
      <w:r>
        <w:rPr>
          <w:b/>
          <w:bCs/>
          <w:color w:val="16241F"/>
        </w:rPr>
        <w:t xml:space="preserve">Overview</w:t>
      </w:r>
      <w:r>
        <w:rPr>
          <w:color w:val="16241F"/>
        </w:rPr>
        <w:t xml:space="preserve"> shows the evidence; the AI recommendation names the exact gap (e.g. “99457 held — RPM 16-day rule not met; 99457 time minimum IS met, propose bill 99457 only”).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6. </w:t>
      </w:r>
      <w:r>
        <w:rPr>
          <w:i/>
          <w:iCs/>
          <w:color w:val="5B6B66"/>
          <w:sz w:val="17"/>
          <w:szCs w:val="17"/>
        </w:rPr>
        <w:t xml:space="preserve">A case with grounded evidence and the AI’s recommendation. In care management the recommendation cites the CMS rule and the exact missing artifact.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6241F"/>
        </w:rPr>
        <w:t xml:space="preserve">Open </w:t>
      </w:r>
      <w:r>
        <w:rPr>
          <w:b/>
          <w:bCs/>
          <w:color w:val="16241F"/>
        </w:rPr>
        <w:t xml:space="preserve">Proposals</w:t>
      </w:r>
      <w:r>
        <w:rPr>
          <w:color w:val="16241F"/>
        </w:rPr>
        <w:t xml:space="preserve"> to see the disposition as a reviewable diff, then decide. The proposal is inert until a human approves.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7. </w:t>
      </w:r>
      <w:r>
        <w:rPr>
          <w:i/>
          <w:iCs/>
          <w:color w:val="5B6B66"/>
          <w:sz w:val="17"/>
          <w:szCs w:val="17"/>
        </w:rPr>
        <w:t xml:space="preserve">The disposition proposal as a field-level diff. Nothing is billed until the care manager, clinician, or CFO approves.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6241F"/>
        </w:rPr>
        <w:t xml:space="preserve">Approve, edit (the corrected disposition becomes training data), or reject with a reason — from the </w:t>
      </w:r>
      <w:r>
        <w:rPr>
          <w:b/>
          <w:bCs/>
          <w:color w:val="16241F"/>
        </w:rPr>
        <w:t xml:space="preserve">Approvals</w:t>
      </w:r>
      <w:r>
        <w:rPr>
          <w:color w:val="16241F"/>
        </w:rPr>
        <w:t xml:space="preserve"> inbox. Four-eyes: the approver is not the proposer.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8. </w:t>
      </w:r>
      <w:r>
        <w:rPr>
          <w:i/>
          <w:iCs/>
          <w:color w:val="5B6B66"/>
          <w:sz w:val="17"/>
          <w:szCs w:val="17"/>
        </w:rPr>
        <w:t xml:space="preserve">The approval inbox. Every billing disposition is approved here by a different person than the one who raised it — four-eyes on revenue.</w:t>
      </w:r>
    </w:p>
    <w:p>
      <w:pPr>
        <w:pStyle w:val="Heading2"/>
        <w:spacing w:before="24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governance  </w:t>
      </w:r>
      <w:r>
        <w:rPr>
          <w:b/>
          <w:bCs/>
          <w:color w:val="16241F"/>
        </w:rPr>
        <w:t xml:space="preserve">   4.8. Keep the models honest</w:t>
      </w:r>
    </w:p>
    <w:p>
      <w:pPr>
        <w:spacing w:after="120" w:line="276"/>
      </w:pPr>
      <w:r>
        <w:rPr>
          <w:color w:val="16241F"/>
        </w:rPr>
        <w:t xml:space="preserve">The governance agent runs autonomously under its own agent principal (never a borrowed clinician identity). When a risk model drifts or human corrections pile up past threshold, it opens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mlops.open_retrain</w:t>
      </w:r>
      <w:r>
        <w:rPr>
          <w:color w:val="16241F"/>
        </w:rPr>
        <w:t xml:space="preserve"> proposal with the evidence summarised — so the readmission or propensity model that feeds the panel stays accurate. A director approves the retrain.</w:t>
      </w:r>
    </w:p>
    <w:p>
      <w:pPr>
        <w:pStyle w:val="Heading2"/>
        <w:spacing w:before="24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meta-router  </w:t>
      </w:r>
      <w:r>
        <w:rPr>
          <w:b/>
          <w:bCs/>
          <w:color w:val="16241F"/>
        </w:rPr>
        <w:t xml:space="preserve">   4.9. The care manager’s front door</w:t>
      </w:r>
    </w:p>
    <w:p>
      <w:pPr>
        <w:spacing w:after="120" w:line="276"/>
      </w:pPr>
      <w:r>
        <w:rPr>
          <w:color w:val="16241F"/>
        </w:rPr>
        <w:t xml:space="preserve">A care manager doesn’t think in agent names. The meta-router takes a free-text request, classifies it, and delegates to the right specialist — the delegate’s own write mode governs whether a proposal results.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color w:val="16241F"/>
        </w:rPr>
        <w:t xml:space="preserve">“Which patients are eligible for CCM this month?” →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analytics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color w:val="16241F"/>
        </w:rPr>
        <w:t xml:space="preserve">“Are any RPM bills missing the 16-day threshold?” →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case-triage</w:t>
      </w:r>
      <w:r>
        <w:rPr>
          <w:color w:val="16241F"/>
        </w:rPr>
        <w:t xml:space="preserve"> over the flagged queue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color w:val="16241F"/>
        </w:rPr>
        <w:t xml:space="preserve">“Build me a readmission model” →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ml-engineer</w:t>
      </w:r>
      <w:r>
        <w:rPr>
          <w:color w:val="16241F"/>
        </w:rPr>
        <w:t xml:space="preserve"> /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model-training</w:t>
      </w:r>
    </w:p>
    <w:p>
      <w:pPr>
        <w:spacing w:after="120" w:line="276"/>
      </w:pPr>
      <w:r>
        <w:rPr>
          <w:color w:val="16241F"/>
        </w:rPr>
        <w:t xml:space="preserve">Everything the delegate produces still flows through the same proposal + approval gate.</w:t>
      </w:r>
    </w:p>
    <w:p>
      <w:pPr>
        <w:pStyle w:val="Heading1"/>
        <w:spacing w:before="300" w:after="70"/>
      </w:pPr>
      <w:r>
        <w:rPr>
          <w:b/>
          <w:bCs/>
          <w:color w:val="0F6E6E"/>
        </w:rPr>
        <w:t xml:space="preserve">5.  The monthly cycle — how the agents chain</w:t>
      </w:r>
    </w:p>
    <w:p>
      <w:pPr>
        <w:spacing w:after="120" w:line="276"/>
      </w:pPr>
      <w:r>
        <w:rPr>
          <w:color w:val="16241F"/>
        </w:rPr>
        <w:t xml:space="preserve">Across a billing month the agents form one governed loop: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6241F"/>
        </w:rPr>
        <w:t xml:space="default"/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6241F"/>
        </w:rPr>
        <w:t xml:space="default"/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6241F"/>
        </w:rPr>
        <w:t xml:space="default"/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6241F"/>
        </w:rPr>
        <w:t xml:space="default"/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6241F"/>
        </w:rPr>
        <w:t xml:space="default"/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6241F"/>
        </w:rPr>
        <w:t xml:space="default"/>
      </w:r>
    </w:p>
    <w:tbl>
      <w:tblPr>
        <w:tblW w:type="dxa" w:w="9360"/>
        <w:tblBorders>
          <w:top w:val="single" w:color="C6D8D5" w:sz="2"/>
          <w:left w:val="single" w:color="0F6E6E" w:sz="18"/>
          <w:bottom w:val="single" w:color="C6D8D5" w:sz="2"/>
          <w:right w:val="single" w:color="C6D8D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4F1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0F6E6E"/>
                <w:sz w:val="18"/>
                <w:szCs w:val="18"/>
                <w:caps/>
              </w:rPr>
              <w:t xml:space="preserve">Governed automation is real</w:t>
            </w:r>
          </w:p>
          <w:p>
            <w:pPr>
              <w:spacing w:after="0" w:line="264"/>
            </w:pPr>
            <w:r>
              <w:rPr>
                <w:color w:val="16241F"/>
              </w:rPr>
              <w:t xml:space="preserve">Decision tables let you encode deterministic care rules (e.g. “TCM face-to-face overdue → escalate_md”) that </w:t>
            </w:r>
            <w:r>
              <w:rPr>
                <w:b/>
                <w:bCs/>
                <w:color w:val="16241F"/>
              </w:rPr>
              <w:t xml:space="preserve">propose</w:t>
            </w:r>
            <w:r>
              <w:rPr>
                <w:color w:val="16241F"/>
              </w:rPr>
              <w:t xml:space="preserve"> a disposition for approval — never decide autonomously — sitting right alongside the agents.</w:t>
            </w:r>
          </w:p>
        </w:tc>
      </w:tr>
    </w:tbl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9. </w:t>
      </w:r>
      <w:r>
        <w:rPr>
          <w:i/>
          <w:iCs/>
          <w:color w:val="5B6B66"/>
          <w:sz w:val="17"/>
          <w:szCs w:val="17"/>
        </w:rPr>
        <w:t xml:space="preserve">Governed decision tables: deterministic care rules that propose a disposition for human approval, versioned and approved by a named user.</w:t>
      </w:r>
    </w:p>
    <w:p>
      <w:pPr>
        <w:pStyle w:val="Heading1"/>
        <w:spacing w:before="300" w:after="70"/>
      </w:pPr>
      <w:r>
        <w:rPr>
          <w:b/>
          <w:bCs/>
          <w:color w:val="0F6E6E"/>
        </w:rPr>
        <w:t xml:space="preserve">6.  Governance &amp; compliance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6241F"/>
        </w:rPr>
        <w:t xml:space="preserve">No autonomous billing (BR-2). </w:t>
      </w:r>
      <w:r>
        <w:rPr>
          <w:color w:val="16241F"/>
        </w:rPr>
        <w:t xml:space="preserve">Every billing decision is a human-approved proposal. Enforced by the platform.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6241F"/>
        </w:rPr>
        <w:t xml:space="preserve">Four-eyes. </w:t>
      </w:r>
      <w:r>
        <w:rPr>
          <w:color w:val="16241F"/>
        </w:rPr>
        <w:t xml:space="preserve">The approver is structurally never the proposer (or the agent).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6241F"/>
        </w:rPr>
        <w:t xml:space="preserve">CMS rules as grounding. </w:t>
      </w:r>
      <w:r>
        <w:rPr>
          <w:color w:val="16241F"/>
        </w:rPr>
        <w:t xml:space="preserve">Consent, code time-minimums, mutual exclusions, RPM 16-day, TCM windows, FQHC G0511, APCM bundling are retrieved as grounding memories the agents must cite.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6241F"/>
        </w:rPr>
        <w:t xml:space="preserve">Eval-gated models. </w:t>
      </w:r>
      <w:r>
        <w:rPr>
          <w:color w:val="16241F"/>
        </w:rPr>
        <w:t xml:space="preserve">A risk/propensity model is promoted only after passing its eval suite; rollback = demote.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10. </w:t>
      </w:r>
      <w:r>
        <w:rPr>
          <w:i/>
          <w:iCs/>
          <w:color w:val="5B6B66"/>
          <w:sz w:val="17"/>
          <w:szCs w:val="17"/>
        </w:rPr>
        <w:t xml:space="preserve">The eval flywheel — the promotion gate for the care-management risk models: scoring runs &amp; gates, scorers, and canary A/B.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6241F"/>
        </w:rPr>
        <w:t xml:space="preserve">Audit trail. </w:t>
      </w:r>
      <w:r>
        <w:rPr>
          <w:color w:val="16241F"/>
        </w:rPr>
        <w:t xml:space="preserve">Every proposal, decision, and tool call is recorded (RAC-audit-defensible); authorization is per-request against your role.</w:t>
      </w:r>
    </w:p>
    <w:p>
      <w:pPr>
        <w:pStyle w:val="Heading1"/>
        <w:spacing w:before="300" w:after="70"/>
      </w:pPr>
      <w:r>
        <w:rPr>
          <w:b/>
          <w:bCs/>
          <w:color w:val="0F6E6E"/>
        </w:rPr>
        <w:t xml:space="preserve">7.  What is live today vs pack-service-deferred</w:t>
      </w:r>
    </w:p>
    <w:p>
      <w:pPr>
        <w:spacing w:after="120" w:line="276"/>
      </w:pPr>
      <w:r>
        <w:rPr>
          <w:color w:val="16241F"/>
        </w:rPr>
        <w:t xml:space="preserve">In the spirit of no-fake: the pack is honest about what Core materialises today and what awaits pack-service. Nothing below is stubbed — deferred items are recorded in the install ledger, and the guarantees they need (proposal-mode + four-eyes) already hold.</w:t>
      </w:r>
    </w:p>
    <w:tbl>
      <w:tblPr>
        <w:tblW w:type="dxa" w:w="9360"/>
        <w:tblBorders>
          <w:top w:val="single" w:color="C6D8D5" w:sz="2"/>
          <w:left w:val="single" w:color="C6D8D5" w:sz="2"/>
          <w:bottom w:val="single" w:color="C6D8D5" w:sz="2"/>
          <w:right w:val="single" w:color="C6D8D5" w:sz="2"/>
          <w:insideH w:val="single" w:color="C6D8D5" w:sz="2"/>
          <w:insideV w:val="single" w:color="C6D8D5" w:sz="2"/>
        </w:tblBorders>
      </w:tblPr>
      <w:tblGrid>
        <w:gridCol w:w="5800"/>
        <w:gridCol w:w="3560"/>
      </w:tblGrid>
      <w:tr>
        <w:trPr>
          <w:tblHeader/>
        </w:trPr>
        <w:tc>
          <w:tcPr>
            <w:tcW w:type="dxa" w:w="580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356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</w:rPr>
              <w:t xml:space="preserve">Semantic models (care_mgmt_core, rpm_readings), dashboards, saved/verified queries</w:t>
            </w:r>
          </w:p>
        </w:tc>
        <w:tc>
          <w:tcPr>
            <w:tcW w:type="dxa" w:w="35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80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</w:rPr>
              <w:t xml:space="preserve">Billing-review case queue + disposition taxonomy + care-team roles</w:t>
            </w:r>
          </w:p>
        </w:tc>
        <w:tc>
          <w:tcPr>
            <w:tcW w:type="dxa" w:w="356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</w:rPr>
              <w:t xml:space="preserve">case-triage + analytics specialised to Medicare care management (CMS-rule grounding)</w:t>
            </w:r>
          </w:p>
        </w:tc>
        <w:tc>
          <w:tcPr>
            <w:tcW w:type="dxa" w:w="35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80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</w:rPr>
              <w:t xml:space="preserve">Enrollment-propensity training pipeline</w:t>
            </w:r>
          </w:p>
        </w:tc>
        <w:tc>
          <w:tcPr>
            <w:tcW w:type="dxa" w:w="356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</w:rPr>
              <w:t xml:space="preserve">8 bespoke agent recipes (care_scribe, code_selection, rpm_reviewer, tcm_prioritizer…)</w:t>
            </w:r>
          </w:p>
        </w:tc>
        <w:tc>
          <w:tcPr>
            <w:tcW w:type="dxa" w:w="35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served today via config on the fixed agents</w:t>
            </w:r>
          </w:p>
        </w:tc>
      </w:tr>
      <w:tr>
        <w:tc>
          <w:tcPr>
            <w:tcW w:type="dxa" w:w="580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</w:rPr>
              <w:t xml:space="preserve">Model archetypes (readmission_risk_30d, enrollment_propensity)</w:t>
            </w:r>
          </w:p>
        </w:tc>
        <w:tc>
          <w:tcPr>
            <w:tcW w:type="dxa" w:w="356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capability exists via pipelines/ml-engineer</w:t>
            </w:r>
          </w:p>
        </w:tc>
      </w:tr>
      <w:tr>
        <w:tc>
          <w:tcPr>
            <w:tcW w:type="dxa" w:w="5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</w:rPr>
              <w:t xml:space="preserve">Production EHR/RPM connectors + SoR write adapters</w:t>
            </w:r>
          </w:p>
        </w:tc>
        <w:tc>
          <w:tcPr>
            <w:tcW w:type="dxa" w:w="35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customer creds via pack-service; seed datasets today</w:t>
            </w:r>
          </w:p>
        </w:tc>
      </w:tr>
      <w:tr>
        <w:tc>
          <w:tcPr>
            <w:tcW w:type="dxa" w:w="580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6241F"/>
                <w:sz w:val="17"/>
                <w:szCs w:val="17"/>
              </w:rPr>
              <w:t xml:space="preserve">Guardrail OPA policies (hipaa.rego, cms_time_thresholds, rpm_16day_rule…)</w:t>
            </w:r>
          </w:p>
        </w:tc>
        <w:tc>
          <w:tcPr>
            <w:tcW w:type="dxa" w:w="3560"/>
            <w:shd w:fill="F1F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carried today as grounding + proposal-mode+four-eyes</w:t>
            </w:r>
          </w:p>
        </w:tc>
      </w:tr>
    </w:tbl>
    <w:p>
      <w:pPr>
        <w:spacing w:after="120"/>
      </w:pPr>
    </w:p>
    <w:p>
      <w:pPr>
        <w:pBdr>
          <w:bottom w:val="single" w:color="C6D8D5" w:sz="6"/>
        </w:pBdr>
        <w:spacing w:before="120" w:after="120"/>
      </w:pPr>
    </w:p>
    <w:p>
      <w:pPr>
        <w:spacing w:after="120" w:line="276"/>
      </w:pPr>
      <w:r>
        <w:rPr>
          <w:i/>
          <w:iCs/>
          <w:color w:val="5B6B66"/>
          <w:sz w:val="17"/>
          <w:szCs w:val="17"/>
        </w:rPr>
        <w:t xml:space="preserve">Grounded in the real care-management-medicare pack (BRD 25). Screenshots showing care assets (semantic models, dashboards) are live from the running platform; agent-surface screenshots are the shared, pack-agnostic surfaces (claims demo shown) — the care pack drives the identical surfaces with care data. Where a capability awaits pack-service, this playbook says so rather than implying it is materialised.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0F6E6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0F6E6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6241F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0F6E6E"/>
      <w:sz w:val="30"/>
      <w:szCs w:val="3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b/>
      <w:bCs/>
      <w:color w:val="16241F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3_rul5rz0nv-uj9pwnzdm.png"/><Relationship Id="rId7" Type="http://schemas.openxmlformats.org/officeDocument/2006/relationships/image" Target="media/pbtsfmpr_fvmgfxuqsvrf.png"/><Relationship Id="rId8" Type="http://schemas.openxmlformats.org/officeDocument/2006/relationships/image" Target="media/hsnsy_-qxrenggunzwu3s.png"/><Relationship Id="rId9" Type="http://schemas.openxmlformats.org/officeDocument/2006/relationships/image" Target="media/btxmi62kiq6re5h1fx485.png"/><Relationship Id="rId10" Type="http://schemas.openxmlformats.org/officeDocument/2006/relationships/image" Target="media/dql5rbx0rvtwptulcwujg.png"/><Relationship Id="rId11" Type="http://schemas.openxmlformats.org/officeDocument/2006/relationships/image" Target="media/4gjz5qxstdfxmaeuxiyff.png"/><Relationship Id="rId12" Type="http://schemas.openxmlformats.org/officeDocument/2006/relationships/image" Target="media/fj4pwtdkoo-7c2343nqn2.png"/><Relationship Id="rId13" Type="http://schemas.openxmlformats.org/officeDocument/2006/relationships/image" Target="media/x9krqrn8wilpz1qcsizpr.png"/><Relationship Id="rId14" Type="http://schemas.openxmlformats.org/officeDocument/2006/relationships/image" Target="media/2ydpiajngoyg57cieg6_6.png"/><Relationship Id="rId15" Type="http://schemas.openxmlformats.org/officeDocument/2006/relationships/image" Target="media/izxdmv38qc0qaxeyhw5ef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Windrose AI — Care Management Agent Playbook</dc:title>
  <dc:creator>Windrose AI</dc:creator>
  <dc:description>How to use the nine Windrose agents in a Medicare care-management program (CCM/TCM/RPM), grounded in the care-management-medicare pack.</dc:description>
  <cp:lastModifiedBy>Un-named</cp:lastModifiedBy>
  <cp:revision>1</cp:revision>
  <dcterms:created xsi:type="dcterms:W3CDTF">2026-07-17T22:20:57.359Z</dcterms:created>
  <dcterms:modified xsi:type="dcterms:W3CDTF">2026-07-17T22:20:57.359Z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