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  <w:r>
        <w:rPr>
          <w:b/>
          <w:bCs/>
          <w:color w:val="1F5C8C"/>
          <w:sz w:val="20"/>
          <w:szCs w:val="20"/>
          <w:caps/>
        </w:rPr>
        <w:t xml:space="preserve">WINDROSE AI</w:t>
      </w:r>
    </w:p>
    <w:p>
      <w:pPr>
        <w:pBdr>
          <w:bottom w:val="single" w:color="1F5C8C" w:sz="12"/>
        </w:pBdr>
        <w:spacing w:before="40" w:after="0"/>
      </w:pPr>
    </w:p>
    <w:p>
      <w:pPr>
        <w:spacing w:before="260" w:after="60"/>
      </w:pPr>
      <w:r>
        <w:rPr>
          <w:b/>
          <w:bCs/>
          <w:color w:val="1B2733"/>
          <w:sz w:val="52"/>
          <w:szCs w:val="52"/>
        </w:rPr>
        <w:t xml:space="preserve">Platform Architecture &amp; Workflows</w:t>
      </w:r>
    </w:p>
    <w:p>
      <w:pPr>
        <w:spacing w:after="40"/>
      </w:pPr>
      <w:r>
        <w:rPr>
          <w:i/>
          <w:iCs/>
          <w:color w:val="5A6B7B"/>
          <w:sz w:val="26"/>
          <w:szCs w:val="26"/>
        </w:rPr>
        <w:t xml:space="preserve">Governed decision-intelligence backbone for regulated operations.</w:t>
      </w:r>
    </w:p>
    <w:p>
      <w:pPr>
        <w:spacing w:after="400"/>
      </w:pPr>
    </w:p>
    <w:p>
      <w:pPr>
        <w:spacing w:after="120" w:line="276"/>
      </w:pPr>
      <w:r>
        <w:rPr>
          <w:b/>
          <w:bCs/>
          <w:color w:val="1B2733"/>
        </w:rPr>
        <w:t xml:space="preserve">Status:  </w:t>
      </w:r>
      <w:r>
        <w:rPr>
          <w:color w:val="1B2733"/>
        </w:rPr>
        <w:t xml:space="preserve">engineering reference</w:t>
      </w:r>
    </w:p>
    <w:p>
      <w:pPr>
        <w:spacing w:after="120" w:line="276"/>
      </w:pPr>
      <w:r>
        <w:rPr>
          <w:b/>
          <w:bCs/>
          <w:color w:val="1B2733"/>
        </w:rPr>
        <w:t xml:space="preserve">Audience:  </w:t>
      </w:r>
      <w:r>
        <w:rPr>
          <w:color w:val="1B2733"/>
        </w:rPr>
        <w:t xml:space="preserve">engineers, architects, security &amp; platform reviewers</w:t>
      </w:r>
    </w:p>
    <w:p>
      <w:pPr>
        <w:spacing w:after="120" w:line="276"/>
      </w:pPr>
      <w:r>
        <w:rPr>
          <w:b/>
          <w:bCs/>
          <w:color w:val="1B2733"/>
        </w:rPr>
        <w:t xml:space="preserve">Companion diagrams:  </w:t>
      </w:r>
      <w:r>
        <w:rPr>
          <w:color w:val="9B2C6F"/>
          <w:rFonts w:ascii="Consolas" w:cs="Consolas" w:eastAsia="Consolas" w:hAnsi="Consolas"/>
        </w:rPr>
        <w:t xml:space="preserve">docs/platform/diagrams/*.drawio</w:t>
      </w:r>
      <w:r>
        <w:rPr>
          <w:color w:val="1B2733"/>
        </w:rPr>
        <w:t xml:space="preserve">  (open in draw.io / the VS Code Draw.io extension)</w:t>
      </w:r>
    </w:p>
    <w:p>
      <w:pPr>
        <w:spacing w:after="120" w:line="276"/>
      </w:pPr>
      <w:r>
        <w:rPr>
          <w:b/>
          <w:bCs/>
          <w:color w:val="1B2733"/>
        </w:rPr>
        <w:t xml:space="preserve">Date:  </w:t>
      </w:r>
      <w:r>
        <w:rPr>
          <w:color w:val="1B2733"/>
        </w:rPr>
        <w:t xml:space="preserve">2026-07-17</w:t>
      </w:r>
    </w:p>
    <w:p>
      <w:r>
        <w:br w:type="page"/>
      </w:r>
    </w:p>
    <w:p>
      <w:pPr>
        <w:pStyle w:val="Heading1"/>
        <w:spacing w:before="320" w:after="140"/>
      </w:pPr>
      <w:r>
        <w:rPr>
          <w:b/>
          <w:bCs/>
          <w:color w:val="1F5C8C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20" w:after="140"/>
      </w:pPr>
      <w:r>
        <w:rPr>
          <w:b/>
          <w:bCs/>
          <w:color w:val="1F5C8C"/>
        </w:rPr>
        <w:t xml:space="preserve">1.  Executive summary</w:t>
      </w:r>
    </w:p>
    <w:p>
      <w:pPr>
        <w:spacing w:after="120" w:line="276"/>
      </w:pPr>
      <w:r>
        <w:rPr>
          <w:color w:val="1B2733"/>
        </w:rPr>
        <w:t xml:space="preserve">Windrose AI is a multi-tenant platform that puts </w:t>
      </w:r>
      <w:r>
        <w:rPr>
          <w:b/>
          <w:bCs/>
          <w:color w:val="1B2733"/>
        </w:rPr>
        <w:t xml:space="preserve">AI-assisted decisions under governance</w:t>
      </w:r>
      <w:r>
        <w:rPr>
          <w:color w:val="1B2733"/>
        </w:rPr>
        <w:t xml:space="preserve">: every automated recommendation is grounded in real data, gated by human approval, attributed with provenance, and captured as a training signal that makes the next decision cheaper and better. The hero use case is </w:t>
      </w:r>
      <w:r>
        <w:rPr>
          <w:b/>
          <w:bCs/>
          <w:color w:val="1B2733"/>
        </w:rPr>
        <w:t xml:space="preserve">insurance claims triage</w:t>
      </w:r>
      <w:r>
        <w:rPr>
          <w:color w:val="1B2733"/>
        </w:rPr>
        <w:t xml:space="preserve">, but the Core is vertical-agnostic — verticals ship as </w:t>
      </w:r>
      <w:r>
        <w:rPr>
          <w:i/>
          <w:iCs/>
          <w:color w:val="1B2733"/>
        </w:rPr>
        <w:t xml:space="preserve">packs</w:t>
      </w:r>
      <w:r>
        <w:rPr>
          <w:color w:val="1B2733"/>
        </w:rPr>
        <w:t xml:space="preserve"> on top of a frozen Core.</w:t>
      </w:r>
    </w:p>
    <w:p>
      <w:pPr>
        <w:spacing w:after="120" w:line="276"/>
      </w:pPr>
      <w:r>
        <w:rPr>
          <w:color w:val="1B2733"/>
        </w:rPr>
        <w:t xml:space="preserve">Three ideas define the platform: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B2733"/>
        </w:rPr>
        <w:t xml:space="preserve">Governed autonomy.  </w:t>
      </w:r>
      <w:r>
        <w:rPr>
          <w:color w:val="1B2733"/>
        </w:rPr>
        <w:t xml:space="preserve">Agents propose; humans approve. Every proposal carries provenance (which agent, which model rung, which evidence) and is authorized per-request against a live RBAC projection — never on trust.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B2733"/>
        </w:rPr>
        <w:t xml:space="preserve">The learning loop is the product.  </w:t>
      </w:r>
      <w:r>
        <w:rPr>
          <w:color w:val="1B2733"/>
        </w:rPr>
        <w:t xml:space="preserve">Each human correction (approve / edit / reject) becomes a labeled training pair. Those pairs curate into versioned SFT datasets, which distill into small specialized models (SLMs) that become the cheapest rung of the model ladder — closing a decision → correction → retrain → cheaper decision loop.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B2733"/>
        </w:rPr>
        <w:t xml:space="preserve">Real, no-stub, bring-your-own.  </w:t>
      </w:r>
      <w:r>
        <w:rPr>
          <w:color w:val="1B2733"/>
        </w:rPr>
        <w:t xml:space="preserve">Everything runs on real infrastructure (Postgres, Kafka, OPA, MinIO, Iceberg/Trino, Temporal, MLflow, Keycloak). Cloud, identity, secrets, and observability are pluggable so a customer can bring their own.</w:t>
      </w:r>
    </w:p>
    <w:p>
      <w:pPr>
        <w:pStyle w:val="Heading1"/>
        <w:spacing w:before="320" w:after="140"/>
      </w:pPr>
      <w:r>
        <w:rPr>
          <w:b/>
          <w:bCs/>
          <w:color w:val="1F5C8C"/>
        </w:rPr>
        <w:t xml:space="preserve">2.  Architecture at a glance</w:t>
      </w:r>
    </w:p>
    <w:p>
      <w:pPr>
        <w:spacing w:after="120" w:line="276"/>
      </w:pPr>
      <w:r>
        <w:rPr>
          <w:color w:val="1B2733"/>
        </w:rPr>
        <w:t xml:space="preserve">The platform is a set of ~22 independently deployable services across three planes, fronted by a single GraphQL BFF and a Next.js app.</w:t>
      </w:r>
    </w:p>
    <w:p>
      <w:pPr>
        <w:spacing w:after="120" w:line="276"/>
      </w:pPr>
      <w:r>
        <w:rPr>
          <w:color w:val="9B2C6F"/>
          <w:rFonts w:ascii="Consolas" w:cs="Consolas" w:eastAsia="Consolas" w:hAnsi="Consolas"/>
        </w:rPr>
        <w:t xml:space="preserve">Browser → ui-web (Next.js) → bff-graphql → domain services → data &amp; infra plane</w:t>
      </w:r>
      <w:r>
        <w:rPr>
          <w:color w:val="1B2733"/>
        </w:rPr>
        <w:t xml:space="preserve">; realtime-hub fans out SSE/WS from the Kafka event bus.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733"/>
        </w:rPr>
        <w:t xml:space="preserve">Experience plane — </w:t>
      </w:r>
      <w:r>
        <w:rPr>
          <w:color w:val="9B2C6F"/>
          <w:rFonts w:ascii="Consolas" w:cs="Consolas" w:eastAsia="Consolas" w:hAnsi="Consolas"/>
        </w:rPr>
        <w:t xml:space="preserve">ui-web</w:t>
      </w:r>
      <w:r>
        <w:rPr>
          <w:color w:val="1B2733"/>
        </w:rPr>
        <w:t xml:space="preserve"> (Next.js app, httpOnly session), </w:t>
      </w:r>
      <w:r>
        <w:rPr>
          <w:color w:val="9B2C6F"/>
          <w:rFonts w:ascii="Consolas" w:cs="Consolas" w:eastAsia="Consolas" w:hAnsi="Consolas"/>
        </w:rPr>
        <w:t xml:space="preserve">bff-graphql</w:t>
      </w:r>
      <w:r>
        <w:rPr>
          <w:color w:val="1B2733"/>
        </w:rPr>
        <w:t xml:space="preserve"> (hand-written Apollo GraphQL; the only thing the browser talks to for data).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733"/>
        </w:rPr>
        <w:t xml:space="preserve">Control &amp; governance plane — </w:t>
      </w:r>
      <w:r>
        <w:rPr>
          <w:color w:val="9B2C6F"/>
          <w:rFonts w:ascii="Consolas" w:cs="Consolas" w:eastAsia="Consolas" w:hAnsi="Consolas"/>
        </w:rPr>
        <w:t xml:space="preserve">identity-service</w:t>
      </w:r>
      <w:r>
        <w:rPr>
          <w:color w:val="1B2733"/>
        </w:rPr>
        <w:t xml:space="preserve"> (tenants, users, tokens, OIDC), </w:t>
      </w:r>
      <w:r>
        <w:rPr>
          <w:color w:val="9B2C6F"/>
          <w:rFonts w:ascii="Consolas" w:cs="Consolas" w:eastAsia="Consolas" w:hAnsi="Consolas"/>
        </w:rPr>
        <w:t xml:space="preserve">rbac-service</w:t>
      </w:r>
      <w:r>
        <w:rPr>
          <w:color w:val="1B2733"/>
        </w:rPr>
        <w:t xml:space="preserve"> (roles, capability catalog, OPA policy), </w:t>
      </w:r>
      <w:r>
        <w:rPr>
          <w:color w:val="9B2C6F"/>
          <w:rFonts w:ascii="Consolas" w:cs="Consolas" w:eastAsia="Consolas" w:hAnsi="Consolas"/>
        </w:rPr>
        <w:t xml:space="preserve">audit-service</w:t>
      </w:r>
      <w:r>
        <w:rPr>
          <w:color w:val="1B2733"/>
        </w:rPr>
        <w:t xml:space="preserve">, </w:t>
      </w:r>
      <w:r>
        <w:rPr>
          <w:color w:val="9B2C6F"/>
          <w:rFonts w:ascii="Consolas" w:cs="Consolas" w:eastAsia="Consolas" w:hAnsi="Consolas"/>
        </w:rPr>
        <w:t xml:space="preserve">usage-service</w:t>
      </w:r>
      <w:r>
        <w:rPr>
          <w:color w:val="1B2733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733"/>
        </w:rPr>
        <w:t xml:space="preserve">Domain plane — </w:t>
      </w:r>
      <w:r>
        <w:rPr>
          <w:color w:val="1B2733"/>
        </w:rPr>
        <w:t xml:space="preserve">casework, data (dataset / ingestion / query / semantic / chart), ML (experiment / inference / pipeline-orchestrator), agentic (agent-runtime / ai-gateway / tool-plane / memory), platform (realtime-hub / notification / eval).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733"/>
        </w:rPr>
        <w:t xml:space="preserve">Data &amp; infra plane — </w:t>
      </w:r>
      <w:r>
        <w:rPr>
          <w:color w:val="1B2733"/>
        </w:rPr>
        <w:t xml:space="preserve">Postgres (RLS per tenant), Redpanda/Kafka, Redis, MinIO, Iceberg + Trino, OPA, Vault, MLflow, Keycloak, Temporal, OpenSearch, ClickHouse, OTel Collector.</w:t>
      </w:r>
    </w:p>
    <w:p>
      <w:pPr>
        <w:spacing w:after="60"/>
      </w:pPr>
    </w:p>
    <w:tbl>
      <w:tblPr>
        <w:tblW w:type="dxa" w:w="9360"/>
        <w:tblBorders>
          <w:top w:val="single" w:color="C9D6E0" w:sz="2"/>
          <w:left w:val="single" w:color="1F5C8C" w:sz="18"/>
          <w:bottom w:val="single" w:color="C9D6E0" w:sz="2"/>
          <w:right w:val="single" w:color="C9D6E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7EF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5C8C"/>
                <w:sz w:val="18"/>
                <w:szCs w:val="18"/>
                <w:caps/>
              </w:rPr>
              <w:t xml:space="preserve">See</w:t>
            </w:r>
          </w:p>
          <w:p>
            <w:pPr>
              <w:spacing w:after="0" w:line="268"/>
            </w:pPr>
            <w:r>
              <w:rPr>
                <w:color w:val="1B2733"/>
              </w:rPr>
              <w:t xml:space="preserve">Diagram </w:t>
            </w:r>
            <w:r>
              <w:rPr>
                <w:b/>
                <w:bCs/>
                <w:color w:val="1B2733"/>
              </w:rPr>
              <w:t xml:space="preserve">01-system-architecture.drawio</w:t>
            </w:r>
            <w:r>
              <w:rPr>
                <w:color w:val="1B2733"/>
              </w:rPr>
              <w:t xml:space="preserve"> — the full service landscape across the four planes.</w:t>
            </w:r>
          </w:p>
        </w:tc>
      </w:tr>
    </w:tbl>
    <w:p>
      <w:pPr>
        <w:pStyle w:val="Heading1"/>
        <w:spacing w:before="320" w:after="140"/>
      </w:pPr>
      <w:r>
        <w:rPr>
          <w:b/>
          <w:bCs/>
          <w:color w:val="1F5C8C"/>
        </w:rPr>
        <w:t xml:space="preserve">3.  Service catalog</w:t>
      </w:r>
    </w:p>
    <w:p>
      <w:pPr>
        <w:spacing w:after="120" w:line="276"/>
      </w:pPr>
      <w:r>
        <w:rPr>
          <w:color w:val="1B2733"/>
        </w:rPr>
        <w:t xml:space="preserve">Every service is independently deployable, owns its schema, and is authorized per-request through OPA.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2100"/>
        <w:gridCol w:w="900"/>
        <w:gridCol w:w="620"/>
        <w:gridCol w:w="5740"/>
      </w:tblGrid>
      <w:tr>
        <w:trPr>
          <w:tblHeader/>
        </w:trPr>
        <w:tc>
          <w:tcPr>
            <w:tcW w:type="dxa" w:w="2100"/>
            <w:shd w:fill="1F5C8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900"/>
            <w:shd w:fill="1F5C8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Port</w:t>
            </w:r>
          </w:p>
        </w:tc>
        <w:tc>
          <w:tcPr>
            <w:tcW w:type="dxa" w:w="620"/>
            <w:shd w:fill="1F5C8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Lang</w:t>
            </w:r>
          </w:p>
        </w:tc>
        <w:tc>
          <w:tcPr>
            <w:tcW w:type="dxa" w:w="5740"/>
            <w:shd w:fill="1F5C8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ui-web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3000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TS/Next</w:t>
            </w:r>
          </w:p>
        </w:tc>
        <w:tc>
          <w:tcPr>
            <w:tcW w:type="dxa" w:w="57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The app. httpOnly session, per-surface capability gating, realtime patching.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bff-graphql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4000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TS</w:t>
            </w:r>
          </w:p>
        </w:tc>
        <w:tc>
          <w:tcPr>
            <w:tcW w:type="dxa" w:w="57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Single GraphQL surface for the browser; dataloaders, JWT passthrough, tenant scoping.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identity-service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8301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Go</w:t>
            </w:r>
          </w:p>
        </w:tc>
        <w:tc>
          <w:tcPr>
            <w:tcW w:type="dxa" w:w="57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Tenants, users, provisioning saga, token exchange (OBO/apikey/embed/OIDC), JWKS.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rbac-service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8302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Go</w:t>
            </w:r>
          </w:p>
        </w:tc>
        <w:tc>
          <w:tcPr>
            <w:tcW w:type="dxa" w:w="57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Roles + action catalog; OPA policy source of truth; permission projection into Redis.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ingestion-service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8303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Py</w:t>
            </w:r>
          </w:p>
        </w:tc>
        <w:tc>
          <w:tcPr>
            <w:tcW w:type="dxa" w:w="57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Bring-in data (connections, upload, streaming); decision write-back to the SoR.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dataset-service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8304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Py</w:t>
            </w:r>
          </w:p>
        </w:tc>
        <w:tc>
          <w:tcPr>
            <w:tcW w:type="dxa" w:w="57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Dataset catalog, versions, rows, profiling, lineage; Iceberg-backed.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realtime-hub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8305/8315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Go</w:t>
            </w:r>
          </w:p>
        </w:tc>
        <w:tc>
          <w:tcPr>
            <w:tcW w:type="dxa" w:w="57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SSE/WS fan-out from Kafka; per-topic OPA authz; run-status, list, chat, notifications.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agent-runtime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8306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Py</w:t>
            </w:r>
          </w:p>
        </w:tc>
        <w:tc>
          <w:tcPr>
            <w:tcW w:type="dxa" w:w="57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The agent engine, proposals, transcripts, SLM distillation control plane.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memory-service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8307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Py</w:t>
            </w:r>
          </w:p>
        </w:tc>
        <w:tc>
          <w:tcPr>
            <w:tcW w:type="dxa" w:w="57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Agent memory / RAG grounding store.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case-service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8308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Go</w:t>
            </w:r>
          </w:p>
        </w:tc>
        <w:tc>
          <w:tcPr>
            <w:tcW w:type="dxa" w:w="57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Cases (row-anchored), disposition write-back, timeline, evidence attachments.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tool-plane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8310/8311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Go</w:t>
            </w:r>
          </w:p>
        </w:tc>
        <w:tc>
          <w:tcPr>
            <w:tcW w:type="dxa" w:w="57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Tool registry + MCP gateway; governed, OBO-authorized tool execution.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ai-gateway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8312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Py</w:t>
            </w:r>
          </w:p>
        </w:tc>
        <w:tc>
          <w:tcPr>
            <w:tcW w:type="dxa" w:w="57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Provider-agnostic LLM access; the cost-aware model ladder (rung select + escalate).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pipeline-orchestrator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8313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Py</w:t>
            </w:r>
          </w:p>
        </w:tc>
        <w:tc>
          <w:tcPr>
            <w:tcW w:type="dxa" w:w="57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Data/ML pipelines on Temporal + Argo; scheduling.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experiment-service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8314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Py</w:t>
            </w:r>
          </w:p>
        </w:tc>
        <w:tc>
          <w:tcPr>
            <w:tcW w:type="dxa" w:w="57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Experiments, runs, model registry (MLflow-aligned), four-eyes promotion.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inference-service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8316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Py</w:t>
            </w:r>
          </w:p>
        </w:tc>
        <w:tc>
          <w:tcPr>
            <w:tcW w:type="dxa" w:w="57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Batch scoring jobs.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query-service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8085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Py</w:t>
            </w:r>
          </w:p>
        </w:tc>
        <w:tc>
          <w:tcPr>
            <w:tcW w:type="dxa" w:w="57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Governed SQL over the lakehouse (Trino / DuckDB pushdown).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semantic-service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8086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Py</w:t>
            </w:r>
          </w:p>
        </w:tc>
        <w:tc>
          <w:tcPr>
            <w:tcW w:type="dxa" w:w="57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Semantic models → physical query compilation.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chart-service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8320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Go</w:t>
            </w:r>
          </w:p>
        </w:tc>
        <w:tc>
          <w:tcPr>
            <w:tcW w:type="dxa" w:w="57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Chart/dashboard definitions, aggregation, cross-filter.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usage-service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8321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Go</w:t>
            </w:r>
          </w:p>
        </w:tc>
        <w:tc>
          <w:tcPr>
            <w:tcW w:type="dxa" w:w="57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Per-tenant cost/latency metering, budgets.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audit-service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8322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Go</w:t>
            </w:r>
          </w:p>
        </w:tc>
        <w:tc>
          <w:tcPr>
            <w:tcW w:type="dxa" w:w="57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Immutable audit log (WORM).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notification-service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8323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Go</w:t>
            </w:r>
          </w:p>
        </w:tc>
        <w:tc>
          <w:tcPr>
            <w:tcW w:type="dxa" w:w="57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In-app + webhook notifications, rules.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  <w:rFonts w:ascii="Consolas" w:cs="Consolas" w:eastAsia="Consolas" w:hAnsi="Consolas"/>
              </w:rPr>
              <w:t xml:space="preserve">eval-service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8324</w:t>
            </w:r>
          </w:p>
        </w:tc>
        <w:tc>
          <w:tcPr>
            <w:tcW w:type="dxa" w:w="62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Py</w:t>
            </w:r>
          </w:p>
        </w:tc>
        <w:tc>
          <w:tcPr>
            <w:tcW w:type="dxa" w:w="574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Eval suites, scorers, gates, canaries — the promotion gate for models &amp; agents.</w:t>
            </w:r>
          </w:p>
        </w:tc>
      </w:tr>
    </w:tbl>
    <w:p>
      <w:pPr>
        <w:pStyle w:val="Heading1"/>
        <w:spacing w:before="320" w:after="140"/>
      </w:pPr>
      <w:r>
        <w:rPr>
          <w:b/>
          <w:bCs/>
          <w:color w:val="1F5C8C"/>
        </w:rPr>
        <w:t xml:space="preserve">4.  Cross-cutting foundations</w:t>
      </w:r>
    </w:p>
    <w:p>
      <w:pPr>
        <w:pStyle w:val="Heading2"/>
        <w:spacing w:before="240" w:after="100"/>
      </w:pPr>
      <w:r>
        <w:rPr>
          <w:b/>
          <w:bCs/>
          <w:color w:val="1B2733"/>
        </w:rPr>
        <w:t xml:space="preserve">4.1  Multitenancy &amp; isolation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733"/>
        </w:rPr>
        <w:t xml:space="preserve">Tenant = the RLS wall.  </w:t>
      </w:r>
      <w:r>
        <w:rPr>
          <w:color w:val="1B2733"/>
        </w:rPr>
        <w:t xml:space="preserve">Every Postgres table forces Row-Level Security keyed on </w:t>
      </w:r>
      <w:r>
        <w:rPr>
          <w:color w:val="9B2C6F"/>
          <w:rFonts w:ascii="Consolas" w:cs="Consolas" w:eastAsia="Consolas" w:hAnsi="Consolas"/>
        </w:rPr>
        <w:t xml:space="preserve">app.tenant_id</w:t>
      </w:r>
      <w:r>
        <w:rPr>
          <w:color w:val="1B2733"/>
        </w:rPr>
        <w:t xml:space="preserve"> (set per transaction from the verified JWT). A workspace partitions data within a tenant; a group is a permission label.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733"/>
        </w:rPr>
        <w:t xml:space="preserve">No client-supplied tenant ever reaches a key.  </w:t>
      </w:r>
      <w:r>
        <w:rPr>
          <w:color w:val="1B2733"/>
        </w:rPr>
        <w:t xml:space="preserve">Realtime topics, DB queries, and object keys are all re-keyed from the verified JWT (</w:t>
      </w:r>
      <w:r>
        <w:rPr>
          <w:color w:val="9B2C6F"/>
          <w:rFonts w:ascii="Consolas" w:cs="Consolas" w:eastAsia="Consolas" w:hAnsi="Consolas"/>
        </w:rPr>
        <w:t xml:space="preserve">&lt;tenant&gt;/&lt;resource&gt;</w:t>
      </w:r>
      <w:r>
        <w:rPr>
          <w:color w:val="1B2733"/>
        </w:rPr>
        <w:t xml:space="preserve">).</w:t>
      </w:r>
    </w:p>
    <w:p>
      <w:pPr>
        <w:pStyle w:val="Heading2"/>
        <w:spacing w:before="240" w:after="100"/>
      </w:pPr>
      <w:r>
        <w:rPr>
          <w:b/>
          <w:bCs/>
          <w:color w:val="1B2733"/>
        </w:rPr>
        <w:t xml:space="preserve">4.2  Identity &amp; tokens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color w:val="1B2733"/>
        </w:rPr>
        <w:t xml:space="preserve">Platform JWTs are </w:t>
      </w:r>
      <w:r>
        <w:rPr>
          <w:b/>
          <w:bCs/>
          <w:color w:val="1B2733"/>
        </w:rPr>
        <w:t xml:space="preserve">RS256</w:t>
      </w:r>
      <w:r>
        <w:rPr>
          <w:color w:val="1B2733"/>
        </w:rPr>
        <w:t xml:space="preserve">, </w:t>
      </w:r>
      <w:r>
        <w:rPr>
          <w:color w:val="9B2C6F"/>
          <w:rFonts w:ascii="Consolas" w:cs="Consolas" w:eastAsia="Consolas" w:hAnsi="Consolas"/>
        </w:rPr>
        <w:t xml:space="preserve">iss=identity.windrose.ai</w:t>
      </w:r>
      <w:r>
        <w:rPr>
          <w:color w:val="1B2733"/>
        </w:rPr>
        <w:t xml:space="preserve">, </w:t>
      </w:r>
      <w:r>
        <w:rPr>
          <w:color w:val="9B2C6F"/>
          <w:rFonts w:ascii="Consolas" w:cs="Consolas" w:eastAsia="Consolas" w:hAnsi="Consolas"/>
        </w:rPr>
        <w:t xml:space="preserve">aud=windrose</w:t>
      </w:r>
      <w:r>
        <w:rPr>
          <w:color w:val="1B2733"/>
        </w:rPr>
        <w:t xml:space="preserve">, minted only by identity-service (JWKS published for every verifier).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color w:val="1B2733"/>
        </w:rPr>
        <w:t xml:space="preserve">Token exchanges: </w:t>
      </w:r>
      <w:r>
        <w:rPr>
          <w:color w:val="9B2C6F"/>
          <w:rFonts w:ascii="Consolas" w:cs="Consolas" w:eastAsia="Consolas" w:hAnsi="Consolas"/>
        </w:rPr>
        <w:t xml:space="preserve">/token/obo</w:t>
      </w:r>
      <w:r>
        <w:rPr>
          <w:color w:val="1B2733"/>
        </w:rPr>
        <w:t xml:space="preserve">, </w:t>
      </w:r>
      <w:r>
        <w:rPr>
          <w:color w:val="9B2C6F"/>
          <w:rFonts w:ascii="Consolas" w:cs="Consolas" w:eastAsia="Consolas" w:hAnsi="Consolas"/>
        </w:rPr>
        <w:t xml:space="preserve">/token/apikey</w:t>
      </w:r>
      <w:r>
        <w:rPr>
          <w:color w:val="1B2733"/>
        </w:rPr>
        <w:t xml:space="preserve">, </w:t>
      </w:r>
      <w:r>
        <w:rPr>
          <w:color w:val="9B2C6F"/>
          <w:rFonts w:ascii="Consolas" w:cs="Consolas" w:eastAsia="Consolas" w:hAnsi="Consolas"/>
        </w:rPr>
        <w:t xml:space="preserve">/token/embed</w:t>
      </w:r>
      <w:r>
        <w:rPr>
          <w:color w:val="1B2733"/>
        </w:rPr>
        <w:t xml:space="preserve">, </w:t>
      </w:r>
      <w:r>
        <w:rPr>
          <w:color w:val="9B2C6F"/>
          <w:rFonts w:ascii="Consolas" w:cs="Consolas" w:eastAsia="Consolas" w:hAnsi="Consolas"/>
        </w:rPr>
        <w:t xml:space="preserve">/token/agent</w:t>
      </w:r>
      <w:r>
        <w:rPr>
          <w:color w:val="1B2733"/>
        </w:rPr>
        <w:t xml:space="preserve"> (SPIFFE), and </w:t>
      </w:r>
      <w:r>
        <w:rPr>
          <w:color w:val="9B2C6F"/>
          <w:rFonts w:ascii="Consolas" w:cs="Consolas" w:eastAsia="Consolas" w:hAnsi="Consolas"/>
        </w:rPr>
        <w:t xml:space="preserve">/token/oidc</w:t>
      </w:r>
      <w:r>
        <w:rPr>
          <w:color w:val="1B2733"/>
        </w:rPr>
        <w:t xml:space="preserve"> (real interactive SSO — see §6.1).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733"/>
        </w:rPr>
        <w:t xml:space="preserve">BYO IdP:  </w:t>
      </w:r>
      <w:r>
        <w:rPr>
          <w:color w:val="1B2733"/>
        </w:rPr>
        <w:t xml:space="preserve">a generic OIDC IdentityProvider adapter (discovery + JWKS verify) makes Keycloak / Okta / Auth0 / Entra one config of the same path.</w:t>
      </w:r>
    </w:p>
    <w:p>
      <w:pPr>
        <w:pStyle w:val="Heading2"/>
        <w:spacing w:before="240" w:after="100"/>
      </w:pPr>
      <w:r>
        <w:rPr>
          <w:b/>
          <w:bCs/>
          <w:color w:val="1B2733"/>
        </w:rPr>
        <w:t xml:space="preserve">4.3  Authorization (RBAC + OPA)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color w:val="1B2733"/>
        </w:rPr>
        <w:t xml:space="preserve">rbac-service owns the </w:t>
      </w:r>
      <w:r>
        <w:rPr>
          <w:b/>
          <w:bCs/>
          <w:color w:val="1B2733"/>
        </w:rPr>
        <w:t xml:space="preserve">action catalog</w:t>
      </w:r>
      <w:r>
        <w:rPr>
          <w:color w:val="1B2733"/>
        </w:rPr>
        <w:t xml:space="preserve"> (</w:t>
      </w:r>
      <w:r>
        <w:rPr>
          <w:color w:val="9B2C6F"/>
          <w:rFonts w:ascii="Consolas" w:cs="Consolas" w:eastAsia="Consolas" w:hAnsi="Consolas"/>
        </w:rPr>
        <w:t xml:space="preserve">&lt;service&gt;.&lt;resource&gt;.&lt;verb&gt;</w:t>
      </w:r>
      <w:r>
        <w:rPr>
          <w:color w:val="1B2733"/>
        </w:rPr>
        <w:t xml:space="preserve">) and role→action bindings; it projects each principal's effective capabilities into Redis (</w:t>
      </w:r>
      <w:r>
        <w:rPr>
          <w:color w:val="9B2C6F"/>
          <w:rFonts w:ascii="Consolas" w:cs="Consolas" w:eastAsia="Consolas" w:hAnsi="Consolas"/>
        </w:rPr>
        <w:t xml:space="preserve">permissions_flat</w:t>
      </w:r>
      <w:r>
        <w:rPr>
          <w:color w:val="1B2733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color w:val="1B2733"/>
        </w:rPr>
        <w:t xml:space="preserve">Every service authorizes per-request through an </w:t>
      </w:r>
      <w:r>
        <w:rPr>
          <w:b/>
          <w:bCs/>
          <w:color w:val="1B2733"/>
        </w:rPr>
        <w:t xml:space="preserve">OPA sidecar</w:t>
      </w:r>
      <w:r>
        <w:rPr>
          <w:color w:val="1B2733"/>
        </w:rPr>
        <w:t xml:space="preserve"> over that projection — not JWT scopes. Two rego variants keep Go and Python services consistent.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color w:val="1B2733"/>
        </w:rPr>
        <w:t xml:space="preserve">Capabilities are </w:t>
      </w:r>
      <w:r>
        <w:rPr>
          <w:b/>
          <w:bCs/>
          <w:color w:val="1B2733"/>
        </w:rPr>
        <w:t xml:space="preserve">workspace-scoped</w:t>
      </w:r>
      <w:r>
        <w:rPr>
          <w:color w:val="1B2733"/>
        </w:rPr>
        <w:t xml:space="preserve">; a service principal may hold an explicitly-scoped action (exact match, never </w:t>
      </w:r>
      <w:r>
        <w:rPr>
          <w:color w:val="9B2C6F"/>
          <w:rFonts w:ascii="Consolas" w:cs="Consolas" w:eastAsia="Consolas" w:hAnsi="Consolas"/>
        </w:rPr>
        <w:t xml:space="preserve">*</w:t>
      </w:r>
      <w:r>
        <w:rPr>
          <w:color w:val="1B2733"/>
        </w:rPr>
        <w:t xml:space="preserve">).</w:t>
      </w:r>
    </w:p>
    <w:p>
      <w:pPr>
        <w:pStyle w:val="Heading2"/>
        <w:spacing w:before="240" w:after="100"/>
      </w:pPr>
      <w:r>
        <w:rPr>
          <w:b/>
          <w:bCs/>
          <w:color w:val="1B2733"/>
        </w:rPr>
        <w:t xml:space="preserve">4.4  Realtime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color w:val="1B2733"/>
        </w:rPr>
        <w:t xml:space="preserve">realtime-hub consumes Kafka, routes each envelope to a topic (</w:t>
      </w:r>
      <w:r>
        <w:rPr>
          <w:color w:val="9B2C6F"/>
          <w:rFonts w:ascii="Consolas" w:cs="Consolas" w:eastAsia="Consolas" w:hAnsi="Consolas"/>
        </w:rPr>
        <w:t xml:space="preserve">run-status:&lt;urn&gt;</w:t>
      </w:r>
      <w:r>
        <w:rPr>
          <w:color w:val="1B2733"/>
        </w:rPr>
        <w:t xml:space="preserve">, </w:t>
      </w:r>
      <w:r>
        <w:rPr>
          <w:color w:val="9B2C6F"/>
          <w:rFonts w:ascii="Consolas" w:cs="Consolas" w:eastAsia="Consolas" w:hAnsi="Consolas"/>
        </w:rPr>
        <w:t xml:space="preserve">list:&lt;type&gt;</w:t>
      </w:r>
      <w:r>
        <w:rPr>
          <w:color w:val="1B2733"/>
        </w:rPr>
        <w:t xml:space="preserve">, </w:t>
      </w:r>
      <w:r>
        <w:rPr>
          <w:color w:val="9B2C6F"/>
          <w:rFonts w:ascii="Consolas" w:cs="Consolas" w:eastAsia="Consolas" w:hAnsi="Consolas"/>
        </w:rPr>
        <w:t xml:space="preserve">proposal:&lt;id&gt;</w:t>
      </w:r>
      <w:r>
        <w:rPr>
          <w:color w:val="1B2733"/>
        </w:rPr>
        <w:t xml:space="preserve">, </w:t>
      </w:r>
      <w:r>
        <w:rPr>
          <w:color w:val="9B2C6F"/>
          <w:rFonts w:ascii="Consolas" w:cs="Consolas" w:eastAsia="Consolas" w:hAnsi="Consolas"/>
        </w:rPr>
        <w:t xml:space="preserve">notifications:&lt;user&gt;</w:t>
      </w:r>
      <w:r>
        <w:rPr>
          <w:color w:val="1B2733"/>
        </w:rPr>
        <w:t xml:space="preserve">, </w:t>
      </w:r>
      <w:r>
        <w:rPr>
          <w:color w:val="9B2C6F"/>
          <w:rFonts w:ascii="Consolas" w:cs="Consolas" w:eastAsia="Consolas" w:hAnsi="Consolas"/>
        </w:rPr>
        <w:t xml:space="preserve">chat:&lt;session&gt;</w:t>
      </w:r>
      <w:r>
        <w:rPr>
          <w:color w:val="1B2733"/>
        </w:rPr>
        <w:t xml:space="preserve">) and fans out over SSE (primary) / WS with per-topic OPA authz, Redis pub/sub cross-pod, and a replay ring for resume.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color w:val="1B2733"/>
        </w:rPr>
        <w:t xml:space="preserve">The UI subscribes via a single-use ticket; a </w:t>
      </w:r>
      <w:r>
        <w:rPr>
          <w:b/>
          <w:bCs/>
          <w:color w:val="1B2733"/>
        </w:rPr>
        <w:t xml:space="preserve">bridge</w:t>
      </w:r>
      <w:r>
        <w:rPr>
          <w:color w:val="1B2733"/>
        </w:rPr>
        <w:t xml:space="preserve"> translates each wire frame into a TanStack-Query cache patch, so status updates land without a refetch (see §6.3).</w:t>
      </w:r>
    </w:p>
    <w:p>
      <w:pPr>
        <w:pStyle w:val="Heading2"/>
        <w:spacing w:before="240" w:after="100"/>
      </w:pPr>
      <w:r>
        <w:rPr>
          <w:b/>
          <w:bCs/>
          <w:color w:val="1B2733"/>
        </w:rPr>
        <w:t xml:space="preserve">4.5  Observability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color w:val="1B2733"/>
        </w:rPr>
        <w:t xml:space="preserve">OpenTelemetry tracing + RED metrics across all services (env-gated, dependency-free Python shim), exported to the OTel Collector; JSON structured logging.</w:t>
      </w:r>
    </w:p>
    <w:p>
      <w:pPr>
        <w:pStyle w:val="Heading1"/>
        <w:spacing w:before="320" w:after="140"/>
      </w:pPr>
      <w:r>
        <w:rPr>
          <w:b/>
          <w:bCs/>
          <w:color w:val="1F5C8C"/>
        </w:rPr>
        <w:t xml:space="preserve">5.  The governed decision + learning loop</w:t>
      </w:r>
    </w:p>
    <w:p>
      <w:pPr>
        <w:spacing w:after="120" w:line="276"/>
      </w:pPr>
      <w:r>
        <w:rPr>
          <w:b/>
          <w:bCs/>
          <w:i/>
          <w:iCs/>
          <w:color w:val="1F5C8C"/>
        </w:rPr>
        <w:t xml:space="preserve">The differentiator. </w:t>
      </w:r>
      <w:r>
        <w:rPr>
          <w:color w:val="1B2733"/>
        </w:rPr>
        <w:t xml:space="preserve">This is the flow that makes Windrose self-improving. It spans the casework, agentic, and ML planes.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B2733"/>
        </w:rPr>
        <w:t xml:space="preserve">Intake.  </w:t>
      </w:r>
      <w:r>
        <w:rPr>
          <w:color w:val="1B2733"/>
        </w:rPr>
        <w:t xml:space="preserve">Data is ingested → landed as a versioned dataset in the lakehouse. A case is created anchored to a real row (dataset_urn, version, row_pk) with a display projection + provenance.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B2733"/>
        </w:rPr>
        <w:t xml:space="preserve">Reason.  </w:t>
      </w:r>
      <w:r>
        <w:rPr>
          <w:color w:val="1B2733"/>
        </w:rPr>
        <w:t xml:space="preserve">An agent runs a governed graph: it retrieves grounding (memory/RAG), calls the ai-gateway which routes to the cheapest capable model rung, and may call governed tools (tool-plane, OBO-authorized).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B2733"/>
        </w:rPr>
        <w:t xml:space="preserve">Propose, don't act.  </w:t>
      </w:r>
      <w:r>
        <w:rPr>
          <w:color w:val="1B2733"/>
        </w:rPr>
        <w:t xml:space="preserve">The agent emits a proposal (write-intent + rationale + affected URNs + predicted effect), never a direct mutation. Captured with full provenance.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B2733"/>
        </w:rPr>
        <w:t xml:space="preserve">Human decides (four-eyes).  </w:t>
      </w:r>
      <w:r>
        <w:rPr>
          <w:color w:val="1B2733"/>
        </w:rPr>
        <w:t xml:space="preserve">A reviewer approves / edits / rejects in the inbox. Four-eyes prevents self-approval. On approval the write-back is executed (a disposition synced to the tenant's system of record via governed ingestion adapters).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B2733"/>
        </w:rPr>
        <w:t xml:space="preserve">Capture the signal.  </w:t>
      </w:r>
      <w:r>
        <w:rPr>
          <w:color w:val="1B2733"/>
        </w:rPr>
        <w:t xml:space="preserve">The whole exchange — inputs, grounding, proposed action, the human decision, and the corrected output on an edit — is written to a transcript (M1), PII-redacted, consent-gated.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B2733"/>
        </w:rPr>
        <w:t xml:space="preserve">Curate.  </w:t>
      </w:r>
      <w:r>
        <w:rPr>
          <w:color w:val="1B2733"/>
        </w:rPr>
        <w:t xml:space="preserve">Consented, decided transcripts curate into a versioned SFT dataset (M2): an edit becomes a gold input → corrected-output pair; an approval becomes an accepted-action pair. Immutable, checksummed, per archetype.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B2733"/>
        </w:rPr>
        <w:t xml:space="preserve">Distill (GPU).  </w:t>
      </w:r>
      <w:r>
        <w:rPr>
          <w:color w:val="1B2733"/>
        </w:rPr>
        <w:t xml:space="preserve">A training job (M3) LoRA-fine-tunes a small open student on the archetype's SFT dataset → a candidate adapter registered in MLflow.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B2733"/>
        </w:rPr>
        <w:t xml:space="preserve">Gate &amp; promote.  </w:t>
      </w:r>
      <w:r>
        <w:rPr>
          <w:color w:val="1B2733"/>
        </w:rPr>
        <w:t xml:space="preserve">The candidate must pass its archetype's eval suite (eval-service); an admin then promotes it (M4) as the cheapest bottom rung of the tenant's ai-gateway ladder, with a confidence-based escalation threshold. Rollback = demote the rung.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B2733"/>
        </w:rPr>
        <w:t xml:space="preserve">Save &amp; repeat.  </w:t>
      </w:r>
      <w:r>
        <w:rPr>
          <w:color w:val="1B2733"/>
        </w:rPr>
        <w:t xml:space="preserve">usage-service tracks the per-tenant spend/latency the new rung saves; rising escalation triggers retrain (M5). The loop closes.</w:t>
      </w:r>
    </w:p>
    <w:p>
      <w:pPr>
        <w:spacing w:after="60"/>
      </w:pPr>
    </w:p>
    <w:tbl>
      <w:tblPr>
        <w:tblW w:type="dxa" w:w="9360"/>
        <w:tblBorders>
          <w:top w:val="single" w:color="C9D6E0" w:sz="2"/>
          <w:left w:val="single" w:color="1F5C8C" w:sz="18"/>
          <w:bottom w:val="single" w:color="C9D6E0" w:sz="2"/>
          <w:right w:val="single" w:color="C9D6E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7EF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5C8C"/>
                <w:sz w:val="18"/>
                <w:szCs w:val="18"/>
                <w:caps/>
              </w:rPr>
              <w:t xml:space="preserve">Design note (honesty)</w:t>
            </w:r>
          </w:p>
          <w:p>
            <w:pPr>
              <w:spacing w:after="0" w:line="268"/>
            </w:pPr>
            <w:r>
              <w:rPr>
                <w:color w:val="1B2733"/>
              </w:rPr>
              <w:t xml:space="preserve">M1–M2 are built and live-verified; the </w:t>
            </w:r>
            <w:r>
              <w:rPr>
                <w:b/>
                <w:bCs/>
                <w:color w:val="1B2733"/>
              </w:rPr>
              <w:t xml:space="preserve">M3 control plane</w:t>
            </w:r>
            <w:r>
              <w:rPr>
                <w:color w:val="1B2733"/>
              </w:rPr>
              <w:t xml:space="preserve"> (jobs, adapters, promotion lifecycle, archetypes, GPU node pools) is built and unit-tested, with the actual GPU LoRA compute </w:t>
            </w:r>
            <w:r>
              <w:rPr>
                <w:b/>
                <w:bCs/>
                <w:color w:val="1B2733"/>
              </w:rPr>
              <w:t xml:space="preserve">behind a typed port</w:t>
            </w:r>
            <w:r>
              <w:rPr>
                <w:color w:val="1B2733"/>
              </w:rPr>
              <w:t xml:space="preserve"> (</w:t>
            </w:r>
            <w:r>
              <w:rPr>
                <w:color w:val="9B2C6F"/>
                <w:rFonts w:ascii="Consolas" w:cs="Consolas" w:eastAsia="Consolas" w:hAnsi="Consolas"/>
              </w:rPr>
              <w:t xml:space="preserve">GpuTrainer</w:t>
            </w:r>
            <w:r>
              <w:rPr>
                <w:color w:val="1B2733"/>
              </w:rPr>
              <w:t xml:space="preserve">) that fails honestly (</w:t>
            </w:r>
            <w:r>
              <w:rPr>
                <w:color w:val="9B2C6F"/>
                <w:rFonts w:ascii="Consolas" w:cs="Consolas" w:eastAsia="Consolas" w:hAnsi="Consolas"/>
              </w:rPr>
              <w:t xml:space="preserve">GpuTrainerNotConfigured</w:t>
            </w:r>
            <w:r>
              <w:rPr>
                <w:color w:val="1B2733"/>
              </w:rPr>
              <w:t xml:space="preserve">) when no GPU executor is wired — a submitted job lands in </w:t>
            </w:r>
            <w:r>
              <w:rPr>
                <w:color w:val="9B2C6F"/>
                <w:rFonts w:ascii="Consolas" w:cs="Consolas" w:eastAsia="Consolas" w:hAnsi="Consolas"/>
              </w:rPr>
              <w:t xml:space="preserve">failed</w:t>
            </w:r>
            <w:r>
              <w:rPr>
                <w:color w:val="1B2733"/>
              </w:rPr>
              <w:t xml:space="preserve"> with a clear reason, never a fabricated adapter. M4/M5 serving + retrain are the GPU-gated follow-ons.</w:t>
            </w:r>
          </w:p>
        </w:tc>
      </w:tr>
    </w:tbl>
    <w:p>
      <w:pPr>
        <w:spacing w:after="40"/>
      </w:pPr>
    </w:p>
    <w:tbl>
      <w:tblPr>
        <w:tblW w:type="dxa" w:w="9360"/>
        <w:tblBorders>
          <w:top w:val="single" w:color="C9D6E0" w:sz="2"/>
          <w:left w:val="single" w:color="1F5C8C" w:sz="18"/>
          <w:bottom w:val="single" w:color="C9D6E0" w:sz="2"/>
          <w:right w:val="single" w:color="C9D6E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7EF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5C8C"/>
                <w:sz w:val="18"/>
                <w:szCs w:val="18"/>
                <w:caps/>
              </w:rPr>
              <w:t xml:space="preserve">See</w:t>
            </w:r>
          </w:p>
          <w:p>
            <w:pPr>
              <w:spacing w:after="0" w:line="268"/>
            </w:pPr>
            <w:r>
              <w:rPr>
                <w:color w:val="1B2733"/>
              </w:rPr>
              <w:t xml:space="preserve">Diagram </w:t>
            </w:r>
            <w:r>
              <w:rPr>
                <w:b/>
                <w:bCs/>
                <w:color w:val="1B2733"/>
              </w:rPr>
              <w:t xml:space="preserve">02-decision-learning-loop.drawio</w:t>
            </w:r>
            <w:r>
              <w:rPr>
                <w:color w:val="1B2733"/>
              </w:rPr>
              <w:t xml:space="preserve"> — intake → propose → decide → transcript → SFT → distill → cheaper rung.</w:t>
            </w:r>
          </w:p>
        </w:tc>
      </w:tr>
    </w:tbl>
    <w:p>
      <w:pPr>
        <w:pStyle w:val="Heading1"/>
        <w:spacing w:before="320" w:after="140"/>
      </w:pPr>
      <w:r>
        <w:rPr>
          <w:b/>
          <w:bCs/>
          <w:color w:val="1F5C8C"/>
        </w:rPr>
        <w:t xml:space="preserve">6.  Key workflows</w:t>
      </w:r>
    </w:p>
    <w:p>
      <w:pPr>
        <w:pStyle w:val="Heading2"/>
        <w:spacing w:before="240" w:after="100"/>
      </w:pPr>
      <w:r>
        <w:rPr>
          <w:b/>
          <w:bCs/>
          <w:color w:val="1B2733"/>
        </w:rPr>
        <w:t xml:space="preserve">6.1  Real OIDC SSO login (BYO identity)</w:t>
      </w:r>
    </w:p>
    <w:p>
      <w:pPr>
        <w:spacing w:after="120" w:line="276"/>
      </w:pPr>
      <w:r>
        <w:rPr>
          <w:color w:val="1B2733"/>
        </w:rPr>
        <w:t xml:space="preserve">The web tier runs the OAuth </w:t>
      </w:r>
      <w:r>
        <w:rPr>
          <w:b/>
          <w:bCs/>
          <w:color w:val="1B2733"/>
        </w:rPr>
        <w:t xml:space="preserve">Authorization-Code + PKCE</w:t>
      </w:r>
      <w:r>
        <w:rPr>
          <w:color w:val="1B2733"/>
        </w:rPr>
        <w:t xml:space="preserve"> dance; identity-service verifies and mints the session — signing stays server-side.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B2733"/>
        </w:rPr>
        <w:t xml:space="preserve">User clicks Sign in with SSO → </w:t>
      </w:r>
      <w:r>
        <w:rPr>
          <w:color w:val="9B2C6F"/>
          <w:rFonts w:ascii="Consolas" w:cs="Consolas" w:eastAsia="Consolas" w:hAnsi="Consolas"/>
        </w:rPr>
        <w:t xml:space="preserve">ui-web /api/auth/oidc/start</w:t>
      </w:r>
      <w:r>
        <w:rPr>
          <w:color w:val="1B2733"/>
        </w:rPr>
        <w:t xml:space="preserve"> discovers the IdP, generates a PKCE verifier + state (httpOnly cookies), 302-redirects to the IdP authorize endpoint.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B2733"/>
        </w:rPr>
        <w:t xml:space="preserve">User authenticates at the IdP (Keycloak locally; Okta/Auth0/Entra in prod).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B2733"/>
        </w:rPr>
        <w:t xml:space="preserve">IdP redirects to </w:t>
      </w:r>
      <w:r>
        <w:rPr>
          <w:color w:val="9B2C6F"/>
          <w:rFonts w:ascii="Consolas" w:cs="Consolas" w:eastAsia="Consolas" w:hAnsi="Consolas"/>
        </w:rPr>
        <w:t xml:space="preserve">ui-web /api/auth/callback</w:t>
      </w:r>
      <w:r>
        <w:rPr>
          <w:color w:val="1B2733"/>
        </w:rPr>
        <w:t xml:space="preserve"> with a code → the callback exchanges the code (with the PKCE verifier) at the IdP token endpoint → gets an ID token.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B2733"/>
        </w:rPr>
        <w:t xml:space="preserve">Callback POSTs the ID token to identity-service </w:t>
      </w:r>
      <w:r>
        <w:rPr>
          <w:color w:val="9B2C6F"/>
          <w:rFonts w:ascii="Consolas" w:cs="Consolas" w:eastAsia="Consolas" w:hAnsi="Consolas"/>
        </w:rPr>
        <w:t xml:space="preserve">/token/oidc</w:t>
      </w:r>
      <w:r>
        <w:rPr>
          <w:color w:val="1B2733"/>
        </w:rPr>
        <w:t xml:space="preserve">, which verifies it against the IdP's JWKS, resolves the Windrose user by email within the tenant, and mints the platform session JWT (</w:t>
      </w:r>
      <w:r>
        <w:rPr>
          <w:color w:val="9B2C6F"/>
          <w:rFonts w:ascii="Consolas" w:cs="Consolas" w:eastAsia="Consolas" w:hAnsi="Consolas"/>
        </w:rPr>
        <w:t xml:space="preserve">typ=user</w:t>
      </w:r>
      <w:r>
        <w:rPr>
          <w:color w:val="1B2733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B2733"/>
        </w:rPr>
        <w:t xml:space="preserve">The session cookie is set; the user lands authenticated. Downstream authorization runs off the RBAC projection.</w:t>
      </w:r>
    </w:p>
    <w:p>
      <w:pPr>
        <w:spacing w:after="120" w:line="276"/>
      </w:pPr>
      <w:r>
        <w:rPr>
          <w:b/>
          <w:bCs/>
          <w:color w:val="1B2733"/>
        </w:rPr>
        <w:t xml:space="preserve">Embed federation (</w:t>
      </w:r>
      <w:r>
        <w:rPr>
          <w:color w:val="9B2C6F"/>
          <w:rFonts w:ascii="Consolas" w:cs="Consolas" w:eastAsia="Consolas" w:hAnsi="Consolas"/>
        </w:rPr>
        <w:t xml:space="preserve">/token/embed/oidc</w:t>
      </w:r>
      <w:r>
        <w:rPr>
          <w:b/>
          <w:bCs/>
          <w:color w:val="1B2733"/>
        </w:rPr>
        <w:t xml:space="preserve">):  </w:t>
      </w:r>
      <w:r>
        <w:rPr>
          <w:color w:val="1B2733"/>
        </w:rPr>
        <w:t xml:space="preserve">the same verify path mints a per-user, workspace-scoped embed token from the end user's OIDC ID token (no shared secret) for an embedded Windrose surface.</w:t>
      </w:r>
    </w:p>
    <w:p>
      <w:pPr>
        <w:spacing w:after="40"/>
      </w:pPr>
    </w:p>
    <w:tbl>
      <w:tblPr>
        <w:tblW w:type="dxa" w:w="9360"/>
        <w:tblBorders>
          <w:top w:val="single" w:color="C9D6E0" w:sz="2"/>
          <w:left w:val="single" w:color="1F5C8C" w:sz="18"/>
          <w:bottom w:val="single" w:color="C9D6E0" w:sz="2"/>
          <w:right w:val="single" w:color="C9D6E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7EF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5C8C"/>
                <w:sz w:val="18"/>
                <w:szCs w:val="18"/>
                <w:caps/>
              </w:rPr>
              <w:t xml:space="preserve">See</w:t>
            </w:r>
          </w:p>
          <w:p>
            <w:pPr>
              <w:spacing w:after="0" w:line="268"/>
            </w:pPr>
            <w:r>
              <w:rPr>
                <w:color w:val="1B2733"/>
              </w:rPr>
              <w:t xml:space="preserve">Diagram </w:t>
            </w:r>
            <w:r>
              <w:rPr>
                <w:b/>
                <w:bCs/>
                <w:color w:val="1B2733"/>
              </w:rPr>
              <w:t xml:space="preserve">03-oidc-login-sequence.drawio</w:t>
            </w:r>
            <w:r>
              <w:rPr>
                <w:color w:val="1B2733"/>
              </w:rPr>
              <w:t xml:space="preserve"> — the PKCE login sequence across Browser, ui-web, IdP, and identity-service.</w:t>
            </w:r>
          </w:p>
        </w:tc>
      </w:tr>
    </w:tbl>
    <w:p>
      <w:pPr>
        <w:pStyle w:val="Heading2"/>
        <w:spacing w:before="240" w:after="100"/>
      </w:pPr>
      <w:r>
        <w:rPr>
          <w:b/>
          <w:bCs/>
          <w:color w:val="1B2733"/>
        </w:rPr>
        <w:t xml:space="preserve">6.2  Governed agent decision → write-back</w:t>
      </w:r>
    </w:p>
    <w:p>
      <w:pPr>
        <w:spacing w:after="120" w:line="276"/>
      </w:pPr>
      <w:r>
        <w:rPr>
          <w:color w:val="1B2733"/>
        </w:rPr>
        <w:t xml:space="preserve">See §5 steps 2–4. Key guarantees: proposals are inert until approved; four-eyes; tool calls are OBO-authorized and a downstream 4xx surfaces as a </w:t>
      </w:r>
      <w:r>
        <w:rPr>
          <w:b/>
          <w:bCs/>
          <w:color w:val="1B2733"/>
        </w:rPr>
        <w:t xml:space="preserve">real failure</w:t>
      </w:r>
      <w:r>
        <w:rPr>
          <w:color w:val="1B2733"/>
        </w:rPr>
        <w:t xml:space="preserve"> (never a silent success); the write-back is a governed, proposal-mode SoR sync.</w:t>
      </w:r>
    </w:p>
    <w:p>
      <w:pPr>
        <w:pStyle w:val="Heading2"/>
        <w:spacing w:before="240" w:after="100"/>
      </w:pPr>
      <w:r>
        <w:rPr>
          <w:b/>
          <w:bCs/>
          <w:color w:val="1B2733"/>
        </w:rPr>
        <w:t xml:space="preserve">6.3  Realtime live status (no refresh)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B2733"/>
        </w:rPr>
        <w:t xml:space="preserve">A resource changes (dataset profiled, run status, case updated) → the owning service emits a Kafka envelope with </w:t>
      </w:r>
      <w:r>
        <w:rPr>
          <w:color w:val="9B2C6F"/>
          <w:rFonts w:ascii="Consolas" w:cs="Consolas" w:eastAsia="Consolas" w:hAnsi="Consolas"/>
        </w:rPr>
        <w:t xml:space="preserve">resource_urn</w:t>
      </w:r>
      <w:r>
        <w:rPr>
          <w:color w:val="1B2733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B2733"/>
        </w:rPr>
        <w:t xml:space="preserve">realtime-hub routes it to </w:t>
      </w:r>
      <w:r>
        <w:rPr>
          <w:color w:val="9B2C6F"/>
          <w:rFonts w:ascii="Consolas" w:cs="Consolas" w:eastAsia="Consolas" w:hAnsi="Consolas"/>
        </w:rPr>
        <w:t xml:space="preserve">run-status:&lt;urn&gt;</w:t>
      </w:r>
      <w:r>
        <w:rPr>
          <w:color w:val="1B2733"/>
        </w:rPr>
        <w:t xml:space="preserve"> (detail pages) and additively to </w:t>
      </w:r>
      <w:r>
        <w:rPr>
          <w:color w:val="9B2C6F"/>
          <w:rFonts w:ascii="Consolas" w:cs="Consolas" w:eastAsia="Consolas" w:hAnsi="Consolas"/>
        </w:rPr>
        <w:t xml:space="preserve">list:&lt;type&gt;</w:t>
      </w:r>
      <w:r>
        <w:rPr>
          <w:color w:val="1B2733"/>
        </w:rPr>
        <w:t xml:space="preserve"> (list pages), and fans out over SSE.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color w:val="1B2733"/>
        </w:rPr>
        <w:t xml:space="preserve">The UI's </w:t>
      </w:r>
      <w:r>
        <w:rPr>
          <w:color w:val="9B2C6F"/>
          <w:rFonts w:ascii="Consolas" w:cs="Consolas" w:eastAsia="Consolas" w:hAnsi="Consolas"/>
        </w:rPr>
        <w:t xml:space="preserve">useHubTopics</w:t>
      </w:r>
      <w:r>
        <w:rPr>
          <w:color w:val="1B2733"/>
        </w:rPr>
        <w:t xml:space="preserve"> opens an SSE stream (single-use ticket), and a bridge translates each frame into the patcher contract, so the matching TanStack-Query cache row is patched in place — the status chip flips with no refetch and no detail page open.</w:t>
      </w:r>
    </w:p>
    <w:p>
      <w:pPr>
        <w:pStyle w:val="ListParagraph"/>
        <w:numPr>
          <w:ilvl w:val="0"/>
          <w:numId w:val="2"/>
        </w:numPr>
        <w:spacing w:after="80" w:line="272"/>
      </w:pPr>
      <w:r>
        <w:rPr>
          <w:b/>
          <w:bCs/>
          <w:color w:val="1B2733"/>
        </w:rPr>
        <w:t xml:space="preserve">Safe by design:  </w:t>
      </w:r>
      <w:r>
        <w:rPr>
          <w:color w:val="1B2733"/>
        </w:rPr>
        <w:t xml:space="preserve">patchers only mutate rows already in the caller's RBAC-scoped cache (no cross-workspace row insertion).</w:t>
      </w:r>
    </w:p>
    <w:p>
      <w:pPr>
        <w:spacing w:after="40"/>
      </w:pPr>
    </w:p>
    <w:tbl>
      <w:tblPr>
        <w:tblW w:type="dxa" w:w="9360"/>
        <w:tblBorders>
          <w:top w:val="single" w:color="C9D6E0" w:sz="2"/>
          <w:left w:val="single" w:color="1F5C8C" w:sz="18"/>
          <w:bottom w:val="single" w:color="C9D6E0" w:sz="2"/>
          <w:right w:val="single" w:color="C9D6E0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7EFF6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b/>
                <w:bCs/>
                <w:color w:val="1F5C8C"/>
                <w:sz w:val="18"/>
                <w:szCs w:val="18"/>
                <w:caps/>
              </w:rPr>
              <w:t xml:space="preserve">See</w:t>
            </w:r>
          </w:p>
          <w:p>
            <w:pPr>
              <w:spacing w:after="0" w:line="268"/>
            </w:pPr>
            <w:r>
              <w:rPr>
                <w:color w:val="1B2733"/>
              </w:rPr>
              <w:t xml:space="preserve">Diagram </w:t>
            </w:r>
            <w:r>
              <w:rPr>
                <w:b/>
                <w:bCs/>
                <w:color w:val="1B2733"/>
              </w:rPr>
              <w:t xml:space="preserve">04-realtime-live-status.drawio</w:t>
            </w:r>
            <w:r>
              <w:rPr>
                <w:color w:val="1B2733"/>
              </w:rPr>
              <w:t xml:space="preserve"> — Kafka → hub → SSE → bridge → cache patch.</w:t>
            </w:r>
          </w:p>
        </w:tc>
      </w:tr>
    </w:tbl>
    <w:p>
      <w:pPr>
        <w:pStyle w:val="Heading2"/>
        <w:spacing w:before="240" w:after="100"/>
      </w:pPr>
      <w:r>
        <w:rPr>
          <w:b/>
          <w:bCs/>
          <w:color w:val="1B2733"/>
        </w:rPr>
        <w:t xml:space="preserve">6.4  Case evidence</w:t>
      </w:r>
    </w:p>
    <w:p>
      <w:pPr>
        <w:spacing w:after="120" w:line="276"/>
      </w:pPr>
      <w:r>
        <w:rPr>
          <w:color w:val="1B2733"/>
        </w:rPr>
        <w:t xml:space="preserve">Attach / list / download real files on a case: a MinIO-backed blob store + case-service endpoints (multipart upload with a size cap, streamed download with </w:t>
      </w:r>
      <w:r>
        <w:rPr>
          <w:color w:val="9B2C6F"/>
          <w:rFonts w:ascii="Consolas" w:cs="Consolas" w:eastAsia="Consolas" w:hAnsi="Consolas"/>
        </w:rPr>
        <w:t xml:space="preserve">Content-Disposition</w:t>
      </w:r>
      <w:r>
        <w:rPr>
          <w:color w:val="1B2733"/>
        </w:rPr>
        <w:t xml:space="preserve">), gated by </w:t>
      </w:r>
      <w:r>
        <w:rPr>
          <w:color w:val="9B2C6F"/>
          <w:rFonts w:ascii="Consolas" w:cs="Consolas" w:eastAsia="Consolas" w:hAnsi="Consolas"/>
        </w:rPr>
        <w:t xml:space="preserve">case.evidence.*</w:t>
      </w:r>
      <w:r>
        <w:rPr>
          <w:color w:val="1B2733"/>
        </w:rPr>
        <w:t xml:space="preserve"> capabilities, surfaced as an Attachments tab.</w:t>
      </w:r>
    </w:p>
    <w:p>
      <w:pPr>
        <w:pStyle w:val="Heading2"/>
        <w:spacing w:before="240" w:after="100"/>
      </w:pPr>
      <w:r>
        <w:rPr>
          <w:b/>
          <w:bCs/>
          <w:color w:val="1B2733"/>
        </w:rPr>
        <w:t xml:space="preserve">6.5  SLM distillation control plane</w:t>
      </w:r>
    </w:p>
    <w:p>
      <w:pPr>
        <w:spacing w:after="120" w:line="276"/>
      </w:pPr>
      <w:r>
        <w:rPr>
          <w:color w:val="9B2C6F"/>
          <w:rFonts w:ascii="Consolas" w:cs="Consolas" w:eastAsia="Consolas" w:hAnsi="Consolas"/>
        </w:rPr>
        <w:t xml:space="preserve">POST /training-jobs</w:t>
      </w:r>
      <w:r>
        <w:rPr>
          <w:color w:val="1B2733"/>
        </w:rPr>
        <w:t xml:space="preserve"> (against a versioned SFT dataset) → track lifecycle → </w:t>
      </w:r>
      <w:r>
        <w:rPr>
          <w:color w:val="9B2C6F"/>
          <w:rFonts w:ascii="Consolas" w:cs="Consolas" w:eastAsia="Consolas" w:hAnsi="Consolas"/>
        </w:rPr>
        <w:t xml:space="preserve">POST /slm-adapters/{id}/promote</w:t>
      </w:r>
      <w:r>
        <w:rPr>
          <w:color w:val="1B2733"/>
        </w:rPr>
        <w:t xml:space="preserve"> (eval-gated) / </w:t>
      </w:r>
      <w:r>
        <w:rPr>
          <w:color w:val="9B2C6F"/>
          <w:rFonts w:ascii="Consolas" w:cs="Consolas" w:eastAsia="Consolas" w:hAnsi="Consolas"/>
        </w:rPr>
        <w:t xml:space="preserve">demote</w:t>
      </w:r>
      <w:r>
        <w:rPr>
          <w:color w:val="1B2733"/>
        </w:rPr>
        <w:t xml:space="preserve">. GPU compute behind the honest </w:t>
      </w:r>
      <w:r>
        <w:rPr>
          <w:color w:val="9B2C6F"/>
          <w:rFonts w:ascii="Consolas" w:cs="Consolas" w:eastAsia="Consolas" w:hAnsi="Consolas"/>
        </w:rPr>
        <w:t xml:space="preserve">GpuTrainer</w:t>
      </w:r>
      <w:r>
        <w:rPr>
          <w:color w:val="1B2733"/>
        </w:rPr>
        <w:t xml:space="preserve"> port; GPU node pools ship as off-by-default, scale-to-zero Terraform for GKE/AKS/EKS + a gated Helm training Job.</w:t>
      </w:r>
    </w:p>
    <w:p>
      <w:pPr>
        <w:pStyle w:val="Heading1"/>
        <w:spacing w:before="320" w:after="140"/>
      </w:pPr>
      <w:r>
        <w:rPr>
          <w:b/>
          <w:bCs/>
          <w:color w:val="1F5C8C"/>
        </w:rPr>
        <w:t xml:space="preserve">7.  Testing strategy</w:t>
      </w:r>
    </w:p>
    <w:p>
      <w:pPr>
        <w:spacing w:after="120" w:line="276"/>
      </w:pPr>
      <w:r>
        <w:rPr>
          <w:color w:val="1B2733"/>
        </w:rPr>
        <w:t xml:space="preserve">The platform is verified at four levels — the rule is </w:t>
      </w:r>
      <w:r>
        <w:rPr>
          <w:i/>
          <w:iCs/>
          <w:color w:val="1B2733"/>
        </w:rPr>
        <w:t xml:space="preserve">real, no-fake, e2e-testable on a laptop</w:t>
      </w:r>
      <w:r>
        <w:rPr>
          <w:color w:val="1B2733"/>
        </w:rPr>
        <w:t xml:space="preserve">.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1900"/>
        <w:gridCol w:w="4360"/>
        <w:gridCol w:w="3100"/>
      </w:tblGrid>
      <w:tr>
        <w:trPr>
          <w:tblHeader/>
        </w:trPr>
        <w:tc>
          <w:tcPr>
            <w:tcW w:type="dxa" w:w="1900"/>
            <w:shd w:fill="1F5C8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4360"/>
            <w:shd w:fill="1F5C8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3100"/>
            <w:shd w:fill="1F5C8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B2733"/>
                <w:sz w:val="18"/>
                <w:szCs w:val="18"/>
              </w:rPr>
              <w:t xml:space="preserve">Unit</w:t>
            </w:r>
          </w:p>
        </w:tc>
        <w:tc>
          <w:tcPr>
            <w:tcW w:type="dxa" w:w="4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Pure domain logic, state machines, adapters, rego policy parity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per-service tests/ (go test, pytest, opa test)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B2733"/>
                <w:sz w:val="18"/>
                <w:szCs w:val="18"/>
              </w:rPr>
              <w:t xml:space="preserve">Contract</w:t>
            </w:r>
          </w:p>
        </w:tc>
        <w:tc>
          <w:tcPr>
            <w:tcW w:type="dxa" w:w="4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BFF ↔ service shapes, dataloaders, envelope contracts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bff-graphql/tests (vitest)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B2733"/>
                <w:sz w:val="18"/>
                <w:szCs w:val="18"/>
              </w:rPr>
              <w:t xml:space="preserve">Live-stack E2E</w:t>
            </w:r>
          </w:p>
        </w:tc>
        <w:tc>
          <w:tcPr>
            <w:tcW w:type="dxa" w:w="4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Real UI → real BFF → real 22 services → real infra, nothing mocked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ui-web/tests-live/*.spec.ts (Playwright)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B2733"/>
                <w:sz w:val="18"/>
                <w:szCs w:val="18"/>
              </w:rPr>
              <w:t xml:space="preserve">Scripted live</w:t>
            </w:r>
          </w:p>
        </w:tc>
        <w:tc>
          <w:tcPr>
            <w:tcW w:type="dxa" w:w="43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Direct-to-service / hub SSE + publish proofs, learning-loop hero journey</w:t>
            </w:r>
          </w:p>
        </w:tc>
        <w:tc>
          <w:tcPr>
            <w:tcW w:type="dxa" w:w="31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deploy/e2e/driver.py, ad-hoc harness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color w:val="1B2733"/>
        </w:rPr>
        <w:t xml:space="preserve">Live E2E has repeatedly surfaced real bugs that unit tests could not — a dead SSE→cache bridge, a </w:t>
      </w:r>
      <w:r>
        <w:rPr>
          <w:color w:val="9B2C6F"/>
          <w:rFonts w:ascii="Consolas" w:cs="Consolas" w:eastAsia="Consolas" w:hAnsi="Consolas"/>
        </w:rPr>
        <w:t xml:space="preserve">dueDate</w:t>
      </w:r>
      <w:r>
        <w:rPr>
          <w:color w:val="1B2733"/>
        </w:rPr>
        <w:t xml:space="preserve"> 422, an assignee-directory RBAC gap, a model-URN separator that broke all inference. The suite runs against the booted local stack (</w:t>
      </w:r>
      <w:r>
        <w:rPr>
          <w:color w:val="9B2C6F"/>
          <w:rFonts w:ascii="Consolas" w:cs="Consolas" w:eastAsia="Consolas" w:hAnsi="Consolas"/>
        </w:rPr>
        <w:t xml:space="preserve">deploy/local/up.sh</w:t>
      </w:r>
      <w:r>
        <w:rPr>
          <w:color w:val="1B2733"/>
        </w:rPr>
        <w:t xml:space="preserve">), and CI runs the whole suite on every change.</w:t>
      </w:r>
    </w:p>
    <w:p>
      <w:pPr>
        <w:pStyle w:val="Heading1"/>
        <w:spacing w:before="320" w:after="140"/>
      </w:pPr>
      <w:r>
        <w:rPr>
          <w:b/>
          <w:bCs/>
          <w:color w:val="1F5C8C"/>
        </w:rPr>
        <w:t xml:space="preserve">8.  Deployment &amp; bring-your-own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733"/>
        </w:rPr>
        <w:t xml:space="preserve">Local:  </w:t>
      </w:r>
      <w:r>
        <w:rPr>
          <w:color w:val="9B2C6F"/>
          <w:rFonts w:ascii="Consolas" w:cs="Consolas" w:eastAsia="Consolas" w:hAnsi="Consolas"/>
        </w:rPr>
        <w:t xml:space="preserve">deploy/docker-compose.dev.yml</w:t>
      </w:r>
      <w:r>
        <w:rPr>
          <w:color w:val="1B2733"/>
        </w:rPr>
        <w:t xml:space="preserve"> brings up the full infra plane; </w:t>
      </w:r>
      <w:r>
        <w:rPr>
          <w:color w:val="9B2C6F"/>
          <w:rFonts w:ascii="Consolas" w:cs="Consolas" w:eastAsia="Consolas" w:hAnsi="Consolas"/>
        </w:rPr>
        <w:t xml:space="preserve">deploy/local/up.sh</w:t>
      </w:r>
      <w:r>
        <w:rPr>
          <w:color w:val="1B2733"/>
        </w:rPr>
        <w:t xml:space="preserve"> boots all services; per-service </w:t>
      </w:r>
      <w:r>
        <w:rPr>
          <w:color w:val="9B2C6F"/>
          <w:rFonts w:ascii="Consolas" w:cs="Consolas" w:eastAsia="Consolas" w:hAnsi="Consolas"/>
        </w:rPr>
        <w:t xml:space="preserve">restart_*.sh</w:t>
      </w:r>
      <w:r>
        <w:rPr>
          <w:color w:val="1B2733"/>
        </w:rPr>
        <w:t xml:space="preserve"> helpers for fast iteration.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733"/>
        </w:rPr>
        <w:t xml:space="preserve">Cloud:  </w:t>
      </w:r>
      <w:r>
        <w:rPr>
          <w:color w:val="1B2733"/>
        </w:rPr>
        <w:t xml:space="preserve">production Helm chart (</w:t>
      </w:r>
      <w:r>
        <w:rPr>
          <w:color w:val="9B2C6F"/>
          <w:rFonts w:ascii="Consolas" w:cs="Consolas" w:eastAsia="Consolas" w:hAnsi="Consolas"/>
        </w:rPr>
        <w:t xml:space="preserve">deploy/helm/windrose</w:t>
      </w:r>
      <w:r>
        <w:rPr>
          <w:color w:val="1B2733"/>
        </w:rPr>
        <w:t xml:space="preserve">) + Terraform for AWS (EKS) / Azure (AKS) / GCP (GKE), credentials externalized.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733"/>
        </w:rPr>
        <w:t xml:space="preserve">BYO hardening (phased):  </w:t>
      </w:r>
      <w:r>
        <w:rPr>
          <w:color w:val="1B2733"/>
        </w:rPr>
        <w:t xml:space="preserve">P1 OTel wiring · P2 secrets adapters (Vault/AWS-KMS/Azure-KV/GCP-KMS via a </w:t>
      </w:r>
      <w:r>
        <w:rPr>
          <w:color w:val="9B2C6F"/>
          <w:rFonts w:ascii="Consolas" w:cs="Consolas" w:eastAsia="Consolas" w:hAnsi="Consolas"/>
        </w:rPr>
        <w:t xml:space="preserve">SECRETS_BACKEND</w:t>
      </w:r>
      <w:r>
        <w:rPr>
          <w:color w:val="1B2733"/>
        </w:rPr>
        <w:t xml:space="preserve"> switch) · P3 SIEM/audit export · P4 generic OIDC IdP + real login. Each pluggable behind an env switch; the honest ceiling (external cloud IdP / real GPU) is documented, not faked.</w:t>
      </w:r>
    </w:p>
    <w:p>
      <w:pPr>
        <w:pStyle w:val="ListParagraph"/>
        <w:numPr>
          <w:ilvl w:val="0"/>
          <w:numId w:val="3"/>
        </w:numPr>
        <w:spacing w:after="60" w:line="272"/>
      </w:pPr>
      <w:r>
        <w:rPr>
          <w:b/>
          <w:bCs/>
          <w:color w:val="1B2733"/>
        </w:rPr>
        <w:t xml:space="preserve">GPU (SLM):  </w:t>
      </w:r>
      <w:r>
        <w:rPr>
          <w:color w:val="1B2733"/>
        </w:rPr>
        <w:t xml:space="preserve">optional scale-from-zero GPU node pools (tainted </w:t>
      </w:r>
      <w:r>
        <w:rPr>
          <w:color w:val="9B2C6F"/>
          <w:rFonts w:ascii="Consolas" w:cs="Consolas" w:eastAsia="Consolas" w:hAnsi="Consolas"/>
        </w:rPr>
        <w:t xml:space="preserve">nvidia.com/gpu</w:t>
      </w:r>
      <w:r>
        <w:rPr>
          <w:color w:val="1B2733"/>
        </w:rPr>
        <w:t xml:space="preserve">) + a gated training Job, all </w:t>
      </w:r>
      <w:r>
        <w:rPr>
          <w:color w:val="9B2C6F"/>
          <w:rFonts w:ascii="Consolas" w:cs="Consolas" w:eastAsia="Consolas" w:hAnsi="Consolas"/>
        </w:rPr>
        <w:t xml:space="preserve">terraform fmt</w:t>
      </w:r>
      <w:r>
        <w:rPr>
          <w:color w:val="1B2733"/>
        </w:rPr>
        <w:t xml:space="preserve"> / </w:t>
      </w:r>
      <w:r>
        <w:rPr>
          <w:color w:val="9B2C6F"/>
          <w:rFonts w:ascii="Consolas" w:cs="Consolas" w:eastAsia="Consolas" w:hAnsi="Consolas"/>
        </w:rPr>
        <w:t xml:space="preserve">helm lint</w:t>
      </w:r>
      <w:r>
        <w:rPr>
          <w:color w:val="1B2733"/>
        </w:rPr>
        <w:t xml:space="preserve"> clean without a GPU present.</w:t>
      </w:r>
    </w:p>
    <w:p>
      <w:pPr>
        <w:pStyle w:val="Heading1"/>
        <w:spacing w:before="320" w:after="140"/>
      </w:pPr>
      <w:r>
        <w:rPr>
          <w:b/>
          <w:bCs/>
          <w:color w:val="1F5C8C"/>
        </w:rPr>
        <w:t xml:space="preserve">9.  Diagram index</w:t>
      </w:r>
    </w:p>
    <w:tbl>
      <w:tblPr>
        <w:tblW w:type="dxa" w:w="9360"/>
        <w:tblBorders>
          <w:top w:val="single" w:color="C9D6E0" w:sz="2"/>
          <w:left w:val="single" w:color="C9D6E0" w:sz="2"/>
          <w:bottom w:val="single" w:color="C9D6E0" w:sz="2"/>
          <w:right w:val="single" w:color="C9D6E0" w:sz="2"/>
          <w:insideH w:val="single" w:color="C9D6E0" w:sz="2"/>
          <w:insideV w:val="single" w:color="C9D6E0" w:sz="2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1F5C8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5760"/>
            <w:shd w:fill="1F5C8C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Diagram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01-system-architecture.drawio</w:t>
            </w:r>
          </w:p>
        </w:tc>
        <w:tc>
          <w:tcPr>
            <w:tcW w:type="dxa" w:w="5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Service landscape across experience / control / domain / data planes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02-decision-learning-loop.drawio</w:t>
            </w:r>
          </w:p>
        </w:tc>
        <w:tc>
          <w:tcPr>
            <w:tcW w:type="dxa" w:w="5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The governed decision + learning loop (intake → propose → decide → transcript → SFT → distill → cheaper rung)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03-oidc-login-sequence.drawio</w:t>
            </w:r>
          </w:p>
        </w:tc>
        <w:tc>
          <w:tcPr>
            <w:tcW w:type="dxa" w:w="5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Real OIDC SSO login (PKCE) sequence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04-realtime-live-status.drawio</w:t>
            </w:r>
          </w:p>
        </w:tc>
        <w:tc>
          <w:tcPr>
            <w:tcW w:type="dxa" w:w="5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B2733"/>
                <w:sz w:val="18"/>
                <w:szCs w:val="18"/>
              </w:rPr>
              <w:t xml:space="preserve">Realtime live-status data flow (Kafka → hub → SSE → cache patch)</w:t>
            </w:r>
          </w:p>
        </w:tc>
      </w:tr>
    </w:tbl>
    <w:p>
      <w:pPr>
        <w:spacing w:after="120"/>
      </w:pPr>
    </w:p>
    <w:p>
      <w:pPr>
        <w:pBdr>
          <w:bottom w:val="single" w:color="C9D6E0" w:sz="6"/>
        </w:pBdr>
        <w:spacing w:before="120" w:after="120"/>
      </w:pPr>
    </w:p>
    <w:p>
      <w:pPr>
        <w:spacing w:after="120" w:line="276"/>
      </w:pPr>
      <w:r>
        <w:rPr>
          <w:i/>
          <w:iCs/>
          <w:color w:val="5A6B7B"/>
          <w:sz w:val="18"/>
          <w:szCs w:val="18"/>
        </w:rPr>
        <w:t xml:space="preserve">Generated as an engineering reference. The platform runs on real infrastructure; where a leg is genuinely gated (external cloud IdP, a provisioned GPU), it is flagged behind a typed boundary rather than stubbed.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1F5C8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  <w:rPr>
        <w:b/>
        <w:bCs/>
        <w:color w:val="1F5C8C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B2733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5C8C"/>
      <w:sz w:val="30"/>
      <w:szCs w:val="30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rPr>
      <w:b/>
      <w:bCs/>
      <w:color w:val="1B2733"/>
      <w:sz w:val="24"/>
      <w:szCs w:val="24"/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rPr>
      <w:b/>
      <w:bCs/>
      <w:color w:val="1F5C8C"/>
      <w:sz w:val="22"/>
      <w:szCs w:val="22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Windrose AI — Platform Architecture &amp; Workflows</dc:title>
  <dc:creator>Windrose AI</dc:creator>
  <dc:description>Engineering reference: architecture, service catalog, and workflows.</dc:description>
  <cp:lastModifiedBy>Un-named</cp:lastModifiedBy>
  <cp:revision>1</cp:revision>
  <dcterms:created xsi:type="dcterms:W3CDTF">2026-07-17T12:14:13.392Z</dcterms:created>
  <dcterms:modified xsi:type="dcterms:W3CDTF">2026-07-17T12:14:13.392Z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