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 w:after="0"/>
      </w:pPr>
      <w:r>
        <w:rPr>
          <w:b/>
          <w:bCs/>
          <w:color w:val="1F5C8C"/>
          <w:sz w:val="20"/>
          <w:szCs w:val="20"/>
          <w:caps/>
        </w:rPr>
        <w:t xml:space="preserve">WINDROSE AI</w:t>
      </w:r>
    </w:p>
    <w:p>
      <w:pPr>
        <w:pBdr>
          <w:bottom w:val="single" w:color="1F5C8C" w:sz="12"/>
        </w:pBdr>
        <w:spacing w:before="40" w:after="0"/>
      </w:pPr>
    </w:p>
    <w:p>
      <w:pPr>
        <w:spacing w:before="260" w:after="60"/>
      </w:pPr>
      <w:r>
        <w:rPr>
          <w:b/>
          <w:bCs/>
          <w:color w:val="1B2733"/>
          <w:sz w:val="52"/>
          <w:szCs w:val="52"/>
        </w:rPr>
        <w:t xml:space="preserve">Platform Capability Catalog</w:t>
      </w:r>
    </w:p>
    <w:p>
      <w:pPr>
        <w:spacing w:after="40"/>
      </w:pPr>
      <w:r>
        <w:rPr>
          <w:i/>
          <w:iCs/>
          <w:color w:val="5A6B7B"/>
          <w:sz w:val="26"/>
          <w:szCs w:val="26"/>
        </w:rPr>
        <w:t xml:space="preserve">Every capability, its owning service, and its delivery status.</w:t>
      </w:r>
    </w:p>
    <w:p>
      <w:pPr>
        <w:spacing w:after="360"/>
      </w:pPr>
    </w:p>
    <w:p>
      <w:pPr>
        <w:spacing w:after="120" w:line="276"/>
      </w:pPr>
      <w:r>
        <w:rPr>
          <w:b/>
          <w:bCs/>
          <w:color w:val="1B2733"/>
        </w:rPr>
        <w:t xml:space="preserve">Status:  </w:t>
      </w:r>
      <w:r>
        <w:rPr>
          <w:color w:val="1B2733"/>
        </w:rPr>
        <w:t xml:space="preserve">engineering reference</w:t>
      </w:r>
    </w:p>
    <w:p>
      <w:pPr>
        <w:spacing w:after="120" w:line="276"/>
      </w:pPr>
      <w:r>
        <w:rPr>
          <w:b/>
          <w:bCs/>
          <w:color w:val="1B2733"/>
        </w:rPr>
        <w:t xml:space="preserve">Scope:  </w:t>
      </w:r>
      <w:r>
        <w:rPr>
          <w:color w:val="1B2733"/>
        </w:rPr>
        <w:t xml:space="preserve">22 services · 11 capability domains</w:t>
      </w:r>
    </w:p>
    <w:p>
      <w:pPr>
        <w:spacing w:after="120" w:line="276"/>
      </w:pPr>
      <w:r>
        <w:rPr>
          <w:b/>
          <w:bCs/>
          <w:color w:val="1B2733"/>
        </w:rPr>
        <w:t xml:space="preserve">Legend:  </w:t>
      </w:r>
      <w:r>
        <w:rPr>
          <w:b/>
          <w:bCs/>
          <w:color w:val="2E7D57"/>
        </w:rPr>
        <w:t xml:space="preserve">Live</w:t>
      </w:r>
      <w:r>
        <w:rPr>
          <w:color w:val="1B2733"/>
        </w:rPr>
        <w:t xml:space="preserve"> = built &amp; verified on the real stack    ·    </w:t>
      </w:r>
      <w:r>
        <w:rPr>
          <w:b/>
          <w:bCs/>
          <w:color w:val="B26B00"/>
        </w:rPr>
        <w:t xml:space="preserve">Gated</w:t>
      </w:r>
      <w:r>
        <w:rPr>
          <w:color w:val="1B2733"/>
        </w:rPr>
        <w:t xml:space="preserve"> = built behind a typed boundary, needs external infra</w:t>
      </w:r>
    </w:p>
    <w:p>
      <w:pPr>
        <w:spacing w:after="120" w:line="276"/>
      </w:pPr>
      <w:r>
        <w:rPr>
          <w:b/>
          <w:bCs/>
          <w:color w:val="1B2733"/>
        </w:rPr>
        <w:t xml:space="preserve">Date:  </w:t>
      </w:r>
      <w:r>
        <w:rPr>
          <w:color w:val="1B2733"/>
        </w:rPr>
        <w:t xml:space="preserve">2026-07-17</w:t>
      </w:r>
    </w:p>
    <w:p>
      <w:r>
        <w:br w:type="page"/>
      </w:r>
    </w:p>
    <w:p>
      <w:pPr>
        <w:pStyle w:val="Heading1"/>
        <w:spacing w:before="300" w:after="60"/>
      </w:pPr>
      <w:r>
        <w:rPr>
          <w:b/>
          <w:bCs/>
          <w:color w:val="1F5C8C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line="276"/>
      </w:pPr>
      <w:r>
        <w:rPr>
          <w:color w:val="1B2733"/>
        </w:rPr>
        <w:t xml:space="preserve">Windrose AI is a multi-tenant, governed decision-intelligence platform. Capabilities are grouped into eleven domains below; each row names the capability, the service(s) that own it, and its delivery status. Everything is built on real infrastructure — the single genuinely gated leg (GPU LoRA training) is flagged, not stubbed.</w:t>
      </w:r>
    </w:p>
    <w:p>
      <w:pPr>
        <w:pStyle w:val="Heading1"/>
        <w:spacing w:before="300" w:after="60"/>
      </w:pPr>
      <w:r>
        <w:rPr>
          <w:b/>
          <w:bCs/>
          <w:color w:val="1F5C8C"/>
        </w:rPr>
        <w:t xml:space="preserve">1.  Identity, Tenancy &amp; Access</w:t>
      </w:r>
    </w:p>
    <w:p>
      <w:pPr>
        <w:spacing w:after="120" w:line="276"/>
      </w:pPr>
      <w:r>
        <w:rPr>
          <w:i/>
          <w:iCs/>
          <w:color w:val="5A6B7B"/>
          <w:sz w:val="19"/>
          <w:szCs w:val="19"/>
        </w:rPr>
        <w:t xml:space="preserve">Who the tenant is, how users sign in, and what each principal is allowed to do.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260"/>
        <w:gridCol w:w="2600"/>
        <w:gridCol w:w="3500"/>
      </w:tblGrid>
      <w:tr>
        <w:trPr>
          <w:tblHeader/>
        </w:trPr>
        <w:tc>
          <w:tcPr>
            <w:tcW w:type="dxa" w:w="326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6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Owning service(s)</w:t>
            </w:r>
          </w:p>
        </w:tc>
        <w:tc>
          <w:tcPr>
            <w:tcW w:type="dxa" w:w="35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status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Multi-tenant isolation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identity · rbac · (all)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Tenant = Postgres RLS wall on </w:t>
            </w:r>
            <w:r>
              <w:rPr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app.tenant_id</w:t>
            </w: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; workspace partitions; group = permission label.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Tenant &amp; use-case self-service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identity · ui-web · bff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Create/switch workspaces (use cases) from the top bar; idempotent, drift-free provisioning with a real first-admin.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Token exchange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identity-service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OBO, API-key, embed, agent (SPIFFE), and OIDC login. RS256, iss=identity.windrose.ai.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Real OIDC SSO login (BYO IdP)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identity · ui-web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Auth-Code + PKCE; generic OIDC adapter (discovery + JWKS) for Keycloak/Okta/Auth0/Entra.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RBAC + OPA authorization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rbac-service · (all)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Action catalog projected into Redis; per-request OPA authz (not JWT scopes); workspace-scoped caps.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RBAC self-service &amp; read-back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rbac · ui-web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user→role, team→roles, user→groups; invite→group; persona role templates, clone-and-customize.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Immutable audit log (WORM)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audit-service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Tamper-evident record of governed actions.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Usage metering &amp; budgets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usage-service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Per-tenant cost/latency metering with budgets.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</w:tbl>
    <w:p>
      <w:pPr>
        <w:pStyle w:val="Heading1"/>
        <w:spacing w:before="300" w:after="60"/>
      </w:pPr>
      <w:r>
        <w:rPr>
          <w:b/>
          <w:bCs/>
          <w:color w:val="1F5C8C"/>
        </w:rPr>
        <w:t xml:space="preserve">2.  Data &amp; Lakehouse</w:t>
      </w:r>
    </w:p>
    <w:p>
      <w:pPr>
        <w:spacing w:after="120" w:line="276"/>
      </w:pPr>
      <w:r>
        <w:rPr>
          <w:i/>
          <w:iCs/>
          <w:color w:val="5A6B7B"/>
          <w:sz w:val="19"/>
          <w:szCs w:val="19"/>
        </w:rPr>
        <w:t xml:space="preserve">Bringing data in, versioning it, querying it, and writing decisions back out.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260"/>
        <w:gridCol w:w="2600"/>
        <w:gridCol w:w="3500"/>
      </w:tblGrid>
      <w:tr>
        <w:trPr>
          <w:tblHeader/>
        </w:trPr>
        <w:tc>
          <w:tcPr>
            <w:tcW w:type="dxa" w:w="326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6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Owning service(s)</w:t>
            </w:r>
          </w:p>
        </w:tc>
        <w:tc>
          <w:tcPr>
            <w:tcW w:type="dxa" w:w="35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status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Data ingestion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ingestion-service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Connections, streaming decode, and file upload (CSV/JSON/Parquet/Avro/XML).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Dataset catalog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dataset-service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Versions, rows, profiling, lineage; Iceberg-backed persistence.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Server-paged dataset browser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dataset · bff · ui-web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Real rows grid with full engine pushdown.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Governed SQL over the lakehouse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query-service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Real Trino adapter (direct Iceberg-REST) + DuckDB pushdown.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Semantic layer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semantic-service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Semantic models compiled to physical queries.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Decision write-back / SoR sync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ingestion-service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Governed proposal-mode outgoing adapters (db_upsert, http_post), four-eyes.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</w:tbl>
    <w:p>
      <w:pPr>
        <w:pStyle w:val="Heading1"/>
        <w:spacing w:before="300" w:after="60"/>
      </w:pPr>
      <w:r>
        <w:rPr>
          <w:b/>
          <w:bCs/>
          <w:color w:val="1F5C8C"/>
        </w:rPr>
        <w:t xml:space="preserve">3.  Analytics &amp; Visualization</w:t>
      </w:r>
    </w:p>
    <w:p>
      <w:pPr>
        <w:spacing w:after="120" w:line="276"/>
      </w:pPr>
      <w:r>
        <w:rPr>
          <w:i/>
          <w:iCs/>
          <w:color w:val="5A6B7B"/>
          <w:sz w:val="19"/>
          <w:szCs w:val="19"/>
        </w:rPr>
        <w:t xml:space="preserve">Turning governed data into charts, dashboards, and drill-through actions.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260"/>
        <w:gridCol w:w="2600"/>
        <w:gridCol w:w="3500"/>
      </w:tblGrid>
      <w:tr>
        <w:trPr>
          <w:tblHeader/>
        </w:trPr>
        <w:tc>
          <w:tcPr>
            <w:tcW w:type="dxa" w:w="326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6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Owning service(s)</w:t>
            </w:r>
          </w:p>
        </w:tc>
        <w:tc>
          <w:tcPr>
            <w:tcW w:type="dxa" w:w="35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status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Chart &amp; dashboard builder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chart-service · ui-web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Rich builder; many families incl. heatmap, metric, network graph.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Quick-chart a dataset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chart · dataset · bff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Warehouse-aggregated charts without a semantic model.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Dashboard cross-filtering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chart-service · ui-web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Interactive chart↔grid cross-filter.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Drill-through to action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chart · case · ui-web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“Create cases” directly from a dashboard chart.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Scheduled report subscriptions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notification · chart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Recurring dashboard report delivery.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</w:tbl>
    <w:p>
      <w:pPr>
        <w:pStyle w:val="Heading1"/>
        <w:spacing w:before="300" w:after="60"/>
      </w:pPr>
      <w:r>
        <w:rPr>
          <w:b/>
          <w:bCs/>
          <w:color w:val="1F5C8C"/>
        </w:rPr>
        <w:t xml:space="preserve">4.  Casework</w:t>
      </w:r>
    </w:p>
    <w:p>
      <w:pPr>
        <w:spacing w:after="120" w:line="276"/>
      </w:pPr>
      <w:r>
        <w:rPr>
          <w:i/>
          <w:iCs/>
          <w:color w:val="5A6B7B"/>
          <w:sz w:val="19"/>
          <w:szCs w:val="19"/>
        </w:rPr>
        <w:t xml:space="preserve">The human work surface: cases anchored to real data, with evidence and assignment.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260"/>
        <w:gridCol w:w="2600"/>
        <w:gridCol w:w="3500"/>
      </w:tblGrid>
      <w:tr>
        <w:trPr>
          <w:tblHeader/>
        </w:trPr>
        <w:tc>
          <w:tcPr>
            <w:tcW w:type="dxa" w:w="326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6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Owning service(s)</w:t>
            </w:r>
          </w:p>
        </w:tc>
        <w:tc>
          <w:tcPr>
            <w:tcW w:type="dxa" w:w="35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status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Row-anchored cases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case-service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Anchored to (dataset_urn, version, row_pk) with display projection + provenance.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Case worklist creation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case · bff · ui-web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Create cases from query/dataset rows.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Evidence attachments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case-service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Attach/list/download real files (MinIO), </w:t>
            </w:r>
            <w:r>
              <w:rPr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case.evidence.*</w:t>
            </w: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 gated.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Assignment &amp; timeline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case · identity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Member-safe assignable-users directory, assign dialog, disposition write-back.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</w:tbl>
    <w:p>
      <w:pPr>
        <w:pStyle w:val="Heading1"/>
        <w:spacing w:before="300" w:after="60"/>
      </w:pPr>
      <w:r>
        <w:rPr>
          <w:b/>
          <w:bCs/>
          <w:color w:val="1F5C8C"/>
        </w:rPr>
        <w:t xml:space="preserve">5.  Agentic &amp; AI</w:t>
      </w:r>
    </w:p>
    <w:p>
      <w:pPr>
        <w:spacing w:after="120" w:line="276"/>
      </w:pPr>
      <w:r>
        <w:rPr>
          <w:i/>
          <w:iCs/>
          <w:color w:val="5A6B7B"/>
          <w:sz w:val="19"/>
          <w:szCs w:val="19"/>
        </w:rPr>
        <w:t xml:space="preserve">The differentiator: agents propose, humans approve, every action is governed.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260"/>
        <w:gridCol w:w="2600"/>
        <w:gridCol w:w="3500"/>
      </w:tblGrid>
      <w:tr>
        <w:trPr>
          <w:tblHeader/>
        </w:trPr>
        <w:tc>
          <w:tcPr>
            <w:tcW w:type="dxa" w:w="326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6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Owning service(s)</w:t>
            </w:r>
          </w:p>
        </w:tc>
        <w:tc>
          <w:tcPr>
            <w:tcW w:type="dxa" w:w="35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status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Governed agent engine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agent-runtime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LangGraph-style graph; agents propose, never act; proposals inert until approved.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Agent roster (9) + meta-router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agent-runtime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Incl. A2A delegation router and autonomous ml-engineer agent.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Custom tenant agents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agent-runtime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Config over shared graph; per-agent toolsets enforced at proposal time.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Role-grounded copilot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agent-runtime · ui-web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Caller-capability-aware tools, per-module routing, persona prompts.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Provider-agnostic LLM access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ai-gateway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Multi-provider adapters; cost-aware model ladder (rung select + escalation); per-model pricing.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Governed tool execution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tool-plane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Tool registry + MCP gateway, OBO-authorized; downstream 4xx = real failure.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Agent memory / RAG grounding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memory-service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Grounding store for agent reasoning.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Verified-query knowledge layer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agent-runtime · bff · ui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OKF-style verified-query search wired into agents + UI.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Safety &amp; governance controls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multiple + ui-web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Kill switches, promotion approval, memory erasure, authz-explain, anomaly review, compliance packs.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</w:tbl>
    <w:p>
      <w:pPr>
        <w:pStyle w:val="Heading1"/>
        <w:spacing w:before="300" w:after="60"/>
      </w:pPr>
      <w:r>
        <w:rPr>
          <w:b/>
          <w:bCs/>
          <w:color w:val="1F5C8C"/>
        </w:rPr>
        <w:t xml:space="preserve">6.  ML Lifecycle &amp; the Learning Loop</w:t>
      </w:r>
    </w:p>
    <w:p>
      <w:pPr>
        <w:spacing w:after="120" w:line="276"/>
      </w:pPr>
      <w:r>
        <w:rPr>
          <w:i/>
          <w:iCs/>
          <w:color w:val="5A6B7B"/>
          <w:sz w:val="19"/>
          <w:szCs w:val="19"/>
        </w:rPr>
        <w:t xml:space="preserve">Pipelines, experiments, evaluation, and the correction→retrain loop that is the product.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260"/>
        <w:gridCol w:w="2600"/>
        <w:gridCol w:w="3500"/>
      </w:tblGrid>
      <w:tr>
        <w:trPr>
          <w:tblHeader/>
        </w:trPr>
        <w:tc>
          <w:tcPr>
            <w:tcW w:type="dxa" w:w="326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6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Owning service(s)</w:t>
            </w:r>
          </w:p>
        </w:tc>
        <w:tc>
          <w:tcPr>
            <w:tcW w:type="dxa" w:w="35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status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Data/ML pipelines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pipeline-orchestrator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Temporal + Argo; recurring scheduling; real dataset inputs.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Experiments &amp; model registry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experiment-service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MLflow-aligned; four-eyes promotion; MLflow→experiment auto-mirror.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Batch inference/scoring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inference-service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Batch scoring jobs.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Eval suites, scorers &amp; gates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eval-service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Promotion gate for both models and agents; scorers, canaries.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Transcript capture (M1)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agent-runtime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Inputs + grounding + proposed + human-corrected output; PII-redacted, consent-gated.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Versioned SFT datasets (M2)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agent-runtime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Curate decided transcripts into immutable, per-archetype gold pairs.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SLM distillation control plane (M3)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agent-runtime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Training jobs, adapters, promotion lifecycle, archetypes. Control plane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GPU LoRA training compute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agent-runtime + GPU pool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Behind typed GpuTrainer port; fails honestly (GpuTrainerNotConfigured) with no GPU. </w:t>
            </w:r>
            <w:r>
              <w:rPr>
                <w:b/>
                <w:bCs/>
                <w:color w:val="B26B00"/>
                <w:sz w:val="18"/>
                <w:szCs w:val="18"/>
              </w:rPr>
              <w:t xml:space="preserve">Gated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Promote SLM as cheapest rung (M4/M5)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ai-gateway · eval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Eval-gated promote/demote; retrain on drift. Serving path </w:t>
            </w:r>
            <w:r>
              <w:rPr>
                <w:b/>
                <w:bCs/>
                <w:color w:val="B26B00"/>
                <w:sz w:val="18"/>
                <w:szCs w:val="18"/>
              </w:rPr>
              <w:t xml:space="preserve">Gated</w:t>
            </w:r>
          </w:p>
        </w:tc>
      </w:tr>
    </w:tbl>
    <w:p>
      <w:pPr>
        <w:pStyle w:val="Heading1"/>
        <w:spacing w:before="300" w:after="60"/>
      </w:pPr>
      <w:r>
        <w:rPr>
          <w:b/>
          <w:bCs/>
          <w:color w:val="1F5C8C"/>
        </w:rPr>
        <w:t xml:space="preserve">7.  Realtime &amp; Notifications</w:t>
      </w:r>
    </w:p>
    <w:p>
      <w:pPr>
        <w:spacing w:after="120" w:line="276"/>
      </w:pPr>
      <w:r>
        <w:rPr>
          <w:i/>
          <w:iCs/>
          <w:color w:val="5A6B7B"/>
          <w:sz w:val="19"/>
          <w:szCs w:val="19"/>
        </w:rPr>
        <w:t xml:space="preserve">Live status without refresh, and event delivery to users and systems.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260"/>
        <w:gridCol w:w="2600"/>
        <w:gridCol w:w="3500"/>
      </w:tblGrid>
      <w:tr>
        <w:trPr>
          <w:tblHeader/>
        </w:trPr>
        <w:tc>
          <w:tcPr>
            <w:tcW w:type="dxa" w:w="326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6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Owning service(s)</w:t>
            </w:r>
          </w:p>
        </w:tc>
        <w:tc>
          <w:tcPr>
            <w:tcW w:type="dxa" w:w="35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status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Live status without refresh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realtime-hub · ui-web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Kafka→hub→SSE→cache-patch bridge; per-topic OPA authz, Redis pub/sub, replay ring.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Topic schemes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realtime-hub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run-status, list:&lt;type&gt; (tenant-wide), chat, agent_run, proposal, notifications.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Notifications + webhooks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notification-service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In-app + webhook delivery with rules.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</w:tbl>
    <w:p>
      <w:pPr>
        <w:pStyle w:val="Heading1"/>
        <w:spacing w:before="300" w:after="60"/>
      </w:pPr>
      <w:r>
        <w:rPr>
          <w:b/>
          <w:bCs/>
          <w:color w:val="1F5C8C"/>
        </w:rPr>
        <w:t xml:space="preserve">8.  Decision-Intelligence Governance</w:t>
      </w:r>
    </w:p>
    <w:p>
      <w:pPr>
        <w:spacing w:after="120" w:line="276"/>
      </w:pPr>
      <w:r>
        <w:rPr>
          <w:i/>
          <w:iCs/>
          <w:color w:val="5A6B7B"/>
          <w:sz w:val="19"/>
          <w:szCs w:val="19"/>
        </w:rPr>
        <w:t xml:space="preserve">Governing decision logic itself, and measuring whether decisions worked.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260"/>
        <w:gridCol w:w="2600"/>
        <w:gridCol w:w="3500"/>
      </w:tblGrid>
      <w:tr>
        <w:trPr>
          <w:tblHeader/>
        </w:trPr>
        <w:tc>
          <w:tcPr>
            <w:tcW w:type="dxa" w:w="326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6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Owning service(s)</w:t>
            </w:r>
          </w:p>
        </w:tc>
        <w:tc>
          <w:tcPr>
            <w:tcW w:type="dxa" w:w="35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status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Governed decision tables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agent-runtime · ui-web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No-code rules → same four-eyes proposal path; batch-evaluate; /decisions UI; pack-artifact.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Outcome monitoring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case · experiment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Realized-outcome labels joined to proposal provenance; decided-vs-realized effectiveness.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</w:tbl>
    <w:p>
      <w:pPr>
        <w:pStyle w:val="Heading1"/>
        <w:spacing w:before="300" w:after="60"/>
      </w:pPr>
      <w:r>
        <w:rPr>
          <w:b/>
          <w:bCs/>
          <w:color w:val="1F5C8C"/>
        </w:rPr>
        <w:t xml:space="preserve">9.  Embedding &amp; White-Label</w:t>
      </w:r>
    </w:p>
    <w:p>
      <w:pPr>
        <w:spacing w:after="120" w:line="276"/>
      </w:pPr>
      <w:r>
        <w:rPr>
          <w:i/>
          <w:iCs/>
          <w:color w:val="5A6B7B"/>
          <w:sz w:val="19"/>
          <w:szCs w:val="19"/>
        </w:rPr>
        <w:t xml:space="preserve">Delivering Windrose surfaces inside a customer’s own product.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260"/>
        <w:gridCol w:w="2600"/>
        <w:gridCol w:w="3500"/>
      </w:tblGrid>
      <w:tr>
        <w:trPr>
          <w:tblHeader/>
        </w:trPr>
        <w:tc>
          <w:tcPr>
            <w:tcW w:type="dxa" w:w="326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6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Owning service(s)</w:t>
            </w:r>
          </w:p>
        </w:tc>
        <w:tc>
          <w:tcPr>
            <w:tcW w:type="dxa" w:w="35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status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Iframe / white-label embedding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identity · ui-web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Embed-token exchange, headless dashboard route, per-tenant frame-ancestors, theming, postMessage SDK.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Embed-federated OIDC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identity-service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Per-user embed tokens minted from the tenant’s IdP id_token (no shared secret).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Branding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ui-web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Logo, tenant-name display, pre-login marketing/welcome page.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</w:tbl>
    <w:p>
      <w:pPr>
        <w:pStyle w:val="Heading1"/>
        <w:spacing w:before="300" w:after="60"/>
      </w:pPr>
      <w:r>
        <w:rPr>
          <w:b/>
          <w:bCs/>
          <w:color w:val="1F5C8C"/>
        </w:rPr>
        <w:t xml:space="preserve">10.  Vertical Packs</w:t>
      </w:r>
    </w:p>
    <w:p>
      <w:pPr>
        <w:spacing w:after="120" w:line="276"/>
      </w:pPr>
      <w:r>
        <w:rPr>
          <w:i/>
          <w:iCs/>
          <w:color w:val="5A6B7B"/>
          <w:sz w:val="19"/>
          <w:szCs w:val="19"/>
        </w:rPr>
        <w:t xml:space="preserve">Verticals ship as packs on top of a frozen, vertical-agnostic Core.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260"/>
        <w:gridCol w:w="2600"/>
        <w:gridCol w:w="3500"/>
      </w:tblGrid>
      <w:tr>
        <w:trPr>
          <w:tblHeader/>
        </w:trPr>
        <w:tc>
          <w:tcPr>
            <w:tcW w:type="dxa" w:w="326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6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Owning service(s)</w:t>
            </w:r>
          </w:p>
        </w:tc>
        <w:tc>
          <w:tcPr>
            <w:tcW w:type="dxa" w:w="35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status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Pack framework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packctl · packs/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8-step invariant against a frozen Core (zero Core changes).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~20 vertical packs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packs/ · all tenants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BRDs 24–51 authored + installed across 20+ tenants (claims, disputes, …).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Multi-tenant install tooling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packctl · scripts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Batch onboard / cleanup, per-role users for manual testing.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</w:tbl>
    <w:p>
      <w:pPr>
        <w:pStyle w:val="Heading1"/>
        <w:spacing w:before="300" w:after="60"/>
      </w:pPr>
      <w:r>
        <w:rPr>
          <w:b/>
          <w:bCs/>
          <w:color w:val="1F5C8C"/>
        </w:rPr>
        <w:t xml:space="preserve">11.  Platform Engineering &amp; Operations</w:t>
      </w:r>
    </w:p>
    <w:p>
      <w:pPr>
        <w:spacing w:after="120" w:line="276"/>
      </w:pPr>
      <w:r>
        <w:rPr>
          <w:i/>
          <w:iCs/>
          <w:color w:val="5A6B7B"/>
          <w:sz w:val="19"/>
          <w:szCs w:val="19"/>
        </w:rPr>
        <w:t xml:space="preserve">How the platform is deployed, observed, secured, and kept honest.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260"/>
        <w:gridCol w:w="2600"/>
        <w:gridCol w:w="3500"/>
      </w:tblGrid>
      <w:tr>
        <w:trPr>
          <w:tblHeader/>
        </w:trPr>
        <w:tc>
          <w:tcPr>
            <w:tcW w:type="dxa" w:w="326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6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Owning service(s)</w:t>
            </w:r>
          </w:p>
        </w:tc>
        <w:tc>
          <w:tcPr>
            <w:tcW w:type="dxa" w:w="3500"/>
            <w:shd w:fill="1F5C8C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status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Cloud deployment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helm · terraform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Production Helm chart + Terraform for AWS (EKS) / Azure (AKS) / GCP (GKE).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Local dev stack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docker-compose · up.sh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Full infra plane + all services; per-service restart helpers.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BYO hardening (phased)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py/go-common · helm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OTel wiring, secrets adapters (Vault/AWS/Azure/GCP), SIEM export, generic OIDC. External IdP/SIEM egress </w:t>
            </w:r>
            <w:r>
              <w:rPr>
                <w:b/>
                <w:bCs/>
                <w:color w:val="B26B00"/>
                <w:sz w:val="18"/>
                <w:szCs w:val="18"/>
              </w:rPr>
              <w:t xml:space="preserve">Gated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all services · OTel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OpenTelemetry tracing + RED metrics across ~20 services; JSON structured logging.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Stability self-heal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deploy/local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reconcile.sh rebuilds RBAC projections after cold-Redis restarts.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Security baseline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CI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5-tool scanning + CI gates.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Testing (4 levels)</w:t>
            </w:r>
          </w:p>
        </w:tc>
        <w:tc>
          <w:tcPr>
            <w:tcW w:type="dxa" w:w="26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per-service · ui-web · CI</w:t>
            </w:r>
          </w:p>
        </w:tc>
        <w:tc>
          <w:tcPr>
            <w:tcW w:type="dxa" w:w="3500"/>
            <w:shd w:fill="FFFFFF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Unit, contract, live-stack E2E (nothing mocked, Playwright), scripted live; full suite on every change. </w:t>
            </w:r>
            <w:r>
              <w:rPr>
                <w:b/>
                <w:bCs/>
                <w:color w:val="2E7D5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26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GPU node pools</w:t>
            </w:r>
          </w:p>
        </w:tc>
        <w:tc>
          <w:tcPr>
            <w:tcW w:type="dxa" w:w="26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terraform · helm</w:t>
            </w:r>
          </w:p>
        </w:tc>
        <w:tc>
          <w:tcPr>
            <w:tcW w:type="dxa" w:w="3500"/>
            <w:shd w:fill="F4F8FB" w:color="auto" w:val="clear"/>
            <w:tcMar>
              <w:top w:type="dxa" w:w="54"/>
              <w:left w:type="dxa" w:w="100"/>
              <w:bottom w:type="dxa" w:w="54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Optional scale-from-zero GPU pools + gated training Job; clean without a GPU present. </w:t>
            </w:r>
            <w:r>
              <w:rPr>
                <w:b/>
                <w:bCs/>
                <w:color w:val="B26B00"/>
                <w:sz w:val="18"/>
                <w:szCs w:val="18"/>
              </w:rPr>
              <w:t xml:space="preserve">Gated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Honesty note</w:t>
            </w:r>
          </w:p>
          <w:p>
            <w:pPr>
              <w:spacing w:after="0" w:line="264"/>
            </w:pPr>
            <w:r>
              <w:rPr>
                <w:color w:val="1B2733"/>
              </w:rPr>
              <w:t xml:space="preserve">The platform holds to a real, no-fake rule. The one genuinely gated capability is GPU LoRA training compute: the control plane (jobs, adapters, promotion, archetypes) is built and unit-tested, but actual training fails cleanly with </w:t>
            </w:r>
            <w:r>
              <w:rPr>
                <w:color w:val="9B2C6F"/>
                <w:sz w:val="18"/>
                <w:szCs w:val="18"/>
                <w:rFonts w:ascii="Consolas" w:cs="Consolas" w:eastAsia="Consolas" w:hAnsi="Consolas"/>
              </w:rPr>
              <w:t xml:space="preserve">GpuTrainerNotConfigured</w:t>
            </w:r>
            <w:r>
              <w:rPr>
                <w:color w:val="1B2733"/>
              </w:rPr>
              <w:t xml:space="preserve"> when no GPU executor is wired — never a fabricated adapter. External cloud IdP and SIEM egress are wired behind env switches; the point where customer infrastructure must be brought is documented, not stubbed.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5C8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733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C8C"/>
      <w:sz w:val="28"/>
      <w:szCs w:val="28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Platform Capability Catalog</dc:title>
  <dc:creator>Windrose AI</dc:creator>
  <dc:description>Every platform capability mapped to its owning service and delivery status.</dc:description>
  <cp:lastModifiedBy>Un-named</cp:lastModifiedBy>
  <cp:revision>1</cp:revision>
  <dcterms:created xsi:type="dcterms:W3CDTF">2026-07-17T20:41:18.699Z</dcterms:created>
  <dcterms:modified xsi:type="dcterms:W3CDTF">2026-07-17T20:41:18.700Z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