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color w:val="1F5C8C"/>
          <w:sz w:val="20"/>
          <w:szCs w:val="20"/>
          <w:caps/>
        </w:rPr>
        <w:t xml:space="preserve">WINDROSE AI</w:t>
      </w:r>
    </w:p>
    <w:p>
      <w:pPr>
        <w:pBdr>
          <w:bottom w:val="single" w:color="1F5C8C" w:sz="12"/>
        </w:pBdr>
        <w:spacing w:before="40" w:after="0"/>
      </w:pPr>
    </w:p>
    <w:p>
      <w:pPr>
        <w:spacing w:before="260" w:after="60"/>
      </w:pPr>
      <w:r>
        <w:rPr>
          <w:b/>
          <w:bCs/>
          <w:color w:val="1B2733"/>
          <w:sz w:val="56"/>
          <w:szCs w:val="56"/>
        </w:rPr>
        <w:t xml:space="preserve">End-User Guide</w:t>
      </w:r>
    </w:p>
    <w:p>
      <w:pPr>
        <w:spacing w:after="40"/>
      </w:pPr>
      <w:r>
        <w:rPr>
          <w:i/>
          <w:iCs/>
          <w:color w:val="5A6B7B"/>
          <w:sz w:val="26"/>
          <w:szCs w:val="26"/>
        </w:rPr>
        <w:t xml:space="preserve">Build the capability, then run the decision — the Insurance Claims Triage pack.</w:t>
      </w:r>
    </w:p>
    <w:p>
      <w:pPr>
        <w:spacing w:after="280"/>
      </w:pPr>
    </w:p>
    <w:p>
      <w:pPr>
        <w:spacing w:after="120" w:line="276"/>
      </w:pPr>
      <w:r>
        <w:rPr>
          <w:color w:val="1B2733"/>
        </w:rPr>
        <w:t xml:space="preserve">This guide takes you through Windrose twice: first </w:t>
      </w:r>
      <w:r>
        <w:rPr>
          <w:b/>
          <w:bCs/>
          <w:color w:val="1B2733"/>
        </w:rPr>
        <w:t xml:space="preserve">building</w:t>
      </w:r>
      <w:r>
        <w:rPr>
          <w:color w:val="1B2733"/>
        </w:rPr>
        <w:t xml:space="preserve"> a decision capability — connecting data, preparing it, building ML pipelines, running experiments — then </w:t>
      </w:r>
      <w:r>
        <w:rPr>
          <w:b/>
          <w:bCs/>
          <w:color w:val="1B2733"/>
        </w:rPr>
        <w:t xml:space="preserve">running</w:t>
      </w:r>
      <w:r>
        <w:rPr>
          <w:color w:val="1B2733"/>
        </w:rPr>
        <w:t xml:space="preserve"> the day-to-day governed decision on top of it. Every screenshot is from the live running platform.</w:t>
      </w:r>
    </w:p>
    <w:p>
      <w:pPr>
        <w:spacing w:after="160"/>
      </w:pPr>
    </w:p>
    <w:p>
      <w:pPr>
        <w:spacing w:after="120" w:line="276"/>
      </w:pPr>
      <w:r>
        <w:rPr>
          <w:b/>
          <w:bCs/>
          <w:color w:val="1B2733"/>
        </w:rPr>
        <w:t xml:space="preserve">Two journeys:  </w:t>
      </w:r>
      <w:r>
        <w:rPr>
          <w:b/>
          <w:bCs/>
          <w:color w:val="1F5C8C"/>
        </w:rPr>
        <w:t xml:space="preserve">Part I — Build the capability</w:t>
      </w:r>
      <w:r>
        <w:rPr>
          <w:color w:val="1B2733"/>
        </w:rPr>
        <w:t xml:space="preserve">  ·  </w:t>
      </w:r>
      <w:r>
        <w:rPr>
          <w:b/>
          <w:bCs/>
          <w:color w:val="1F5C8C"/>
        </w:rPr>
        <w:t xml:space="preserve">Part II — Run the decision</w:t>
      </w:r>
    </w:p>
    <w:p>
      <w:pPr>
        <w:spacing w:after="120" w:line="276"/>
      </w:pPr>
      <w:r>
        <w:rPr>
          <w:b/>
          <w:bCs/>
          <w:color w:val="1B2733"/>
        </w:rPr>
        <w:t xml:space="preserve">Pack:  </w:t>
      </w:r>
      <w:r>
        <w:rPr>
          <w:color w:val="1B2733"/>
        </w:rPr>
        <w:t xml:space="preserve">Insurance Claims Triage (the exemplar; §11 notes how other packs differ)</w:t>
      </w:r>
    </w:p>
    <w:p>
      <w:pPr>
        <w:spacing w:after="120" w:line="276"/>
      </w:pPr>
      <w:r>
        <w:rPr>
          <w:b/>
          <w:bCs/>
          <w:color w:val="1B2733"/>
        </w:rPr>
        <w:t xml:space="preserve">Audience:  </w:t>
      </w:r>
      <w:r>
        <w:rPr>
          <w:color w:val="1B2733"/>
        </w:rPr>
        <w:t xml:space="preserve">data scientists, adjusters, case managers, tenant admins</w:t>
      </w:r>
    </w:p>
    <w:p>
      <w:pPr>
        <w:spacing w:after="120" w:line="276"/>
      </w:pPr>
      <w:r>
        <w:rPr>
          <w:b/>
          <w:bCs/>
          <w:color w:val="1B2733"/>
        </w:rPr>
        <w:t xml:space="preserve">Screenshots:  </w:t>
      </w:r>
      <w:r>
        <w:rPr>
          <w:color w:val="1B2733"/>
        </w:rPr>
        <w:t xml:space="preserve">captured live from the running platform (tenant “Acme Claims Co”) — real data, real AI</w:t>
      </w:r>
    </w:p>
    <w:p>
      <w:pPr>
        <w:spacing w:after="120" w:line="276"/>
      </w:pPr>
      <w:r>
        <w:rPr>
          <w:b/>
          <w:bCs/>
          <w:color w:val="1B2733"/>
        </w:rPr>
        <w:t xml:space="preserve">Date:  </w:t>
      </w:r>
      <w:r>
        <w:rPr>
          <w:color w:val="1B2733"/>
        </w:rPr>
        <w:t xml:space="preserve">2026-07-17</w:t>
      </w:r>
    </w:p>
    <w:p>
      <w:r>
        <w:br w:type="page"/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1.  What Windrose does for you</w:t>
      </w:r>
    </w:p>
    <w:p>
      <w:pPr>
        <w:spacing w:after="120" w:line="276"/>
      </w:pPr>
      <w:r>
        <w:rPr>
          <w:color w:val="1B2733"/>
        </w:rPr>
        <w:t xml:space="preserve">Windrose turns a spreadsheet-and-email process into a </w:t>
      </w:r>
      <w:r>
        <w:rPr>
          <w:b/>
          <w:bCs/>
          <w:color w:val="1B2733"/>
        </w:rPr>
        <w:t xml:space="preserve">governed decision workflow</w:t>
      </w:r>
      <w:r>
        <w:rPr>
          <w:color w:val="1B2733"/>
        </w:rPr>
        <w:t xml:space="preserve">. Somebody first </w:t>
      </w:r>
      <w:r>
        <w:rPr>
          <w:b/>
          <w:bCs/>
          <w:color w:val="1B2733"/>
        </w:rPr>
        <w:t xml:space="preserve">builds</w:t>
      </w:r>
      <w:r>
        <w:rPr>
          <w:color w:val="1B2733"/>
        </w:rPr>
        <w:t xml:space="preserve"> the capability — brings data in, prepares it, trains models, sets the rules. Then, every day, people </w:t>
      </w:r>
      <w:r>
        <w:rPr>
          <w:b/>
          <w:bCs/>
          <w:color w:val="1B2733"/>
        </w:rPr>
        <w:t xml:space="preserve">run</w:t>
      </w:r>
      <w:r>
        <w:rPr>
          <w:color w:val="1B2733"/>
        </w:rPr>
        <w:t xml:space="preserve"> decisions on it: an AI agent reads each case and </w:t>
      </w:r>
      <w:r>
        <w:rPr>
          <w:b/>
          <w:bCs/>
          <w:color w:val="1B2733"/>
        </w:rPr>
        <w:t xml:space="preserve">proposes</w:t>
      </w:r>
      <w:r>
        <w:rPr>
          <w:color w:val="1B2733"/>
        </w:rPr>
        <w:t xml:space="preserve"> an outcome (never acts alone), a human </w:t>
      </w:r>
      <w:r>
        <w:rPr>
          <w:b/>
          <w:bCs/>
          <w:color w:val="1B2733"/>
        </w:rPr>
        <w:t xml:space="preserve">approves, edits, or rejects</w:t>
      </w:r>
      <w:r>
        <w:rPr>
          <w:color w:val="1B2733"/>
        </w:rPr>
        <w:t xml:space="preserve">, the decision writes back, and every correction becomes training data so the next proposal is better.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The AI proposes; you decide. </w:t>
      </w:r>
      <w:r>
        <w:rPr>
          <w:color w:val="1B2733"/>
        </w:rPr>
        <w:t xml:space="preserve">No recommendation ever changes a record without a human approval.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Everything is grounded and governed. </w:t>
      </w:r>
      <w:r>
        <w:rPr>
          <w:color w:val="1B2733"/>
        </w:rPr>
        <w:t xml:space="preserve">Each step cites the real data it used and is authorized per-request against your permissions.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You only see what your role allows. </w:t>
      </w:r>
      <w:r>
        <w:rPr>
          <w:color w:val="1B2733"/>
        </w:rPr>
        <w:t xml:space="preserve">Menus, buttons and pages adapt to you; anything you can’t use fails closed with a clear message.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2.  The four people in the story</w:t>
      </w:r>
    </w:p>
    <w:p>
      <w:pPr>
        <w:spacing w:after="120" w:line="276"/>
      </w:pPr>
      <w:r>
        <w:rPr>
          <w:color w:val="1B2733"/>
        </w:rPr>
        <w:t xml:space="preserve">You may hold one role or several. In the demo each is a separate sign-in so you can walk the whole loop — build </w:t>
      </w:r>
      <w:r>
        <w:rPr>
          <w:i/>
          <w:iCs/>
        </w:rPr>
        <w:t xml:space="preserve">and</w:t>
      </w:r>
      <w:r>
        <w:rPr>
          <w:color w:val="1B2733"/>
        </w:rPr>
        <w:t xml:space="preserve"> run.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1F5C8C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600"/>
            <w:shd w:fill="1F5C8C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Signs in as</w:t>
            </w:r>
          </w:p>
        </w:tc>
        <w:tc>
          <w:tcPr>
            <w:tcW w:type="dxa" w:w="4860"/>
            <w:shd w:fill="1F5C8C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Their job across build + run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B2733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26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datascientist@demo.windrose</w:t>
            </w:r>
          </w:p>
        </w:tc>
        <w:tc>
          <w:tcPr>
            <w:tcW w:type="dxa" w:w="48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Builds the capability: connects data, prepares datasets &amp; semantic models, builds ML pipelines, runs experiments and evals.</w:t>
            </w:r>
          </w:p>
        </w:tc>
      </w:tr>
      <w:tr>
        <w:tc>
          <w:tcPr>
            <w:tcW w:type="dxa" w:w="1900"/>
            <w:shd w:fill="F4F8F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B2733"/>
                <w:sz w:val="18"/>
                <w:szCs w:val="18"/>
              </w:rPr>
              <w:t xml:space="preserve">Case Analyst (Adjuster)</w:t>
            </w:r>
          </w:p>
        </w:tc>
        <w:tc>
          <w:tcPr>
            <w:tcW w:type="dxa" w:w="2600"/>
            <w:shd w:fill="F4F8F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adjuster@demo.windrose</w:t>
            </w:r>
          </w:p>
        </w:tc>
        <w:tc>
          <w:tcPr>
            <w:tcW w:type="dxa" w:w="4860"/>
            <w:shd w:fill="F4F8F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Runs the decision: works the case queue, reads the AI recommendation, sets disposition, asks the copilot.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B2733"/>
                <w:sz w:val="18"/>
                <w:szCs w:val="18"/>
              </w:rPr>
              <w:t xml:space="preserve">Case Manager</w:t>
            </w:r>
          </w:p>
        </w:tc>
        <w:tc>
          <w:tcPr>
            <w:tcW w:type="dxa" w:w="26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manager@demo.windrose</w:t>
            </w:r>
          </w:p>
        </w:tc>
        <w:tc>
          <w:tcPr>
            <w:tcW w:type="dxa" w:w="48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Approves the decision: reviews the AI proposal and approves / rejects (four-eyes — never self-approves).</w:t>
            </w:r>
          </w:p>
        </w:tc>
      </w:tr>
      <w:tr>
        <w:tc>
          <w:tcPr>
            <w:tcW w:type="dxa" w:w="1900"/>
            <w:shd w:fill="F4F8F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B2733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600"/>
            <w:shd w:fill="F4F8F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admin@demo.windrose</w:t>
            </w:r>
          </w:p>
        </w:tc>
        <w:tc>
          <w:tcPr>
            <w:tcW w:type="dxa" w:w="4860"/>
            <w:shd w:fill="F4F8F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Governs it all: decision tables, tool registry, model ladders, RBAC, kill switches.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Sign-in note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The demo uses simple email sign-in: type the persona’s email and click </w:t>
            </w:r>
            <w:r>
              <w:rPr>
                <w:b/>
                <w:bCs/>
                <w:color w:val="1B2733"/>
              </w:rPr>
              <w:t xml:space="preserve">Sign in</w:t>
            </w:r>
            <w:r>
              <w:rPr>
                <w:color w:val="1B2733"/>
              </w:rPr>
              <w:t xml:space="preserve">. A real deployment uses your company SSO (the “Sign in with SSO” button); every step after login is identical.</w:t>
            </w:r>
          </w:p>
        </w:tc>
      </w:tr>
    </w:tbl>
    <w:p>
      <w:pPr>
        <w:pStyle w:val="Heading1"/>
        <w:spacing w:before="320" w:after="80"/>
      </w:pPr>
      <w:r>
        <w:rPr>
          <w:b/>
          <w:bCs/>
          <w:color w:val="1F5C8C"/>
        </w:rPr>
        <w:t xml:space="preserve">3.  Signing in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the platform at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http://localhost:3000</w:t>
      </w:r>
      <w:r>
        <w:rPr>
          <w:color w:val="1B2733"/>
        </w:rPr>
        <w:t xml:space="preserve"> (or your company URL).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Type your email and click </w:t>
      </w:r>
      <w:r>
        <w:rPr>
          <w:b/>
          <w:bCs/>
          <w:color w:val="1B2733"/>
        </w:rPr>
        <w:t xml:space="preserve">Sign in</w:t>
      </w:r>
      <w:r>
        <w:rPr>
          <w:color w:val="1B2733"/>
        </w:rPr>
        <w:t xml:space="preserve">. You land on Home, scoped to your tenant and role.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1. </w:t>
      </w:r>
      <w:r>
        <w:rPr>
          <w:i/>
          <w:iCs/>
          <w:color w:val="5A6B7B"/>
          <w:sz w:val="17"/>
          <w:szCs w:val="17"/>
        </w:rPr>
        <w:t xml:space="preserve">The login page. Company SSO is the button on the right; the demo uses email sign-in.</w:t>
      </w:r>
    </w:p>
    <w:p>
      <w:pPr>
        <w:spacing w:after="120" w:line="276"/>
      </w:pPr>
      <w:r>
        <w:rPr>
          <w:color w:val="1B2733"/>
        </w:rPr>
        <w:t xml:space="preserve">Home shows your worklist, an approval counter, and the </w:t>
      </w:r>
      <w:r>
        <w:rPr>
          <w:b/>
          <w:bCs/>
          <w:color w:val="1B2733"/>
        </w:rPr>
        <w:t xml:space="preserve">Learning-loop</w:t>
      </w:r>
      <w:r>
        <w:rPr>
          <w:color w:val="1B2733"/>
        </w:rPr>
        <w:t xml:space="preserve"> panel — the count of decisions captured and human corrections that train the next model.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2. </w:t>
      </w:r>
      <w:r>
        <w:rPr>
          <w:i/>
          <w:iCs/>
          <w:color w:val="5A6B7B"/>
          <w:sz w:val="17"/>
          <w:szCs w:val="17"/>
        </w:rPr>
        <w:t xml:space="preserve">Home: your queue, what’s awaiting approval, the live learning-loop counter, and AI cost.</w:t>
      </w:r>
    </w:p>
    <w:p>
      <w:pPr>
        <w:pageBreakBefore/>
        <w:pBdr>
          <w:bottom w:val="single" w:color="1F5C8C" w:sz="12"/>
        </w:pBdr>
        <w:spacing w:before="0" w:after="40"/>
      </w:pPr>
      <w:r>
        <w:rPr>
          <w:b/>
          <w:bCs/>
          <w:color w:val="1F5C8C"/>
          <w:sz w:val="34"/>
          <w:szCs w:val="34"/>
        </w:rPr>
        <w:t xml:space="preserve">Part I  ·  Build the capability</w:t>
      </w:r>
    </w:p>
    <w:p>
      <w:pPr>
        <w:spacing w:before="60" w:after="120"/>
      </w:pPr>
      <w:r>
        <w:rPr>
          <w:b/>
          <w:bCs/>
          <w:color w:val="FFFFFF"/>
          <w:sz w:val="18"/>
          <w:szCs w:val="18"/>
          <w:shd w:fill="1F5C8C" w:color="auto" w:val="clear"/>
        </w:rPr>
        <w:t xml:space="preserve">  DATA SCIENTIST + ADMIN  </w:t>
      </w:r>
      <w:r>
        <w:rPr>
          <w:i/>
          <w:iCs/>
          <w:color w:val="5A6B7B"/>
          <w:sz w:val="20"/>
          <w:szCs w:val="20"/>
        </w:rPr>
        <w:t xml:space="preserve">   signs in as datascientist@demo.windrose (build) and admin@demo.windrose (govern)</w:t>
      </w:r>
    </w:p>
    <w:p>
      <w:pPr>
        <w:spacing w:after="120" w:line="276"/>
      </w:pPr>
      <w:r>
        <w:rPr>
          <w:color w:val="1B2733"/>
        </w:rPr>
        <w:t xml:space="preserve">Before anyone triages a claim, someone makes the capability exist: connect the data, prepare it into governed datasets and models, build the ML pipelines, and gate the models with evals. This is the </w:t>
      </w:r>
      <w:r>
        <w:rPr>
          <w:b/>
          <w:bCs/>
          <w:color w:val="1B2733"/>
        </w:rPr>
        <w:t xml:space="preserve">build journey</w:t>
      </w:r>
      <w:r>
        <w:rPr>
          <w:color w:val="1B2733"/>
        </w:rPr>
        <w:t xml:space="preserve"> — mostly the Data Scientist, with the Admin governing.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4.  Data sourcing — connect where your data lives</w:t>
      </w:r>
    </w:p>
    <w:p>
      <w:pPr>
        <w:spacing w:after="120" w:line="276"/>
      </w:pPr>
      <w:r>
        <w:rPr>
          <w:color w:val="1B2733"/>
        </w:rPr>
        <w:t xml:space="preserve">Everything starts from real data. Open </w:t>
      </w:r>
      <w:r>
        <w:rPr>
          <w:b/>
          <w:bCs/>
          <w:color w:val="1B2733"/>
        </w:rPr>
        <w:t xml:space="preserve">Data → Data Sources</w:t>
      </w:r>
      <w:r>
        <w:rPr>
          <w:color w:val="1B2733"/>
        </w:rPr>
        <w:t xml:space="preserve"> and click </w:t>
      </w:r>
      <w:r>
        <w:rPr>
          <w:b/>
          <w:bCs/>
          <w:color w:val="1B2733"/>
        </w:rPr>
        <w:t xml:space="preserve">New data source</w:t>
      </w:r>
      <w:r>
        <w:rPr>
          <w:color w:val="1B2733"/>
        </w:rPr>
        <w:t xml:space="preserve">. Windrose can connect to databases, warehouses, object stores, file servers, SaaS apps — or you can upload a file directly.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3. </w:t>
      </w:r>
      <w:r>
        <w:rPr>
          <w:i/>
          <w:iCs/>
          <w:color w:val="5A6B7B"/>
          <w:sz w:val="17"/>
          <w:szCs w:val="17"/>
        </w:rPr>
        <w:t xml:space="preserve">Choosing a source type: Postgres/MySQL/Oracle/SQL-Server, Snowflake/BigQuery/Redshift/Databricks/Synapse/Trino, S3/Azure-Blob/GCS, SFTP/FTP, Salesforce/HTTP — or a direct file upload.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Pick a source type (for a quick start, </w:t>
      </w:r>
      <w:r>
        <w:rPr>
          <w:b/>
          <w:bCs/>
          <w:color w:val="1B2733"/>
        </w:rPr>
        <w:t xml:space="preserve">File upload</w:t>
      </w:r>
      <w:r>
        <w:rPr>
          <w:color w:val="1B2733"/>
        </w:rPr>
        <w:t xml:space="preserve"> accepts CSV, JSON, Parquet, Avro, or XML).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Enter connection details and </w:t>
      </w:r>
      <w:r>
        <w:rPr>
          <w:b/>
          <w:bCs/>
          <w:color w:val="1B2733"/>
        </w:rPr>
        <w:t xml:space="preserve">Test connection</w:t>
      </w:r>
      <w:r>
        <w:rPr>
          <w:color w:val="1B2733"/>
        </w:rPr>
        <w:t xml:space="preserve"> — a green </w:t>
      </w:r>
      <w:r>
        <w:rPr>
          <w:b/>
          <w:bCs/>
          <w:color w:val="2E7D57"/>
        </w:rPr>
        <w:t xml:space="preserve">succeeded</w:t>
      </w:r>
      <w:r>
        <w:rPr>
          <w:color w:val="1B2733"/>
        </w:rPr>
        <w:t xml:space="preserve"> confirms Windrose can reach it.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Save it. Your connections live on the Data Sources page, each re-testable and editable.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4. </w:t>
      </w:r>
      <w:r>
        <w:rPr>
          <w:i/>
          <w:iCs/>
          <w:color w:val="5A6B7B"/>
          <w:sz w:val="17"/>
          <w:szCs w:val="17"/>
        </w:rPr>
        <w:t xml:space="preserve">Saved connections. Each shows its type, last-tested status, and Test / Edit / Delete actions.</w:t>
      </w:r>
    </w:p>
    <w:p>
      <w:pPr>
        <w:spacing w:after="120" w:line="276"/>
      </w:pPr>
      <w:r>
        <w:rPr>
          <w:color w:val="1B2733"/>
        </w:rPr>
        <w:t xml:space="preserve">A saved source is pulled in by an </w:t>
      </w:r>
      <w:r>
        <w:rPr>
          <w:b/>
          <w:bCs/>
          <w:color w:val="1B2733"/>
        </w:rPr>
        <w:t xml:space="preserve">ingestion run</w:t>
      </w:r>
      <w:r>
        <w:rPr>
          <w:color w:val="1B2733"/>
        </w:rPr>
        <w:t xml:space="preserve"> (Data → Ingestions), which lands the data as a versioned dataset. Runs show live status with </w:t>
      </w:r>
      <w:r>
        <w:rPr>
          <w:b/>
          <w:bCs/>
          <w:color w:val="1B2733"/>
        </w:rPr>
        <w:t xml:space="preserve">Retry</w:t>
      </w:r>
      <w:r>
        <w:rPr>
          <w:color w:val="1B2733"/>
        </w:rPr>
        <w:t xml:space="preserve"> / </w:t>
      </w:r>
      <w:r>
        <w:rPr>
          <w:b/>
          <w:bCs/>
          <w:color w:val="1B2733"/>
        </w:rPr>
        <w:t xml:space="preserve">Re-ingest</w:t>
      </w:r>
      <w:r>
        <w:rPr>
          <w:color w:val="1B2733"/>
        </w:rPr>
        <w:t xml:space="preserve"> if a source hiccups — nothing silently disappears.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5.  Data preparation — turn raw data into governed assets</w:t>
      </w:r>
    </w:p>
    <w:p>
      <w:pPr>
        <w:pStyle w:val="Heading2"/>
        <w:spacing w:before="220" w:after="60"/>
      </w:pPr>
      <w:r>
        <w:rPr>
          <w:b/>
          <w:bCs/>
          <w:color w:val="1B2733"/>
        </w:rPr>
        <w:t xml:space="preserve">5.1  Datasets &amp; profiling</w:t>
      </w:r>
    </w:p>
    <w:p>
      <w:pPr>
        <w:spacing w:after="120" w:line="276"/>
      </w:pPr>
      <w:r>
        <w:rPr>
          <w:color w:val="1B2733"/>
        </w:rPr>
        <w:t xml:space="preserve">Each ingested source becomes a </w:t>
      </w:r>
      <w:r>
        <w:rPr>
          <w:b/>
          <w:bCs/>
          <w:color w:val="1B2733"/>
        </w:rPr>
        <w:t xml:space="preserve">dataset</w:t>
      </w:r>
      <w:r>
        <w:rPr>
          <w:color w:val="1B2733"/>
        </w:rPr>
        <w:t xml:space="preserve"> with versions, a profile, and lineage. Open </w:t>
      </w:r>
      <w:r>
        <w:rPr>
          <w:b/>
          <w:bCs/>
          <w:color w:val="1B2733"/>
        </w:rPr>
        <w:t xml:space="preserve">Data → Datasets</w:t>
      </w:r>
      <w:r>
        <w:rPr>
          <w:color w:val="1B2733"/>
        </w:rPr>
        <w:t xml:space="preserve"> and confirm yours reads </w:t>
      </w:r>
      <w:r>
        <w:rPr>
          <w:b/>
          <w:bCs/>
          <w:color w:val="2E7D57"/>
        </w:rPr>
        <w:t xml:space="preserve">ready</w:t>
      </w:r>
      <w:r>
        <w:rPr>
          <w:color w:val="1B2733"/>
        </w:rPr>
        <w:t xml:space="preserve">. Rows link through to schema, column distributions, and where the data came from.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5. </w:t>
      </w:r>
      <w:r>
        <w:rPr>
          <w:i/>
          <w:iCs/>
          <w:color w:val="5A6B7B"/>
          <w:sz w:val="17"/>
          <w:szCs w:val="17"/>
        </w:rPr>
        <w:t xml:space="preserve">The dataset index — real ingested data, each profiled and query-ready.</w:t>
      </w:r>
    </w:p>
    <w:p>
      <w:pPr>
        <w:pStyle w:val="Heading2"/>
        <w:spacing w:before="220" w:after="60"/>
      </w:pPr>
      <w:r>
        <w:rPr>
          <w:b/>
          <w:bCs/>
          <w:color w:val="1B2733"/>
        </w:rPr>
        <w:t xml:space="preserve">5.2  Explore with governed SQL</w:t>
      </w:r>
    </w:p>
    <w:p>
      <w:pPr>
        <w:spacing w:after="120" w:line="276"/>
      </w:pPr>
      <w:r>
        <w:rPr>
          <w:color w:val="1B2733"/>
        </w:rPr>
        <w:t xml:space="preserve">Open </w:t>
      </w:r>
      <w:r>
        <w:rPr>
          <w:b/>
          <w:bCs/>
          <w:color w:val="1B2733"/>
        </w:rPr>
        <w:t xml:space="preserve">Data → Queries</w:t>
      </w:r>
      <w:r>
        <w:rPr>
          <w:color w:val="1B2733"/>
        </w:rPr>
        <w:t xml:space="preserve"> to run ad-hoc SQL against the governed query engine, save reusable queries, and review execution history. Statements are read-only and results are capped — safe exploration.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6. </w:t>
      </w:r>
      <w:r>
        <w:rPr>
          <w:i/>
          <w:iCs/>
          <w:color w:val="5A6B7B"/>
          <w:sz w:val="17"/>
          <w:szCs w:val="17"/>
        </w:rPr>
        <w:t xml:space="preserve">The governed query editor with a library of saved, versioned queries you can Run, Edit, or branch.</w:t>
      </w:r>
    </w:p>
    <w:p>
      <w:pPr>
        <w:pStyle w:val="Heading2"/>
        <w:spacing w:before="220" w:after="60"/>
      </w:pPr>
      <w:r>
        <w:rPr>
          <w:b/>
          <w:bCs/>
          <w:color w:val="1B2733"/>
        </w:rPr>
        <w:t xml:space="preserve">5.3  Semantic models — define your metrics once</w:t>
      </w:r>
    </w:p>
    <w:p>
      <w:pPr>
        <w:spacing w:after="120" w:line="276"/>
      </w:pPr>
      <w:r>
        <w:rPr>
          <w:color w:val="1B2733"/>
        </w:rPr>
        <w:t xml:space="preserve">A </w:t>
      </w:r>
      <w:r>
        <w:rPr>
          <w:b/>
          <w:bCs/>
          <w:color w:val="1B2733"/>
        </w:rPr>
        <w:t xml:space="preserve">semantic model</w:t>
      </w:r>
      <w:r>
        <w:rPr>
          <w:color w:val="1B2733"/>
        </w:rPr>
        <w:t xml:space="preserve"> binds business concepts (entities, dimensions, measures) to real dataset columns, so dashboards and agents all speak the same governed language. Open </w:t>
      </w:r>
      <w:r>
        <w:rPr>
          <w:b/>
          <w:bCs/>
          <w:color w:val="1B2733"/>
        </w:rPr>
        <w:t xml:space="preserve">Data → Semantic Models</w:t>
      </w:r>
      <w:r>
        <w:rPr>
          <w:color w:val="1B2733"/>
        </w:rPr>
        <w:t xml:space="preserve">, click </w:t>
      </w:r>
      <w:r>
        <w:rPr>
          <w:b/>
          <w:bCs/>
          <w:color w:val="1B2733"/>
        </w:rPr>
        <w:t xml:space="preserve">New model</w:t>
      </w:r>
      <w:r>
        <w:rPr>
          <w:color w:val="1B2733"/>
        </w:rPr>
        <w:t xml:space="preserve">, name it, then bind its dimensions and measures to columns.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7. </w:t>
      </w:r>
      <w:r>
        <w:rPr>
          <w:i/>
          <w:iCs/>
          <w:color w:val="5A6B7B"/>
          <w:sz w:val="17"/>
          <w:szCs w:val="17"/>
        </w:rPr>
        <w:t xml:space="preserve">Creating a semantic model. After naming it you bind entities, dimensions and measures to real dataset columns.</w:t>
      </w:r>
    </w:p>
    <w:p>
      <w:pPr>
        <w:spacing w:after="120" w:line="276"/>
      </w:pPr>
      <w:r>
        <w:rPr>
          <w:color w:val="1B2733"/>
        </w:rPr>
        <w:t xml:space="preserve">Published models show a </w:t>
      </w:r>
      <w:r>
        <w:rPr>
          <w:b/>
          <w:bCs/>
          <w:color w:val="2E7D57"/>
        </w:rPr>
        <w:t xml:space="preserve">health</w:t>
      </w:r>
      <w:r>
        <w:rPr>
          <w:color w:val="1B2733"/>
        </w:rPr>
        <w:t xml:space="preserve"> indicator; a model with a broken column reference surfaces as unhealthy so you fix it before anything depends on it. Model changes are reviewable (four-eyes) before publish.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6.  Pipelines — build, validate, run</w:t>
      </w:r>
    </w:p>
    <w:p>
      <w:pPr>
        <w:spacing w:after="120" w:line="276"/>
      </w:pPr>
      <w:r>
        <w:rPr>
          <w:color w:val="1B2733"/>
        </w:rPr>
        <w:t xml:space="preserve">Pipelines are </w:t>
      </w:r>
      <w:r>
        <w:rPr>
          <w:b/>
          <w:bCs/>
          <w:color w:val="1B2733"/>
        </w:rPr>
        <w:t xml:space="preserve">no-code ML/data workflows</w:t>
      </w:r>
      <w:r>
        <w:rPr>
          <w:color w:val="1B2733"/>
        </w:rPr>
        <w:t xml:space="preserve"> assembled from a catalog of steps. Open </w:t>
      </w:r>
      <w:r>
        <w:rPr>
          <w:b/>
          <w:bCs/>
          <w:color w:val="1B2733"/>
        </w:rPr>
        <w:t xml:space="preserve">Data → Pipelines</w:t>
      </w:r>
      <w:r>
        <w:rPr>
          <w:color w:val="1B2733"/>
        </w:rPr>
        <w:t xml:space="preserve"> to see every pipeline in the workspace — data-prep and training alike — each with </w:t>
      </w:r>
      <w:r>
        <w:rPr>
          <w:b/>
          <w:bCs/>
          <w:color w:val="1B2733"/>
        </w:rPr>
        <w:t xml:space="preserve">Run</w:t>
      </w:r>
      <w:r>
        <w:rPr>
          <w:color w:val="1B2733"/>
        </w:rPr>
        <w:t xml:space="preserve">, </w:t>
      </w:r>
      <w:r>
        <w:rPr>
          <w:b/>
          <w:bCs/>
          <w:color w:val="1B2733"/>
        </w:rPr>
        <w:t xml:space="preserve">Edit</w:t>
      </w:r>
      <w:r>
        <w:rPr>
          <w:color w:val="1B2733"/>
        </w:rPr>
        <w:t xml:space="preserve">, </w:t>
      </w:r>
      <w:r>
        <w:rPr>
          <w:b/>
          <w:bCs/>
          <w:color w:val="1B2733"/>
        </w:rPr>
        <w:t xml:space="preserve">Versions</w:t>
      </w:r>
      <w:r>
        <w:rPr>
          <w:color w:val="1B2733"/>
        </w:rPr>
        <w:t xml:space="preserve">, </w:t>
      </w:r>
      <w:r>
        <w:rPr>
          <w:b/>
          <w:bCs/>
          <w:color w:val="1B2733"/>
        </w:rPr>
        <w:t xml:space="preserve">Compile</w:t>
      </w:r>
      <w:r>
        <w:rPr>
          <w:color w:val="1B2733"/>
        </w:rPr>
        <w:t xml:space="preserve">, </w:t>
      </w:r>
      <w:r>
        <w:rPr>
          <w:b/>
          <w:bCs/>
          <w:color w:val="1B2733"/>
        </w:rPr>
        <w:t xml:space="preserve">Clone</w:t>
      </w:r>
      <w:r>
        <w:rPr>
          <w:color w:val="1B2733"/>
        </w:rPr>
        <w:t xml:space="preserve">, and </w:t>
      </w:r>
      <w:r>
        <w:rPr>
          <w:b/>
          <w:bCs/>
          <w:color w:val="1B2733"/>
        </w:rPr>
        <w:t xml:space="preserve">Archive</w:t>
      </w:r>
      <w:r>
        <w:rPr>
          <w:color w:val="1B2733"/>
        </w:rPr>
        <w:t xml:space="preserve">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8. </w:t>
      </w:r>
      <w:r>
        <w:rPr>
          <w:i/>
          <w:iCs/>
          <w:color w:val="5A6B7B"/>
          <w:sz w:val="17"/>
          <w:szCs w:val="17"/>
        </w:rPr>
        <w:t xml:space="preserve">The pipeline catalog: real training pipelines (xgboost, isolation-forest, random-forest) and data-prep pipelines, each runnable and versioned.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Click </w:t>
      </w:r>
      <w:r>
        <w:rPr>
          <w:b/>
          <w:bCs/>
          <w:color w:val="1B2733"/>
        </w:rPr>
        <w:t xml:space="preserve">New pipeline</w:t>
      </w:r>
      <w:r>
        <w:rPr>
          <w:color w:val="1B2733"/>
        </w:rPr>
        <w:t xml:space="preserve">, give it a name and type (data-prep or training).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Add steps from the catalog and bind each step’s inputs to your datasets/columns.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Click </w:t>
      </w:r>
      <w:r>
        <w:rPr>
          <w:b/>
          <w:bCs/>
          <w:color w:val="1B2733"/>
        </w:rPr>
        <w:t xml:space="preserve">Compile</w:t>
      </w:r>
      <w:r>
        <w:rPr>
          <w:color w:val="1B2733"/>
        </w:rPr>
        <w:t xml:space="preserve"> to validate the graph, then </w:t>
      </w:r>
      <w:r>
        <w:rPr>
          <w:b/>
          <w:bCs/>
          <w:color w:val="1B2733"/>
        </w:rPr>
        <w:t xml:space="preserve">Run</w:t>
      </w:r>
      <w:r>
        <w:rPr>
          <w:color w:val="1B2733"/>
        </w:rPr>
        <w:t xml:space="preserve"> — or use </w:t>
      </w:r>
      <w:r>
        <w:rPr>
          <w:b/>
          <w:bCs/>
          <w:color w:val="1B2733"/>
        </w:rPr>
        <w:t xml:space="preserve">Schedules</w:t>
      </w:r>
      <w:r>
        <w:rPr>
          <w:color w:val="1B2733"/>
        </w:rPr>
        <w:t xml:space="preserve"> to run it on a recurring cadence.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Every run appears under </w:t>
      </w:r>
      <w:r>
        <w:rPr>
          <w:b/>
          <w:bCs/>
          <w:color w:val="1B2733"/>
        </w:rPr>
        <w:t xml:space="preserve">Runs</w:t>
      </w:r>
      <w:r>
        <w:rPr>
          <w:color w:val="1B2733"/>
        </w:rPr>
        <w:t xml:space="preserve"> with live status (no page refresh) so you can watch it progress.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Tip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Pipelines read the </w:t>
            </w:r>
            <w:r>
              <w:rPr>
                <w:b/>
                <w:bCs/>
                <w:color w:val="1B2733"/>
              </w:rPr>
              <w:t xml:space="preserve">real rows</w:t>
            </w:r>
            <w:r>
              <w:rPr>
                <w:color w:val="1B2733"/>
              </w:rPr>
              <w:t xml:space="preserve"> of your prepared datasets, and a training pipeline’s output is automatically mirrored into the model registry (next section) — so a model you train here is immediately promotable.</w:t>
            </w:r>
          </w:p>
        </w:tc>
      </w:tr>
    </w:tbl>
    <w:p>
      <w:pPr>
        <w:pStyle w:val="Heading1"/>
        <w:spacing w:before="320" w:after="80"/>
      </w:pPr>
      <w:r>
        <w:rPr>
          <w:b/>
          <w:bCs/>
          <w:color w:val="1F5C8C"/>
        </w:rPr>
        <w:t xml:space="preserve">7.  AI / ML — experiments, models, and the eval gate</w:t>
      </w:r>
    </w:p>
    <w:p>
      <w:pPr>
        <w:pStyle w:val="Heading2"/>
        <w:spacing w:before="220" w:after="60"/>
      </w:pPr>
      <w:r>
        <w:rPr>
          <w:b/>
          <w:bCs/>
          <w:color w:val="1B2733"/>
        </w:rPr>
        <w:t xml:space="preserve">7.1  Experiments &amp; models</w:t>
      </w:r>
    </w:p>
    <w:p>
      <w:pPr>
        <w:spacing w:after="120" w:line="276"/>
      </w:pPr>
      <w:r>
        <w:rPr>
          <w:color w:val="1B2733"/>
        </w:rPr>
        <w:t xml:space="preserve">Open </w:t>
      </w:r>
      <w:r>
        <w:rPr>
          <w:b/>
          <w:bCs/>
          <w:color w:val="1B2733"/>
        </w:rPr>
        <w:t xml:space="preserve">Machine Learning → ML</w:t>
      </w:r>
      <w:r>
        <w:rPr>
          <w:color w:val="1B2733"/>
        </w:rPr>
        <w:t xml:space="preserve">. </w:t>
      </w:r>
      <w:r>
        <w:rPr>
          <w:b/>
          <w:bCs/>
          <w:color w:val="1B2733"/>
        </w:rPr>
        <w:t xml:space="preserve">Experiments</w:t>
      </w:r>
      <w:r>
        <w:rPr>
          <w:color w:val="1B2733"/>
        </w:rPr>
        <w:t xml:space="preserve"> track training runs with live status; the </w:t>
      </w:r>
      <w:r>
        <w:rPr>
          <w:b/>
          <w:bCs/>
          <w:color w:val="1B2733"/>
        </w:rPr>
        <w:t xml:space="preserve">Models</w:t>
      </w:r>
      <w:r>
        <w:rPr>
          <w:color w:val="1B2733"/>
        </w:rPr>
        <w:t xml:space="preserve"> tab is the registry of versioned models; </w:t>
      </w:r>
      <w:r>
        <w:rPr>
          <w:b/>
          <w:bCs/>
          <w:color w:val="1B2733"/>
        </w:rPr>
        <w:t xml:space="preserve">Inference jobs</w:t>
      </w:r>
      <w:r>
        <w:rPr>
          <w:color w:val="1B2733"/>
        </w:rPr>
        <w:t xml:space="preserve"> run batch scoring. A model trained by a pipeline shows up here automatically (“auto-mirrored from an MLflow training run”), ready to promote.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9. </w:t>
      </w:r>
      <w:r>
        <w:rPr>
          <w:i/>
          <w:iCs/>
          <w:color w:val="5A6B7B"/>
          <w:sz w:val="17"/>
          <w:szCs w:val="17"/>
        </w:rPr>
        <w:t xml:space="preserve">Experiments — training runs with live status, plus Models, Inference-jobs and Eval tabs. Note the model auto-mirrored from a pipeline run.</w:t>
      </w:r>
    </w:p>
    <w:p>
      <w:pPr>
        <w:pStyle w:val="Heading2"/>
        <w:spacing w:before="220" w:after="60"/>
      </w:pPr>
      <w:r>
        <w:rPr>
          <w:b/>
          <w:bCs/>
          <w:color w:val="1B2733"/>
        </w:rPr>
        <w:t xml:space="preserve">7.2  The eval gate</w:t>
      </w:r>
    </w:p>
    <w:p>
      <w:pPr>
        <w:spacing w:after="120" w:line="276"/>
      </w:pPr>
      <w:r>
        <w:rPr>
          <w:color w:val="1B2733"/>
        </w:rPr>
        <w:t xml:space="preserve">A model is never promoted on trust. Open </w:t>
      </w:r>
      <w:r>
        <w:rPr>
          <w:b/>
          <w:bCs/>
          <w:color w:val="1B2733"/>
        </w:rPr>
        <w:t xml:space="preserve">Machine Learning → Eval</w:t>
      </w:r>
      <w:r>
        <w:rPr>
          <w:color w:val="1B2733"/>
        </w:rPr>
        <w:t xml:space="preserve"> — the </w:t>
      </w:r>
      <w:r>
        <w:rPr>
          <w:b/>
          <w:bCs/>
          <w:color w:val="1B2733"/>
        </w:rPr>
        <w:t xml:space="preserve">eval flywheel</w:t>
      </w:r>
      <w:r>
        <w:rPr>
          <w:color w:val="1B2733"/>
        </w:rPr>
        <w:t xml:space="preserve">: scoring </w:t>
      </w:r>
      <w:r>
        <w:rPr>
          <w:b/>
          <w:bCs/>
          <w:color w:val="1B2733"/>
        </w:rPr>
        <w:t xml:space="preserve">Runs</w:t>
      </w:r>
      <w:r>
        <w:rPr>
          <w:color w:val="1B2733"/>
        </w:rPr>
        <w:t xml:space="preserve"> with gate status, per-scorer </w:t>
      </w:r>
      <w:r>
        <w:rPr>
          <w:b/>
          <w:bCs/>
          <w:color w:val="1B2733"/>
        </w:rPr>
        <w:t xml:space="preserve">Trends / scorecard</w:t>
      </w:r>
      <w:r>
        <w:rPr>
          <w:color w:val="1B2733"/>
        </w:rPr>
        <w:t xml:space="preserve">, frozen eval </w:t>
      </w:r>
      <w:r>
        <w:rPr>
          <w:b/>
          <w:bCs/>
          <w:color w:val="1B2733"/>
        </w:rPr>
        <w:t xml:space="preserve">Datasets</w:t>
      </w:r>
      <w:r>
        <w:rPr>
          <w:color w:val="1B2733"/>
        </w:rPr>
        <w:t xml:space="preserve">, a </w:t>
      </w:r>
      <w:r>
        <w:rPr>
          <w:b/>
          <w:bCs/>
          <w:color w:val="1B2733"/>
        </w:rPr>
        <w:t xml:space="preserve">Case queue</w:t>
      </w:r>
      <w:r>
        <w:rPr>
          <w:color w:val="1B2733"/>
        </w:rPr>
        <w:t xml:space="preserve"> of candidate cases from real corrections, a </w:t>
      </w:r>
      <w:r>
        <w:rPr>
          <w:b/>
          <w:bCs/>
          <w:color w:val="1B2733"/>
        </w:rPr>
        <w:t xml:space="preserve">Scorer</w:t>
      </w:r>
      <w:r>
        <w:rPr>
          <w:color w:val="1B2733"/>
        </w:rPr>
        <w:t xml:space="preserve"> registry, and </w:t>
      </w:r>
      <w:r>
        <w:rPr>
          <w:b/>
          <w:bCs/>
          <w:color w:val="1B2733"/>
        </w:rPr>
        <w:t xml:space="preserve">Canaries</w:t>
      </w:r>
      <w:r>
        <w:rPr>
          <w:color w:val="1B2733"/>
        </w:rPr>
        <w:t xml:space="preserve"> for A/B against the current baseline.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10. </w:t>
      </w:r>
      <w:r>
        <w:rPr>
          <w:i/>
          <w:iCs/>
          <w:color w:val="5A6B7B"/>
          <w:sz w:val="17"/>
          <w:szCs w:val="17"/>
        </w:rPr>
        <w:t xml:space="preserve">The eval flywheel: runs &amp; gates, score-trend scorecards, scorers, and canary A/B comparisons — the promotion gate for models and agents.</w:t>
      </w:r>
    </w:p>
    <w:p>
      <w:pPr>
        <w:spacing w:after="120" w:line="276"/>
      </w:pPr>
      <w:r>
        <w:rPr>
          <w:color w:val="1B2733"/>
        </w:rPr>
        <w:t xml:space="preserve">Only a candidate that clears its eval suite can be promoted (by an admin) to serve real decisions — and it can be rolled back just as cleanly.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8.  Insights — dashboards on your governed data</w:t>
      </w:r>
    </w:p>
    <w:p>
      <w:pPr>
        <w:spacing w:after="120" w:line="276"/>
      </w:pPr>
      <w:r>
        <w:rPr>
          <w:color w:val="1B2733"/>
        </w:rPr>
        <w:t xml:space="preserve">Finally, </w:t>
      </w:r>
      <w:r>
        <w:rPr>
          <w:b/>
          <w:bCs/>
          <w:color w:val="1B2733"/>
        </w:rPr>
        <w:t xml:space="preserve">Insights → Dashboards</w:t>
      </w:r>
      <w:r>
        <w:rPr>
          <w:color w:val="1B2733"/>
        </w:rPr>
        <w:t xml:space="preserve"> turns the semantic models into boards your business users watch. Click </w:t>
      </w:r>
      <w:r>
        <w:rPr>
          <w:b/>
          <w:bCs/>
          <w:color w:val="1B2733"/>
        </w:rPr>
        <w:t xml:space="preserve">Create dashboard</w:t>
      </w:r>
      <w:r>
        <w:rPr>
          <w:color w:val="1B2733"/>
        </w:rPr>
        <w:t xml:space="preserve">, add charts bound to your model’s measures and dimensions, and (optionally) schedule the board to be emailed. Each installed pack ships its own dashboards.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11. </w:t>
      </w:r>
      <w:r>
        <w:rPr>
          <w:i/>
          <w:iCs/>
          <w:color w:val="5A6B7B"/>
          <w:sz w:val="17"/>
          <w:szCs w:val="17"/>
        </w:rPr>
        <w:t xml:space="preserve">Dashboards in this workspace — the many boards come from the vertical packs installed in the tenant.</w:t>
      </w:r>
    </w:p>
    <w:p>
      <w:pPr>
        <w:spacing w:after="4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What you just built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A connected source → a </w:t>
            </w:r>
            <w:r>
              <w:rPr>
                <w:b/>
                <w:bCs/>
                <w:color w:val="2E7D57"/>
              </w:rPr>
              <w:t xml:space="preserve">ready</w:t>
            </w:r>
            <w:r>
              <w:rPr>
                <w:color w:val="1B2733"/>
              </w:rPr>
              <w:t xml:space="preserve"> governed dataset → a semantic model → a validated pipeline → an eval-gated model → dashboards. The capability now exists. Part II is how people use it every day.</w:t>
            </w:r>
          </w:p>
        </w:tc>
      </w:tr>
    </w:tbl>
    <w:p>
      <w:pPr>
        <w:pageBreakBefore/>
        <w:pBdr>
          <w:bottom w:val="single" w:color="1F5C8C" w:sz="12"/>
        </w:pBdr>
        <w:spacing w:before="0" w:after="40"/>
      </w:pPr>
      <w:r>
        <w:rPr>
          <w:b/>
          <w:bCs/>
          <w:color w:val="1F5C8C"/>
          <w:sz w:val="34"/>
          <w:szCs w:val="34"/>
        </w:rPr>
        <w:t xml:space="preserve">Part II  ·  Run the decision</w:t>
      </w:r>
    </w:p>
    <w:p>
      <w:pPr>
        <w:spacing w:after="120" w:line="276"/>
      </w:pPr>
      <w:r>
        <w:rPr>
          <w:color w:val="1B2733"/>
        </w:rPr>
        <w:t xml:space="preserve">We follow one claim — </w:t>
      </w:r>
      <w:r>
        <w:rPr>
          <w:b/>
          <w:bCs/>
          <w:color w:val="1B2733"/>
        </w:rPr>
        <w:t xml:space="preserve">Sofía Gómez, CLM-1014</w:t>
      </w:r>
      <w:r>
        <w:rPr>
          <w:color w:val="1B2733"/>
        </w:rPr>
        <w:t xml:space="preserve">, a $760.40 auto headlamp claim — from the queue to an approved, governed decision.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9.  Case Analyst (Adjuster) — work the queue</w:t>
      </w:r>
    </w:p>
    <w:p>
      <w:pPr>
        <w:spacing w:before="60" w:after="120"/>
      </w:pPr>
      <w:r>
        <w:rPr>
          <w:b/>
          <w:bCs/>
          <w:color w:val="FFFFFF"/>
          <w:sz w:val="18"/>
          <w:szCs w:val="18"/>
          <w:shd w:fill="1F5C8C" w:color="auto" w:val="clear"/>
        </w:rPr>
        <w:t xml:space="preserve">  ADJUSTER  </w:t>
      </w:r>
      <w:r>
        <w:rPr>
          <w:i/>
          <w:iCs/>
          <w:color w:val="5A6B7B"/>
          <w:sz w:val="20"/>
          <w:szCs w:val="20"/>
        </w:rPr>
        <w:t xml:space="preserve">   signs in as adjuster@demo.windrose</w:t>
      </w:r>
    </w:p>
    <w:p>
      <w:pPr>
        <w:spacing w:after="120" w:line="276"/>
      </w:pPr>
      <w:r>
        <w:rPr>
          <w:color w:val="1B2733"/>
        </w:rPr>
        <w:t xml:space="preserve">The adjuster is the day-to-day worker. Notice the left nav is </w:t>
      </w:r>
      <w:r>
        <w:rPr>
          <w:b/>
          <w:bCs/>
          <w:color w:val="1B2733"/>
        </w:rPr>
        <w:t xml:space="preserve">shorter</w:t>
      </w:r>
      <w:r>
        <w:rPr>
          <w:color w:val="1B2733"/>
        </w:rPr>
        <w:t xml:space="preserve"> than the builder’s — the platform only shows what this role can use.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</w:t>
      </w:r>
      <w:r>
        <w:rPr>
          <w:b/>
          <w:bCs/>
          <w:color w:val="1B2733"/>
        </w:rPr>
        <w:t xml:space="preserve">Cases</w:t>
      </w:r>
      <w:r>
        <w:rPr>
          <w:color w:val="1B2733"/>
        </w:rPr>
        <w:t xml:space="preserve"> — a searchable, ranked worklist of every open claim, with severity, status, assignee and due date.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12. </w:t>
      </w:r>
      <w:r>
        <w:rPr>
          <w:i/>
          <w:iCs/>
          <w:color w:val="5A6B7B"/>
          <w:sz w:val="17"/>
          <w:szCs w:val="17"/>
        </w:rPr>
        <w:t xml:space="preserve">The case worklist. Real claimants (Sofía Gómez, Kenji Watanabe, María José Peña…), severity and status at a glance.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Click a case (</w:t>
      </w:r>
      <w:r>
        <w:rPr>
          <w:b/>
          <w:bCs/>
          <w:color w:val="1B2733"/>
        </w:rPr>
        <w:t xml:space="preserve">CLM-1014</w:t>
      </w:r>
      <w:r>
        <w:rPr>
          <w:color w:val="1B2733"/>
        </w:rPr>
        <w:t xml:space="preserve">). The </w:t>
      </w:r>
      <w:r>
        <w:rPr>
          <w:b/>
          <w:bCs/>
          <w:color w:val="1B2733"/>
        </w:rPr>
        <w:t xml:space="preserve">Overview</w:t>
      </w:r>
      <w:r>
        <w:rPr>
          <w:color w:val="1B2733"/>
        </w:rPr>
        <w:t xml:space="preserve"> tab shows the claim’s </w:t>
      </w:r>
      <w:r>
        <w:rPr>
          <w:b/>
          <w:bCs/>
          <w:color w:val="1B2733"/>
        </w:rPr>
        <w:t xml:space="preserve">Evidence</w:t>
      </w:r>
      <w:r>
        <w:rPr>
          <w:color w:val="1B2733"/>
        </w:rPr>
        <w:t xml:space="preserve"> — amount, claimant, description, invoice, policy, vendor — pulled live from the warehouse, with a </w:t>
      </w:r>
      <w:r>
        <w:rPr>
          <w:b/>
          <w:bCs/>
          <w:color w:val="1B2733"/>
        </w:rPr>
        <w:t xml:space="preserve">Row reference</w:t>
      </w:r>
      <w:r>
        <w:rPr>
          <w:color w:val="1B2733"/>
        </w:rPr>
        <w:t xml:space="preserve"> back to the source dataset, and the AI’s recommendation marked </w:t>
      </w:r>
      <w:r>
        <w:rPr>
          <w:b/>
          <w:bCs/>
          <w:color w:val="1F5C8C"/>
        </w:rPr>
        <w:t xml:space="preserve">AI-generated</w:t>
      </w:r>
      <w:r>
        <w:rPr>
          <w:color w:val="1B2733"/>
        </w:rPr>
        <w:t xml:space="preserve">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13. </w:t>
      </w:r>
      <w:r>
        <w:rPr>
          <w:i/>
          <w:iCs/>
          <w:color w:val="5A6B7B"/>
          <w:sz w:val="17"/>
          <w:szCs w:val="17"/>
        </w:rPr>
        <w:t xml:space="preserve">Case CLM-1014: grounded evidence, and the AI’s “Recommended: apply disposition” with a plain-English rationale.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the </w:t>
      </w:r>
      <w:r>
        <w:rPr>
          <w:b/>
          <w:bCs/>
          <w:color w:val="1B2733"/>
        </w:rPr>
        <w:t xml:space="preserve">Proposals</w:t>
      </w:r>
      <w:r>
        <w:rPr>
          <w:color w:val="1B2733"/>
        </w:rPr>
        <w:t xml:space="preserve"> tab to see exactly what the AI wants to change, as a diff. Here two proposals stand — one from the triage copilot, one fired by a governed </w:t>
      </w:r>
      <w:r>
        <w:rPr>
          <w:b/>
          <w:bCs/>
          <w:color w:val="1B2733"/>
        </w:rPr>
        <w:t xml:space="preserve">decision-table</w:t>
      </w:r>
      <w:r>
        <w:rPr>
          <w:color w:val="1B2733"/>
        </w:rPr>
        <w:t xml:space="preserve"> rule — both propose, neither acts.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14. </w:t>
      </w:r>
      <w:r>
        <w:rPr>
          <w:i/>
          <w:iCs/>
          <w:color w:val="5A6B7B"/>
          <w:sz w:val="17"/>
          <w:szCs w:val="17"/>
        </w:rPr>
        <w:t xml:space="preserve">The Proposals tab: each proposal as a field-level diff (case_id, disposition, resolution note, severity) with its source.</w:t>
      </w:r>
    </w:p>
    <w:p>
      <w:pPr>
        <w:spacing w:after="120" w:line="276"/>
      </w:pPr>
      <w:r>
        <w:rPr>
          <w:color w:val="1B2733"/>
        </w:rPr>
        <w:t xml:space="preserve">As an adjuster you own the case lifecycle — assign, set status, comment, or ask the </w:t>
      </w:r>
      <w:r>
        <w:rPr>
          <w:b/>
          <w:bCs/>
          <w:color w:val="1B2733"/>
        </w:rPr>
        <w:t xml:space="preserve">Copilot</w:t>
      </w:r>
      <w:r>
        <w:rPr>
          <w:color w:val="1B2733"/>
        </w:rPr>
        <w:t xml:space="preserve"> (see §12). What you </w:t>
      </w:r>
      <w:r>
        <w:rPr>
          <w:i/>
          <w:iCs/>
        </w:rPr>
        <w:t xml:space="preserve">cannot</w:t>
      </w:r>
      <w:r>
        <w:rPr>
          <w:color w:val="1B2733"/>
        </w:rPr>
        <w:t xml:space="preserve"> do is approve the AI’s proposal — that authority is the manager’s.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10.  Case Manager — decide (four-eyes)</w:t>
      </w:r>
    </w:p>
    <w:p>
      <w:pPr>
        <w:spacing w:before="60" w:after="120"/>
      </w:pPr>
      <w:r>
        <w:rPr>
          <w:b/>
          <w:bCs/>
          <w:color w:val="FFFFFF"/>
          <w:sz w:val="18"/>
          <w:szCs w:val="18"/>
          <w:shd w:fill="1F5C8C" w:color="auto" w:val="clear"/>
        </w:rPr>
        <w:t xml:space="preserve">  CASE MANAGER  </w:t>
      </w:r>
      <w:r>
        <w:rPr>
          <w:i/>
          <w:iCs/>
          <w:color w:val="5A6B7B"/>
          <w:sz w:val="20"/>
          <w:szCs w:val="20"/>
        </w:rPr>
        <w:t xml:space="preserve">   signs in as manager@demo.windrose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</w:t>
      </w:r>
      <w:r>
        <w:rPr>
          <w:b/>
          <w:bCs/>
          <w:color w:val="1B2733"/>
        </w:rPr>
        <w:t xml:space="preserve">Approvals</w:t>
      </w:r>
      <w:r>
        <w:rPr>
          <w:color w:val="1B2733"/>
        </w:rPr>
        <w:t xml:space="preserve">. Every pending AI proposal queues here as a card with the agent, the change, the rationale, and affected records. A clear queue reads </w:t>
      </w:r>
      <w:r>
        <w:rPr>
          <w:b/>
          <w:bCs/>
          <w:color w:val="1B2733"/>
        </w:rPr>
        <w:t xml:space="preserve">No pending proposals</w:t>
      </w:r>
      <w:r>
        <w:rPr>
          <w:color w:val="1B2733"/>
        </w:rPr>
        <w:t xml:space="preserve">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15. </w:t>
      </w:r>
      <w:r>
        <w:rPr>
          <w:i/>
          <w:iCs/>
          <w:color w:val="5A6B7B"/>
          <w:sz w:val="17"/>
          <w:szCs w:val="17"/>
        </w:rPr>
        <w:t xml:space="preserve">The approval inbox. Pending proposals appear as decision cards; four-eyes means the reviewer is never the proposer.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a card and click </w:t>
      </w:r>
      <w:r>
        <w:rPr>
          <w:b/>
          <w:bCs/>
          <w:color w:val="2E7D57"/>
        </w:rPr>
        <w:t xml:space="preserve">Approve</w:t>
      </w:r>
      <w:r>
        <w:rPr>
          <w:color w:val="1B2733"/>
        </w:rPr>
        <w:t xml:space="preserve">. The agent issues a signed grant, the tool layer verifies it, the case updates, and the badge decrements live — no refresh.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To reject, click </w:t>
      </w:r>
      <w:r>
        <w:rPr>
          <w:b/>
          <w:bCs/>
          <w:color w:val="B26B00"/>
        </w:rPr>
        <w:t xml:space="preserve">Reject</w:t>
      </w:r>
      <w:r>
        <w:rPr>
          <w:color w:val="1B2733"/>
        </w:rPr>
        <w:t xml:space="preserve"> and enter a reason. </w:t>
      </w:r>
      <w:r>
        <w:rPr>
          <w:b/>
          <w:bCs/>
          <w:color w:val="1B2733"/>
        </w:rPr>
        <w:t xml:space="preserve">The reason is mandatory</w:t>
      </w:r>
      <w:r>
        <w:rPr>
          <w:color w:val="1B2733"/>
        </w:rPr>
        <w:t xml:space="preserve"> — and becomes a training signal for the next model.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Why four-eyes matters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The reviewer of a proposal is structurally prevented from being the one (or the agent) who created it. This is the governance guarantee that makes AI-assisted decisions auditable and safe for regulated work.</w:t>
            </w:r>
          </w:p>
        </w:tc>
      </w:tr>
    </w:tbl>
    <w:p>
      <w:pPr>
        <w:pStyle w:val="Heading1"/>
        <w:spacing w:before="320" w:after="80"/>
      </w:pPr>
      <w:r>
        <w:rPr>
          <w:b/>
          <w:bCs/>
          <w:color w:val="1F5C8C"/>
        </w:rPr>
        <w:t xml:space="preserve">11.  Tenant Admin — govern the decision logic</w:t>
      </w:r>
    </w:p>
    <w:p>
      <w:pPr>
        <w:spacing w:before="60" w:after="120"/>
      </w:pPr>
      <w:r>
        <w:rPr>
          <w:b/>
          <w:bCs/>
          <w:color w:val="FFFFFF"/>
          <w:sz w:val="18"/>
          <w:szCs w:val="18"/>
          <w:shd w:fill="1F5C8C" w:color="auto" w:val="clear"/>
        </w:rPr>
        <w:t xml:space="preserve">  ADMIN  </w:t>
      </w:r>
      <w:r>
        <w:rPr>
          <w:i/>
          <w:iCs/>
          <w:color w:val="5A6B7B"/>
          <w:sz w:val="20"/>
          <w:szCs w:val="20"/>
        </w:rPr>
        <w:t xml:space="preserve">   signs in as admin@demo.windrose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</w:t>
      </w:r>
      <w:r>
        <w:rPr>
          <w:b/>
          <w:bCs/>
          <w:color w:val="1B2733"/>
        </w:rPr>
        <w:t xml:space="preserve">Decision Tables</w:t>
      </w:r>
      <w:r>
        <w:rPr>
          <w:color w:val="1B2733"/>
        </w:rPr>
        <w:t xml:space="preserve"> — </w:t>
      </w:r>
      <w:r>
        <w:rPr>
          <w:b/>
          <w:bCs/>
          <w:color w:val="1B2733"/>
        </w:rPr>
        <w:t xml:space="preserve">no-code governed rules</w:t>
      </w:r>
      <w:r>
        <w:rPr>
          <w:color w:val="1B2733"/>
        </w:rPr>
        <w:t xml:space="preserve"> over your worklist columns (e.g. “severity eq high → escalate”). A rule </w:t>
      </w:r>
      <w:r>
        <w:rPr>
          <w:i/>
          <w:iCs/>
        </w:rPr>
        <w:t xml:space="preserve">proposes</w:t>
      </w:r>
      <w:r>
        <w:rPr>
          <w:color w:val="1B2733"/>
        </w:rPr>
        <w:t xml:space="preserve"> a disposition for human approval; it never decides autonomously. Versions are published and approved by a named user.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16. </w:t>
      </w:r>
      <w:r>
        <w:rPr>
          <w:i/>
          <w:iCs/>
          <w:color w:val="5A6B7B"/>
          <w:sz w:val="17"/>
          <w:szCs w:val="17"/>
        </w:rPr>
        <w:t xml:space="preserve">Governed decision tables: deterministic rules that propose (not enact) a disposition, each version approved and published.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</w:t>
      </w:r>
      <w:r>
        <w:rPr>
          <w:b/>
          <w:bCs/>
          <w:color w:val="1B2733"/>
        </w:rPr>
        <w:t xml:space="preserve">Admin → Tool registry</w:t>
      </w:r>
      <w:r>
        <w:rPr>
          <w:color w:val="1B2733"/>
        </w:rPr>
        <w:t xml:space="preserve"> — every tool an agent may call, with its owning service, whether effects are reversible, and per-tenant enablement. External tools must pass review; </w:t>
      </w:r>
      <w:r>
        <w:rPr>
          <w:b/>
          <w:bCs/>
          <w:color w:val="1B2733"/>
        </w:rPr>
        <w:t xml:space="preserve">write-direct is forbidden</w:t>
      </w:r>
      <w:r>
        <w:rPr>
          <w:color w:val="1B2733"/>
        </w:rPr>
        <w:t xml:space="preserve"> for them.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17. </w:t>
      </w:r>
      <w:r>
        <w:rPr>
          <w:i/>
          <w:iCs/>
          <w:color w:val="5A6B7B"/>
          <w:sz w:val="17"/>
          <w:szCs w:val="17"/>
        </w:rPr>
        <w:t xml:space="preserve">The tool registry: the governed catalog of everything agents can do, with reversibility and per-tenant enablement.</w:t>
      </w:r>
    </w:p>
    <w:p>
      <w:pPr>
        <w:spacing w:after="120" w:line="276"/>
      </w:pPr>
      <w:r>
        <w:rPr>
          <w:color w:val="1B2733"/>
        </w:rPr>
        <w:t xml:space="preserve">Authorization is enforced on every request. Even an admin hitting a surface their role doesn’t include gets a clean, </w:t>
      </w:r>
      <w:r>
        <w:rPr>
          <w:b/>
          <w:bCs/>
          <w:color w:val="1B2733"/>
        </w:rPr>
        <w:t xml:space="preserve">fail-closed</w:t>
      </w:r>
      <w:r>
        <w:rPr>
          <w:color w:val="1B2733"/>
        </w:rPr>
        <w:t xml:space="preserve"> message with a trace id — never a silent partial result.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18. </w:t>
      </w:r>
      <w:r>
        <w:rPr>
          <w:i/>
          <w:iCs/>
          <w:color w:val="5A6B7B"/>
          <w:sz w:val="17"/>
          <w:szCs w:val="17"/>
        </w:rPr>
        <w:t xml:space="preserve">Fail-closed by design: a role lacking a capability sees a clear “you don’t have access”, never a broken page.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12.  Working with the Copilot</w:t>
      </w:r>
    </w:p>
    <w:p>
      <w:pPr>
        <w:spacing w:after="120" w:line="276"/>
      </w:pPr>
      <w:r>
        <w:rPr>
          <w:color w:val="1B2733"/>
        </w:rPr>
        <w:t xml:space="preserve">The </w:t>
      </w:r>
      <w:r>
        <w:rPr>
          <w:b/>
          <w:bCs/>
          <w:color w:val="1B2733"/>
        </w:rPr>
        <w:t xml:space="preserve">Copilot</w:t>
      </w:r>
      <w:r>
        <w:rPr>
          <w:color w:val="1B2733"/>
        </w:rPr>
        <w:t xml:space="preserve"> (top-right on any page, or the </w:t>
      </w:r>
      <w:r>
        <w:rPr>
          <w:b/>
          <w:bCs/>
          <w:color w:val="1B2733"/>
        </w:rPr>
        <w:t xml:space="preserve">Copilot</w:t>
      </w:r>
      <w:r>
        <w:rPr>
          <w:color w:val="1B2733"/>
        </w:rPr>
        <w:t xml:space="preserve"> nav item) is a role-grounded assistant. It knows what you’re looking at — on a case it carries that case as context — and it is </w:t>
      </w:r>
      <w:r>
        <w:rPr>
          <w:b/>
          <w:bCs/>
          <w:color w:val="1B2733"/>
        </w:rPr>
        <w:t xml:space="preserve">governed</w:t>
      </w:r>
      <w:r>
        <w:rPr>
          <w:color w:val="1B2733"/>
        </w:rPr>
        <w:t xml:space="preserve">: it only answers within your permissions and over the governed semantic layer, and it clearly warns that its output must be verified before you act.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Open a case (or any page) and click </w:t>
      </w:r>
      <w:r>
        <w:rPr>
          <w:b/>
          <w:bCs/>
          <w:color w:val="1B2733"/>
        </w:rPr>
        <w:t xml:space="preserve">Copilot</w:t>
      </w:r>
      <w:r>
        <w:rPr>
          <w:color w:val="1B273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Type a grounded question — e.g. “what is this claim about and why might it need review?” — and </w:t>
      </w:r>
      <w:r>
        <w:rPr>
          <w:b/>
          <w:bCs/>
          <w:color w:val="1B2733"/>
        </w:rPr>
        <w:t xml:space="preserve">Send</w:t>
      </w:r>
      <w:r>
        <w:rPr>
          <w:color w:val="1B273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B2733"/>
        </w:rPr>
        <w:t xml:space="preserve">Read the streamed answer. Use it to understand faster, then make the decision yourself. The copilot never files a disposition on its own — that still flows through a proposal and an approval.</w:t>
      </w:r>
    </w:p>
    <w:tbl>
      <w:tblPr>
        <w:tblW w:type="dxa" w:w="89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900"/>
      </w:tblGrid>
      <w:tr>
        <w:tc>
          <w:tcPr>
            <w:tcW w:type="dxa" w:w="8900"/>
            <w:shd w:fill="FBFCFD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b/>
          <w:bCs/>
          <w:color w:val="1F5C8C"/>
          <w:sz w:val="17"/>
          <w:szCs w:val="17"/>
        </w:rPr>
        <w:t xml:space="preserve">Figure 19. </w:t>
      </w:r>
      <w:r>
        <w:rPr>
          <w:i/>
          <w:iCs/>
          <w:color w:val="5A6B7B"/>
          <w:sz w:val="17"/>
          <w:szCs w:val="17"/>
        </w:rPr>
        <w:t xml:space="preserve">The copilot answering live on case CLM-1014. Note it stays grounded — it reasons “as a Case Analyst” over “our governed semantic layer” and asks for context rather than fabricating.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Grounded, not gullible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Notice the copilot didn’t invent claim facts it wasn’t sure of — it asked for more context. That is the design: assist and explain, never hallucinate or act. The banner “Responses may be inaccurate — verify before acting” is always present.</w:t>
            </w:r>
          </w:p>
        </w:tc>
      </w:tr>
    </w:tbl>
    <w:p>
      <w:pPr>
        <w:pStyle w:val="Heading1"/>
        <w:spacing w:before="320" w:after="80"/>
      </w:pPr>
      <w:r>
        <w:rPr>
          <w:b/>
          <w:bCs/>
          <w:color w:val="1F5C8C"/>
        </w:rPr>
        <w:t xml:space="preserve">13.  How the loop closes (why corrections matter)</w:t>
      </w:r>
    </w:p>
    <w:p>
      <w:pPr>
        <w:spacing w:after="120" w:line="276"/>
      </w:pPr>
      <w:r>
        <w:rPr>
          <w:color w:val="1B2733"/>
        </w:rPr>
        <w:t xml:space="preserve">Every time the manager edits or rejects a proposal, the correction is captured — inputs, the AI’s grounding, what it proposed, what the human decided. Consented corrections curate into a versioned training dataset; that distils into a small model that becomes the </w:t>
      </w:r>
      <w:r>
        <w:rPr>
          <w:b/>
          <w:bCs/>
          <w:color w:val="1B2733"/>
        </w:rPr>
        <w:t xml:space="preserve">cheapest first rung</w:t>
      </w:r>
      <w:r>
        <w:rPr>
          <w:color w:val="1B2733"/>
        </w:rPr>
        <w:t xml:space="preserve"> the next triage tries. The Learning-loop panel on Home (Figure 2) is this in motion.</w:t>
      </w:r>
    </w:p>
    <w:tbl>
      <w:tblPr>
        <w:tblW w:type="dxa" w:w="9360"/>
        <w:tblBorders>
          <w:top w:val="single" w:color="C9D6E0" w:sz="2"/>
          <w:left w:val="single" w:color="B26B00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6B00"/>
                <w:sz w:val="18"/>
                <w:szCs w:val="18"/>
                <w:caps/>
              </w:rPr>
              <w:t xml:space="preserve">The one honest boundary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The training compute that produces a new model runs on GPU hardware. On a laptop demo there is no GPU, so a training job fails cleanly with a “trainer not configured” message rather than inventing a fake model. Everything else in this guide is the real, running system.</w:t>
            </w:r>
          </w:p>
        </w:tc>
      </w:tr>
    </w:tbl>
    <w:p>
      <w:pPr>
        <w:pStyle w:val="Heading1"/>
        <w:spacing w:before="320" w:after="80"/>
      </w:pPr>
      <w:r>
        <w:rPr>
          <w:b/>
          <w:bCs/>
          <w:color w:val="1F5C8C"/>
        </w:rPr>
        <w:t xml:space="preserve">14.  Quick reference — a day in the life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Data Scientist (build): </w:t>
      </w:r>
      <w:r>
        <w:rPr>
          <w:color w:val="1B2733"/>
        </w:rPr>
        <w:t xml:space="preserve">Data Sources → connect → Ingestions → Datasets (ready?) → Queries/Semantic Models → Pipelines (compile + run) → ML/Eval (train + gate).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Adjuster (run): </w:t>
      </w:r>
      <w:r>
        <w:rPr>
          <w:color w:val="1B2733"/>
        </w:rPr>
        <w:t xml:space="preserve">Cases → open top of queue → read evidence + AI recommendation → set disposition or ask the Copilot → hand off for approval.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Manager (approve): </w:t>
      </w:r>
      <w:r>
        <w:rPr>
          <w:color w:val="1B2733"/>
        </w:rPr>
        <w:t xml:space="preserve">Approvals → review each card → Approve, or Reject with a reason → watch the badge clear.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Admin (govern): </w:t>
      </w:r>
      <w:r>
        <w:rPr>
          <w:color w:val="1B2733"/>
        </w:rPr>
        <w:t xml:space="preserve">Decision Tables → Tool registry → Users/RBAC → model ladders &amp; kill switches.</w:t>
      </w:r>
    </w:p>
    <w:p>
      <w:pPr>
        <w:pStyle w:val="Heading1"/>
        <w:spacing w:before="320" w:after="80"/>
      </w:pPr>
      <w:r>
        <w:rPr>
          <w:b/>
          <w:bCs/>
          <w:color w:val="1F5C8C"/>
        </w:rPr>
        <w:t xml:space="preserve">15.  Other vertical packs — same journey, different domain</w:t>
      </w:r>
    </w:p>
    <w:p>
      <w:pPr>
        <w:spacing w:after="120" w:line="276"/>
      </w:pPr>
      <w:r>
        <w:rPr>
          <w:color w:val="1B2733"/>
        </w:rPr>
        <w:t xml:space="preserve">Claims triage is one of ~20 installed packs. They all ride the </w:t>
      </w:r>
      <w:r>
        <w:rPr>
          <w:b/>
          <w:bCs/>
          <w:color w:val="1B2733"/>
        </w:rPr>
        <w:t xml:space="preserve">same build + run journey you just learned</w:t>
      </w:r>
      <w:r>
        <w:rPr>
          <w:color w:val="1B2733"/>
        </w:rPr>
        <w:t xml:space="preserve"> — connect → prepare → pipeline → model/eval → case → propose → decide → learn. Each pack only changes the domain: the data, the case fields, the agents’ prompts, the decision-table columns, and the dashboards. The dashboards grid (Figure 11) hints at the range: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Payments / disputes</w:t>
      </w:r>
      <w:r>
        <w:rPr>
          <w:color w:val="1B2733"/>
        </w:rPr>
        <w:t xml:space="preserve"> — chargeback &amp; dispute adjudication (Denial Analytics, A/R Aging).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Financial crime</w:t>
      </w:r>
      <w:r>
        <w:rPr>
          <w:color w:val="1B2733"/>
        </w:rPr>
        <w:t xml:space="preserve"> — AML Command Center, Sanctions &amp; Screening, SIU (fraud) Command Center.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Healthcare payer / provider</w:t>
      </w:r>
      <w:r>
        <w:rPr>
          <w:color w:val="1B2733"/>
        </w:rPr>
        <w:t xml:space="preserve"> — Prior-Auth Ops, Appeals Analytics, Readmission Watch, Referral Intake.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1B2733"/>
        </w:rPr>
        <w:t xml:space="preserve">Revenue operations</w:t>
      </w:r>
      <w:r>
        <w:rPr>
          <w:color w:val="1B2733"/>
        </w:rPr>
        <w:t xml:space="preserve"> — Revenue Leakage, RCM Command Center, Enrollment Funnel.</w:t>
      </w:r>
    </w:p>
    <w:p>
      <w:pPr>
        <w:spacing w:after="120" w:line="276"/>
      </w:pPr>
      <w:r>
        <w:rPr>
          <w:color w:val="1B2733"/>
        </w:rPr>
        <w:t xml:space="preserve">To use any of them: sign in to that pack’s tenant and follow the same steps. If you can build and run claims triage, you can do them all.</w:t>
      </w:r>
    </w:p>
    <w:p>
      <w:pPr>
        <w:spacing w:after="120"/>
      </w:pPr>
    </w:p>
    <w:p>
      <w:pPr>
        <w:pBdr>
          <w:bottom w:val="single" w:color="C9D6E0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A6B7B"/>
          <w:sz w:val="18"/>
          <w:szCs w:val="18"/>
        </w:rPr>
        <w:t xml:space="preserve">All screenshots were captured from the live running platform against real seeded data. Where a capability depends on external infrastructure (GPU training), the guide says so plainly rather than showing a fabricated result.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F5C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733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C8C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733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nm84b6apxdgf-qorwsss.png"/><Relationship Id="rId7" Type="http://schemas.openxmlformats.org/officeDocument/2006/relationships/image" Target="media/kyqcd4vxapxvysujrmh5s.png"/><Relationship Id="rId8" Type="http://schemas.openxmlformats.org/officeDocument/2006/relationships/image" Target="media/owk1zoscmghqu4bz2-rzj.png"/><Relationship Id="rId9" Type="http://schemas.openxmlformats.org/officeDocument/2006/relationships/image" Target="media/e0gt1xyrfc31bemis_wdy.png"/><Relationship Id="rId10" Type="http://schemas.openxmlformats.org/officeDocument/2006/relationships/image" Target="media/ryqs7__aixvo4p3esyyk1.png"/><Relationship Id="rId11" Type="http://schemas.openxmlformats.org/officeDocument/2006/relationships/image" Target="media/sqzf3isntlz5arc3npelu.png"/><Relationship Id="rId12" Type="http://schemas.openxmlformats.org/officeDocument/2006/relationships/image" Target="media/xzh3puqqcawo3hlsm4xyz.png"/><Relationship Id="rId13" Type="http://schemas.openxmlformats.org/officeDocument/2006/relationships/image" Target="media/wrfj5szpcfm3_k8ot51gj.png"/><Relationship Id="rId14" Type="http://schemas.openxmlformats.org/officeDocument/2006/relationships/image" Target="media/ct3rcuwbct8tbrjn1qsyw.png"/><Relationship Id="rId15" Type="http://schemas.openxmlformats.org/officeDocument/2006/relationships/image" Target="media/bxfmgatxawoau4pto1--c.png"/><Relationship Id="rId16" Type="http://schemas.openxmlformats.org/officeDocument/2006/relationships/image" Target="media/yu5q3guiyktx97cpqxycy.png"/><Relationship Id="rId17" Type="http://schemas.openxmlformats.org/officeDocument/2006/relationships/image" Target="media/m7y9zw87n-gjl_w8n2hp2.png"/><Relationship Id="rId18" Type="http://schemas.openxmlformats.org/officeDocument/2006/relationships/image" Target="media/q5ztb0obce9-hds7jhrvs.png"/><Relationship Id="rId19" Type="http://schemas.openxmlformats.org/officeDocument/2006/relationships/image" Target="media/nlvxre87qqfet5wp7hthh.png"/><Relationship Id="rId20" Type="http://schemas.openxmlformats.org/officeDocument/2006/relationships/image" Target="media/0h6lwrjaubuzqzkoontf5.png"/><Relationship Id="rId21" Type="http://schemas.openxmlformats.org/officeDocument/2006/relationships/image" Target="media/mcvzrpdnm7rlo4itxhjnm.png"/><Relationship Id="rId22" Type="http://schemas.openxmlformats.org/officeDocument/2006/relationships/image" Target="media/p7gp_zqlgtwhr7apczohp.png"/><Relationship Id="rId23" Type="http://schemas.openxmlformats.org/officeDocument/2006/relationships/image" Target="media/csppcptsjev9q7ejfk9yw.png"/><Relationship Id="rId24" Type="http://schemas.openxmlformats.org/officeDocument/2006/relationships/image" Target="media/tiamajjrc-_vg2npnsv26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End-User Guide (Claims Triage)</dc:title>
  <dc:creator>Windrose AI</dc:creator>
  <dc:description>Build + run walkthrough of a governed decision: data sourcing, preparation, pipelines, AI/ML, copilot, and the decision journey.</dc:description>
  <cp:lastModifiedBy>Un-named</cp:lastModifiedBy>
  <cp:revision>1</cp:revision>
  <dcterms:created xsi:type="dcterms:W3CDTF">2026-07-17T21:40:45.909Z</dcterms:created>
  <dcterms:modified xsi:type="dcterms:W3CDTF">2026-07-17T21:40:45.909Z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