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4C5BAF"/>
          <w:sz w:val="19"/>
          <w:szCs w:val="19"/>
          <w:caps/>
        </w:rPr>
        <w:t xml:space="preserve">WINDROSE AI · POST-ACUTE CARE</w:t>
      </w:r>
    </w:p>
    <w:p>
      <w:pPr>
        <w:pBdr>
          <w:bottom w:val="single" w:color="4C5BAF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6"/>
          <w:szCs w:val="56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5"/>
          <w:szCs w:val="25"/>
        </w:rPr>
        <w:t xml:space="preserve">How to put the nine Windrose agents to work across home health, SNF, and hospice.</w:t>
      </w:r>
    </w:p>
    <w:p>
      <w:pPr>
        <w:spacing w:after="24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</w:t>
      </w:r>
      <w:r>
        <w:rPr>
          <w:b/>
          <w:bCs/>
          <w:color w:val="1B2430"/>
        </w:rPr>
        <w:t xml:space="preserve">post-acute care</w:t>
      </w:r>
      <w:r>
        <w:rPr>
          <w:color w:val="1B2430"/>
        </w:rPr>
        <w:t xml:space="preserve">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post-acute-care v1.0.0</w:t>
      </w:r>
      <w:r>
        <w:rPr>
          <w:color w:val="1B2430"/>
        </w:rPr>
        <w:t xml:space="preserve"> pack (</w:t>
      </w:r>
      <w:r>
        <w:rPr>
          <w:color w:val="1B2430"/>
        </w:rPr>
        <w:t xml:space="preserve">BRD 29</w:t>
      </w:r>
      <w:r>
        <w:rPr>
          <w:color w:val="1B2430"/>
        </w:rPr>
        <w:t xml:space="preserve">).</w:t>
      </w:r>
    </w:p>
    <w:p>
      <w:pPr>
        <w:spacing w:after="15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post-acute-care v1.0.0</w:t>
      </w:r>
    </w:p>
    <w:p>
      <w:pPr>
        <w:spacing w:after="120" w:line="276"/>
      </w:pPr>
      <w:r>
        <w:rPr>
          <w:b/>
          <w:bCs/>
          <w:color w:val="1B2430"/>
        </w:rPr>
        <w:t xml:space="preserve">Scope:  </w:t>
      </w:r>
      <w:r>
        <w:rPr>
          <w:color w:val="1B2430"/>
        </w:rPr>
        <w:t xml:space="preserve">Home Health · SNF · Hospice   ·   PDGM · PDPM · OASIS-E · MDS 3.0</w:t>
      </w:r>
    </w:p>
    <w:p>
      <w:pPr>
        <w:spacing w:after="120" w:line="276"/>
      </w:pPr>
      <w:r>
        <w:rPr>
          <w:b/>
          <w:bCs/>
          <w:color w:val="1B2430"/>
        </w:rPr>
        <w:t xml:space="preserve">Audience:  </w:t>
      </w:r>
      <w:r>
        <w:rPr>
          <w:color w:val="1B2430"/>
        </w:rPr>
        <w:t xml:space="preserve">HHA Clinical Nurse, SNF MDS Coordinator, Intake Coordinator, Post-Acute Care Manager, PAC Compliance Officer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never finalizes an assessment. </w:t>
      </w:r>
      <w:r>
        <w:rPr>
          <w:color w:val="1B2430"/>
        </w:rPr>
        <w:t xml:space="preserve">Clinical staff finalize every OASIS/MDS; every case-mix or referral decision is a proposal a human approves (four-eyes).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4C5BAF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4C5BAF"/>
        </w:rPr>
        <w:t xml:space="preserve">1.  The post-acute care problem Windrose solves</w:t>
      </w:r>
    </w:p>
    <w:p>
      <w:pPr>
        <w:spacing w:after="120" w:line="276"/>
      </w:pPr>
      <w:r>
        <w:rPr>
          <w:color w:val="1B2430"/>
        </w:rPr>
        <w:t xml:space="preserve">Post-acute revenue and quality both hinge on getting the </w:t>
      </w:r>
      <w:r>
        <w:rPr>
          <w:b/>
          <w:bCs/>
          <w:color w:val="1B2430"/>
        </w:rPr>
        <w:t xml:space="preserve">case mix</w:t>
      </w:r>
      <w:r>
        <w:rPr>
          <w:color w:val="1B2430"/>
        </w:rPr>
        <w:t xml:space="preserve"> and the </w:t>
      </w:r>
      <w:r>
        <w:rPr>
          <w:b/>
          <w:bCs/>
          <w:color w:val="1B2430"/>
        </w:rPr>
        <w:t xml:space="preserve">assessment</w:t>
      </w:r>
      <w:r>
        <w:rPr>
          <w:color w:val="1B2430"/>
        </w:rPr>
        <w:t xml:space="preserve"> right: PDGM comorbidity capture, PDPM therapy alignment, OASIS-E / MDS 3.0 timing, hospice LCD certification — each documented well enough to survive a CERT / RAC / UPIC audit. Meanwhile a 30-day rehospitalization quietly erodes both outcomes and network standing.</w:t>
      </w:r>
    </w:p>
    <w:p>
      <w:pPr>
        <w:spacing w:after="120" w:line="276"/>
      </w:pPr>
      <w:r>
        <w:rPr>
          <w:color w:val="1B2430"/>
        </w:rPr>
        <w:t xml:space="preserve">Windrose makes this a </w:t>
      </w:r>
      <w:r>
        <w:rPr>
          <w:b/>
          <w:bCs/>
          <w:color w:val="1B2430"/>
        </w:rPr>
        <w:t xml:space="preserve">governed workflow</w:t>
      </w:r>
      <w:r>
        <w:rPr>
          <w:color w:val="1B2430"/>
        </w:rPr>
        <w:t xml:space="preserve">: referrals, episodes, assessments, and readmission-risk signals land as governed data; agents watch the care-transition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comorbidity code, a therapy realignment, a risk intervention — grounded in source documentation; and clinical staff </w:t>
      </w:r>
      <w:r>
        <w:rPr>
          <w:b/>
          <w:bCs/>
          <w:color w:val="1B2430"/>
        </w:rPr>
        <w:t xml:space="preserve">approve</w:t>
      </w:r>
      <w:r>
        <w:rPr>
          <w:color w:val="1B2430"/>
        </w:rPr>
        <w:t xml:space="preserve">. The nine agents are the workforce.</w:t>
      </w:r>
    </w:p>
    <w:tbl>
      <w:tblPr>
        <w:tblW w:type="dxa" w:w="9360"/>
        <w:tblBorders>
          <w:top w:val="single" w:color="CDD2EC" w:sz="2"/>
          <w:left w:val="single" w:color="B23A48" w:sz="18"/>
          <w:bottom w:val="single" w:color="CDD2EC" w:sz="2"/>
          <w:right w:val="single" w:color="CDD2E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one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PAC_AUTONOMOUS_ASSESSMENT_FORBIDDEN (BR-1). </w:t>
            </w:r>
            <w:r>
              <w:rPr>
                <w:color w:val="1B2430"/>
              </w:rPr>
              <w:t xml:space="preserve">No agent finalizes or submits an OASIS or MDS assessment, sets hospice eligibility, or increases therapy on its own. It drafts and recommends; clinical staff finalize. Readmission-risk scores prioritize outreach only — they never justify a care-denial or discharge decision (BR-7).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4C5BAF"/>
        </w:rPr>
        <w:t xml:space="preserve">2.  The team (who approves what)</w:t>
      </w:r>
    </w:p>
    <w:p>
      <w:pPr>
        <w:spacing w:after="120" w:line="276"/>
      </w:pPr>
      <w:r>
        <w:rPr>
          <w:color w:val="1B2430"/>
        </w:rPr>
        <w:t xml:space="preserve">The pack ships these roles. Windrose only shows each person what their role allows; the approver on a proposal is never the one (or the agent) who created it.</w:t>
      </w:r>
    </w:p>
    <w:tbl>
      <w:tblPr>
        <w:tblW w:type="dxa" w:w="9360"/>
        <w:tblBorders>
          <w:top w:val="single" w:color="CDD2EC" w:sz="2"/>
          <w:left w:val="single" w:color="CDD2EC" w:sz="2"/>
          <w:bottom w:val="single" w:color="CDD2EC" w:sz="2"/>
          <w:right w:val="single" w:color="CDD2EC" w:sz="2"/>
          <w:insideH w:val="single" w:color="CDD2EC" w:sz="2"/>
          <w:insideV w:val="single" w:color="CDD2EC" w:sz="2"/>
        </w:tblBorders>
      </w:tblPr>
      <w:tblGrid>
        <w:gridCol w:w="2300"/>
        <w:gridCol w:w="3900"/>
        <w:gridCol w:w="3160"/>
      </w:tblGrid>
      <w:tr>
        <w:trPr>
          <w:tblHeader/>
        </w:trPr>
        <w:tc>
          <w:tcPr>
            <w:tcW w:type="dxa" w:w="2300"/>
            <w:shd w:fill="4C5BA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900"/>
            <w:shd w:fill="4C5BA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job</w:t>
            </w:r>
          </w:p>
        </w:tc>
        <w:tc>
          <w:tcPr>
            <w:tcW w:type="dxa" w:w="3160"/>
            <w:shd w:fill="4C5BA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Approves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HHA Clinical Nurse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Home-health visits, OASIS assessment, care activities</w:t>
            </w:r>
          </w:p>
        </w:tc>
        <w:tc>
          <w:tcPr>
            <w:tcW w:type="dxa" w:w="3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activity notes, OASIS finalization</w:t>
            </w:r>
          </w:p>
        </w:tc>
      </w:tr>
      <w:tr>
        <w:tc>
          <w:tcPr>
            <w:tcW w:type="dxa" w:w="2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SNF MDS Coordinator</w:t>
            </w:r>
          </w:p>
        </w:tc>
        <w:tc>
          <w:tcPr>
            <w:tcW w:type="dxa" w:w="3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MDS 3.0 assessments, PDPM case mix</w:t>
            </w:r>
          </w:p>
        </w:tc>
        <w:tc>
          <w:tcPr>
            <w:tcW w:type="dxa" w:w="31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MDS finalization, therapy realignment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Intake Coordinator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Referral triage and acceptance</w:t>
            </w:r>
          </w:p>
        </w:tc>
        <w:tc>
          <w:tcPr>
            <w:tcW w:type="dxa" w:w="3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referral accept/decline</w:t>
            </w:r>
          </w:p>
        </w:tc>
      </w:tr>
      <w:tr>
        <w:tc>
          <w:tcPr>
            <w:tcW w:type="dxa" w:w="2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Post-Acute Care Manager</w:t>
            </w:r>
          </w:p>
        </w:tc>
        <w:tc>
          <w:tcPr>
            <w:tcW w:type="dxa" w:w="3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Care transitions, readmission-risk interventions</w:t>
            </w:r>
          </w:p>
        </w:tc>
        <w:tc>
          <w:tcPr>
            <w:tcW w:type="dxa" w:w="31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risk interventions, program actions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PAC Compliance Officer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CERT/RAC/UPIC defensibility, policy</w:t>
            </w:r>
          </w:p>
        </w:tc>
        <w:tc>
          <w:tcPr>
            <w:tcW w:type="dxa" w:w="3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audit packages, escalations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4C5BAF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</w:t>
      </w:r>
      <w:r>
        <w:rPr>
          <w:color w:val="1B2430"/>
        </w:rPr>
        <w:t xml:space="preserve">post-acute care</w:t>
      </w:r>
      <w:r>
        <w:rPr>
          <w:color w:val="1B2430"/>
        </w:rPr>
        <w:t xml:space="preserve">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DD2EC" w:sz="2"/>
          <w:left w:val="single" w:color="CDD2EC" w:sz="2"/>
          <w:bottom w:val="single" w:color="CDD2EC" w:sz="2"/>
          <w:right w:val="single" w:color="CDD2EC" w:sz="2"/>
          <w:insideH w:val="single" w:color="CDD2EC" w:sz="2"/>
          <w:insideV w:val="single" w:color="CDD2EC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4C5BA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4C5BA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in this vertical</w:t>
            </w:r>
          </w:p>
        </w:tc>
        <w:tc>
          <w:tcPr>
            <w:tcW w:type="dxa" w:w="3060"/>
            <w:shd w:fill="4C5BA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30-day rehospitalization-risk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platform:</w:t>
      </w:r>
    </w:p>
    <w:tbl>
      <w:tblPr>
        <w:tblW w:type="dxa" w:w="8400"/>
        <w:jc w:val="center"/>
        <w:tblBorders>
          <w:top w:val="single" w:color="CDD2EC" w:sz="4"/>
          <w:left w:val="single" w:color="CDD2EC" w:sz="4"/>
          <w:bottom w:val="single" w:color="CDD2EC" w:sz="4"/>
          <w:right w:val="single" w:color="CDD2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4C5BAF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Real assets in the running platform: the pac_episodes and pac_referrals governed semantic models (among other packs’ models).</w:t>
      </w:r>
    </w:p>
    <w:tbl>
      <w:tblPr>
        <w:tblW w:type="dxa" w:w="8400"/>
        <w:jc w:val="center"/>
        <w:tblBorders>
          <w:top w:val="single" w:color="CDD2EC" w:sz="4"/>
          <w:left w:val="single" w:color="CDD2EC" w:sz="4"/>
          <w:bottom w:val="single" w:color="CDD2EC" w:sz="4"/>
          <w:right w:val="single" w:color="CDD2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4C5BAF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pack’s dashboards — Post-Acute Network, Readmission Watch, and Referral Intake — installed alongside other packs’ boards.</w:t>
      </w:r>
    </w:p>
    <w:p>
      <w:pPr>
        <w:pStyle w:val="Heading1"/>
        <w:spacing w:before="300" w:after="70"/>
      </w:pPr>
      <w:r>
        <w:rPr>
          <w:b/>
          <w:bCs/>
          <w:color w:val="4C5BAF"/>
        </w:rPr>
        <w:t xml:space="preserve">4.  Agent-by-agent playbook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4C5BAF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 — landing the domain feeds as governed datasets.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onboarding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4C5BAF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pac_episodes and pac_referrals</w:t>
      </w:r>
      <w:r>
        <w:rPr>
          <w:color w:val="1B2430"/>
        </w:rPr>
        <w:t xml:space="preserve"> models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always citing the measures it used.</w:t>
      </w:r>
    </w:p>
    <w:p>
      <w:pPr>
        <w:spacing w:after="120" w:line="276"/>
      </w:pPr>
      <w:r>
        <w:rPr>
          <w:b/>
          <w:bCs/>
          <w:color w:val="1B2430"/>
        </w:rPr>
        <w:t xml:space="preserve">Ask it things like: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430"/>
        </w:rPr>
        <w:t xml:space="preserve">“What’s our 30-day rehospitalization rate?”  →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rehospitalization_30d_rate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430"/>
        </w:rPr>
        <w:t xml:space="preserve">“Are we capturing PDGM comorbidities (target ≥ 30%)?”  →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pdgm_comorbidity_capture_rate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430"/>
        </w:rPr>
        <w:t xml:space="preserve">“What’s our CERT audit pass rate and avg length of stay?”  →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cert_audit_pass_rate, avg_los_days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430"/>
        </w:rPr>
        <w:t xml:space="preserve">“Referral acceptance rate and response time?”  →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referral_acceptance_rate, avg_response_hours</w:t>
      </w:r>
    </w:p>
    <w:tbl>
      <w:tblPr>
        <w:tblW w:type="dxa" w:w="8400"/>
        <w:jc w:val="center"/>
        <w:tblBorders>
          <w:top w:val="single" w:color="CDD2EC" w:sz="4"/>
          <w:left w:val="single" w:color="CDD2EC" w:sz="4"/>
          <w:bottom w:val="single" w:color="CDD2EC" w:sz="4"/>
          <w:right w:val="single" w:color="CDD2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4C5BAF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vertical’s questions.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4C5BAF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 and chart catalog.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“design a readmission-watch board.” It proposes charts over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pac_episodes and pac_referrals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approves; the board appears under </w:t>
      </w:r>
      <w:r>
        <w:rPr>
          <w:b/>
          <w:bCs/>
          <w:color w:val="1B2430"/>
        </w:rPr>
        <w:t xml:space="preserve">Dashboards</w:t>
      </w:r>
      <w:r>
        <w:rPr>
          <w:color w:val="1B2430"/>
        </w:rPr>
        <w:t xml:space="preserve"> (Figure 2).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4C5BAF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30-day rehospitalization-risk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proposal, resolving algorithm + hyperparameters + label/features grounded in the algorithm catalog and prior runs. The pack ships a real </w:t>
      </w:r>
      <w:r>
        <w:rPr>
          <w:b/>
          <w:bCs/>
          <w:color w:val="1B2430"/>
        </w:rPr>
        <w:t xml:space="preserve">30-day rehospitalization-risk</w:t>
      </w:r>
      <w:r>
        <w:rPr>
          <w:color w:val="1B2430"/>
        </w:rPr>
        <w:t xml:space="preserve"> training pipeline.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30-day rehospitalization-risk model on the panel.”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 (algorithm, params, label =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readmitted_30d</w:t>
      </w:r>
      <w:r>
        <w:rPr>
          <w:color w:val="1B2430"/>
        </w:rPr>
        <w:t xml:space="preserve">). Approve → the pipeline runs and registers a model.</w:t>
      </w:r>
    </w:p>
    <w:tbl>
      <w:tblPr>
        <w:tblW w:type="dxa" w:w="8400"/>
        <w:jc w:val="center"/>
        <w:tblBorders>
          <w:top w:val="single" w:color="CDD2EC" w:sz="4"/>
          <w:left w:val="single" w:color="CDD2EC" w:sz="4"/>
          <w:bottom w:val="single" w:color="CDD2EC" w:sz="4"/>
          <w:right w:val="single" w:color="CDD2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4C5BAF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registry. A pipeline-trained model auto-mirrors here, ready to gate and promote.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4C5BAF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</w:t>
      </w:r>
      <w:r>
        <w:rPr>
          <w:b/>
          <w:bCs/>
          <w:color w:val="1B2430"/>
        </w:rPr>
        <w:t xml:space="preserve">ml-engineer</w:t>
      </w:r>
      <w:r>
        <w:rPr>
          <w:color w:val="1B2430"/>
        </w:rPr>
        <w:t xml:space="preserve">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Point it at a prepared dataset and the label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readmitted_30d</w:t>
      </w:r>
      <w:r>
        <w:rPr>
          <w:color w:val="1B243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It emits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proposal for the best candidate, with the comparison as evidence. A director approves.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4C5BAF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 job whose output is a scored dataset the team works from.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“score the current census with the production rehospitalization-risk model.”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proposal (model version + input dataset, compatibility confirmed). Approve; the scored set feeds the worklist.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4C5BAF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care-transition reviewer</w:t>
      </w:r>
    </w:p>
    <w:p>
      <w:pPr>
        <w:spacing w:after="120" w:line="276"/>
      </w:pPr>
      <w:r>
        <w:rPr>
          <w:color w:val="1B2430"/>
        </w:rPr>
        <w:t xml:space="preserve">Each day the </w:t>
      </w:r>
      <w:r>
        <w:rPr>
          <w:b/>
          <w:bCs/>
          <w:color w:val="1B2430"/>
        </w:rPr>
        <w:t xml:space="preserve">care-transition queue</w:t>
      </w:r>
      <w:r>
        <w:rPr>
          <w:color w:val="1B2430"/>
        </w:rPr>
        <w:t xml:space="preserve"> fills with OASIS/MDS assessment reviews, PDGM comorbidity and PDPM therapy-alignment flags, referral-triage decisions, hospice recertification narratives, and 30-day readmission-risk interventions. For each, case-triage proposes a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 grounded in the source documentation, citing the exact evidence.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finalizes an assessment.</w:t>
      </w:r>
    </w:p>
    <w:p>
      <w:pPr>
        <w:spacing w:after="120" w:line="276"/>
      </w:pPr>
      <w:r>
        <w:rPr>
          <w:b/>
          <w:bCs/>
          <w:color w:val="1B2430"/>
        </w:rPr>
        <w:t xml:space="preserve">What it checks (from the pack’s agent instructions):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Source-cited case mix </w:t>
      </w:r>
      <w:r>
        <w:rPr>
          <w:color w:val="1B2430"/>
        </w:rPr>
        <w:t xml:space="preserve">— every proposed PDGM comorbidity / PDPM code traces to a discharge summary, med list, or therapy note (BR-3, CERT/RAC/UPIC).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Assessment integrity </w:t>
      </w:r>
      <w:r>
        <w:rPr>
          <w:color w:val="1B2430"/>
        </w:rPr>
        <w:t xml:space="preserve">— OASIS/MDS are drafted for clinical review only — clinical staff finalize every assessment (BR-1).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Therapy justification </w:t>
      </w:r>
      <w:r>
        <w:rPr>
          <w:color w:val="1B2430"/>
        </w:rPr>
        <w:t xml:space="preserve">— never propose a therapy increase beyond documented clinical justification (BR-4).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Hospice </w:t>
      </w:r>
      <w:r>
        <w:rPr>
          <w:color w:val="1B2430"/>
        </w:rPr>
        <w:t xml:space="preserve">— draft the eligibility narrative for physician certification — never make the determination (BR-5).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Referrals </w:t>
      </w:r>
      <w:r>
        <w:rPr>
          <w:color w:val="1B2430"/>
        </w:rPr>
        <w:t xml:space="preserve">— a decline always carries a documented rationale (BR-6).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Risk use </w:t>
      </w:r>
      <w:r>
        <w:rPr>
          <w:color w:val="1B2430"/>
        </w:rPr>
        <w:t xml:space="preserve">— readmission-risk prioritizes outreach; it never justifies denial or discharge (BR-7).</w:t>
      </w:r>
    </w:p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DD2EC" w:sz="2"/>
          <w:left w:val="single" w:color="CDD2EC" w:sz="2"/>
          <w:bottom w:val="single" w:color="CDD2EC" w:sz="2"/>
          <w:right w:val="single" w:color="CDD2EC" w:sz="2"/>
          <w:insideH w:val="single" w:color="CDD2EC" w:sz="2"/>
          <w:insideV w:val="single" w:color="CDD2EC" w:sz="2"/>
        </w:tblBorders>
      </w:tblPr>
      <w:tblGrid>
        <w:gridCol w:w="3200"/>
        <w:gridCol w:w="4100"/>
        <w:gridCol w:w="2060"/>
      </w:tblGrid>
      <w:tr>
        <w:trPr>
          <w:tblHeader/>
        </w:trPr>
        <w:tc>
          <w:tcPr>
            <w:tcW w:type="dxa" w:w="3200"/>
            <w:shd w:fill="4C5BA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100"/>
            <w:shd w:fill="4C5BA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4C5BA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comorbidity_codes_accepted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PDGM comorbidity codes accepted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comorbidity_codes_rejected</w:t>
            </w:r>
          </w:p>
        </w:tc>
        <w:tc>
          <w:tcPr>
            <w:tcW w:type="dxa" w:w="4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Proposed codes lack documentation (BR-3)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therapy_plan_realigned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PDPM therapy plan brought into alignment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risk_intervention_started</w:t>
            </w:r>
          </w:p>
        </w:tc>
        <w:tc>
          <w:tcPr>
            <w:tcW w:type="dxa" w:w="4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Readmission-risk intervention initiated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risk_flag_cleared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Risk flag cleared — no intervention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referral_accept_confirmed</w:t>
            </w:r>
          </w:p>
        </w:tc>
        <w:tc>
          <w:tcPr>
            <w:tcW w:type="dxa" w:w="4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Referral accepted — intake confirmed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referral_decline_confirmed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Referral declined (rationale required)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escalate_medical_director</w:t>
            </w:r>
          </w:p>
        </w:tc>
        <w:tc>
          <w:tcPr>
            <w:tcW w:type="dxa" w:w="4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Escalate to medical director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care-transition queue, ranked. Each row is a queued item with its context.</w:t>
      </w:r>
    </w:p>
    <w:tbl>
      <w:tblPr>
        <w:tblW w:type="dxa" w:w="8400"/>
        <w:jc w:val="center"/>
        <w:tblBorders>
          <w:top w:val="single" w:color="CDD2EC" w:sz="4"/>
          <w:left w:val="single" w:color="CDD2EC" w:sz="4"/>
          <w:bottom w:val="single" w:color="CDD2EC" w:sz="4"/>
          <w:right w:val="single" w:color="CDD2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4C5BAF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here it is the care-transition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item.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evidence; the AI recommendation names the exact basis — e.g. “PDGM comorbidity K55.1 proposed — cited in the discharge summary; capture adds one comorbidity tier”.</w:t>
      </w:r>
    </w:p>
    <w:tbl>
      <w:tblPr>
        <w:tblW w:type="dxa" w:w="8400"/>
        <w:jc w:val="center"/>
        <w:tblBorders>
          <w:top w:val="single" w:color="CDD2EC" w:sz="4"/>
          <w:left w:val="single" w:color="CDD2EC" w:sz="4"/>
          <w:bottom w:val="single" w:color="CDD2EC" w:sz="4"/>
          <w:right w:val="single" w:color="CDD2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4C5BAF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case with grounded evidence and the AI’s recommendation, citing the rule and the exact source artifact.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reviewable diff, then decide — inert until a human approves.</w:t>
      </w:r>
    </w:p>
    <w:tbl>
      <w:tblPr>
        <w:tblW w:type="dxa" w:w="8400"/>
        <w:jc w:val="center"/>
        <w:tblBorders>
          <w:top w:val="single" w:color="CDD2EC" w:sz="4"/>
          <w:left w:val="single" w:color="CDD2EC" w:sz="4"/>
          <w:bottom w:val="single" w:color="CDD2EC" w:sz="4"/>
          <w:right w:val="single" w:color="CDD2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4C5BAF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disposition proposal as a field-level diff. Nothing is actioned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inbox. Four-eyes: the approver is not the proposer.</w:t>
      </w:r>
    </w:p>
    <w:tbl>
      <w:tblPr>
        <w:tblW w:type="dxa" w:w="8400"/>
        <w:jc w:val="center"/>
        <w:tblBorders>
          <w:top w:val="single" w:color="CDD2EC" w:sz="4"/>
          <w:left w:val="single" w:color="CDD2EC" w:sz="4"/>
          <w:bottom w:val="single" w:color="CDD2EC" w:sz="4"/>
          <w:right w:val="single" w:color="CDD2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4C5BAF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a different person than the one who raised it — four-eyes.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4C5BAF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principal. When the </w:t>
      </w:r>
      <w:r>
        <w:rPr>
          <w:color w:val="1B2430"/>
        </w:rPr>
        <w:t xml:space="preserve">30-day rehospitalization-risk</w:t>
      </w:r>
      <w:r>
        <w:rPr>
          <w:color w:val="1B2430"/>
        </w:rPr>
        <w:t xml:space="preserve"> model drifts or corrections pile up past threshold,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4C5BAF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the delegate’s own write mode governs whether a proposal results.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4C5BAF"/>
        </w:rPr>
        <w:t xml:space="preserve">5.  The operating cycle — how the agents chain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  <w:color w:val="1B2430"/>
        </w:rPr>
        <w:t xml:space="preserve">Land data</w:t>
      </w:r>
      <w:r>
        <w:rPr>
          <w:color w:val="1B2430"/>
        </w:rPr>
        <w:t xml:space="preserve"> — onboarding proposes ingestions → the source feeds become governed datasets.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  <w:color w:val="1B2430"/>
        </w:rPr>
        <w:t xml:space="preserve">Watch</w:t>
      </w:r>
      <w:r>
        <w:rPr>
          <w:color w:val="1B2430"/>
        </w:rPr>
        <w:t xml:space="preserve"> — analytics + dashboards surface where attention is needed.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  <w:color w:val="1B2430"/>
        </w:rPr>
        <w:t xml:space="preserve">Predict</w:t>
      </w:r>
      <w:r>
        <w:rPr>
          <w:color w:val="1B2430"/>
        </w:rPr>
        <w:t xml:space="preserve"> — ml-engineer / model-training build the model; inference scores the population.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  <w:color w:val="1B2430"/>
        </w:rPr>
        <w:t xml:space="preserve">Review &amp; decide</w:t>
      </w:r>
      <w:r>
        <w:rPr>
          <w:color w:val="1B2430"/>
        </w:rPr>
        <w:t xml:space="preserve"> — case-triage proposes dispositions on the queue; the team approves (four-eyes).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  <w:color w:val="1B2430"/>
        </w:rPr>
        <w:t xml:space="preserve">Write back</w:t>
      </w:r>
      <w:r>
        <w:rPr>
          <w:color w:val="1B2430"/>
        </w:rPr>
        <w:t xml:space="preserve"> — approved actions sync to the system of record in proposal-mode (pack-service adapters).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  <w:color w:val="1B2430"/>
        </w:rPr>
        <w:t xml:space="preserve">Learn</w:t>
      </w:r>
      <w:r>
        <w:rPr>
          <w:color w:val="1B2430"/>
        </w:rPr>
        <w:t xml:space="preserve"> — every correction trains the next model; governance opens a retrain on drift.</w:t>
      </w:r>
    </w:p>
    <w:tbl>
      <w:tblPr>
        <w:tblW w:type="dxa" w:w="9360"/>
        <w:tblBorders>
          <w:top w:val="single" w:color="CDD2EC" w:sz="2"/>
          <w:left w:val="single" w:color="4C5BAF" w:sz="18"/>
          <w:bottom w:val="single" w:color="CDD2EC" w:sz="2"/>
          <w:right w:val="single" w:color="CDD2E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CEE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4C5BAF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DD2EC" w:sz="4"/>
          <w:left w:val="single" w:color="CDD2EC" w:sz="4"/>
          <w:bottom w:val="single" w:color="CDD2EC" w:sz="4"/>
          <w:right w:val="single" w:color="CDD2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4C5BAF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4C5BAF"/>
        </w:rPr>
        <w:t xml:space="preserve">6.  Governance &amp; compliance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PAC_AUTONOMOUS_ASSESSMENT_FORBIDDEN — every consequential action is a human-approved proposal.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Four-eyes. </w:t>
      </w:r>
      <w:r>
        <w:rPr>
          <w:color w:val="1B2430"/>
        </w:rPr>
        <w:t xml:space="preserve">The approver is structurally never the proposer (or the agent).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DD2EC" w:sz="4"/>
          <w:left w:val="single" w:color="CDD2EC" w:sz="4"/>
          <w:bottom w:val="single" w:color="CDD2EC" w:sz="4"/>
          <w:right w:val="single" w:color="CDD2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4C5BAF"/>
          <w:sz w:val="17"/>
          <w:szCs w:val="17"/>
        </w:rPr>
        <w:t xml:space="preserve">Figure 10.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scoring runs &amp; gates, scorers, and canary A/B.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Audit trail. </w:t>
      </w:r>
      <w:r>
        <w:rPr>
          <w:color w:val="1B2430"/>
        </w:rPr>
        <w:t xml:space="preserve">Every proposal, decision, and tool call is recorded (audit-defensible); authorization is per-request against your role.</w:t>
      </w:r>
    </w:p>
    <w:p>
      <w:pPr>
        <w:pStyle w:val="Heading1"/>
        <w:spacing w:before="300" w:after="70"/>
      </w:pPr>
      <w:r>
        <w:rPr>
          <w:b/>
          <w:bCs/>
          <w:color w:val="4C5BAF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deferred items are recorded in the install ledger, and the guarantees they need (proposal-mode + four-eyes) already hold. Nothing below is stubbed.</w:t>
      </w:r>
    </w:p>
    <w:tbl>
      <w:tblPr>
        <w:tblW w:type="dxa" w:w="9360"/>
        <w:tblBorders>
          <w:top w:val="single" w:color="CDD2EC" w:sz="2"/>
          <w:left w:val="single" w:color="CDD2EC" w:sz="2"/>
          <w:bottom w:val="single" w:color="CDD2EC" w:sz="2"/>
          <w:right w:val="single" w:color="CDD2EC" w:sz="2"/>
          <w:insideH w:val="single" w:color="CDD2EC" w:sz="2"/>
          <w:insideV w:val="single" w:color="CDD2EC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4C5BA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4C5BA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(pac_episodes, pac_referrals),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Care-transition case queue + disposition taxonomy + post-acute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post-acute (OASIS/MDS/PDGM/PDPM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30-day rehospitalization-risk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Bespoke recipes (assessment scribe, therapy optimizer, hospice narrative…)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via config on the fixed agents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OASIS-E/MDS timing + PDGM LUPA + hospice LCD OPA guardrails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carried today as grounding + proposal-mode+four-eyes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Production EHR/EMR connectors + assessment write adapters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customer creds via pack-service; seed datasets today</w:t>
            </w:r>
          </w:p>
        </w:tc>
      </w:tr>
    </w:tbl>
    <w:p>
      <w:pPr>
        <w:spacing w:after="120"/>
      </w:pPr>
    </w:p>
    <w:p>
      <w:pPr>
        <w:pBdr>
          <w:bottom w:val="single" w:color="CDD2EC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post-acute-care pack (BRD 29). Screenshots of domain assets (semantic models, dashboards) are live from the running platform;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4C5BA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4C5BA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4C5BAF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trncxuhtqtxi7mp-jawo4.png"/><Relationship Id="rId7" Type="http://schemas.openxmlformats.org/officeDocument/2006/relationships/image" Target="media/dmzjumy5yy-uniokaaoyc.png"/><Relationship Id="rId8" Type="http://schemas.openxmlformats.org/officeDocument/2006/relationships/image" Target="media/rm_zvx_wketv0sawz6kcm.png"/><Relationship Id="rId9" Type="http://schemas.openxmlformats.org/officeDocument/2006/relationships/image" Target="media/efdjgunt4qzo41bhf2bh5.png"/><Relationship Id="rId10" Type="http://schemas.openxmlformats.org/officeDocument/2006/relationships/image" Target="media/kizc4xzyehu0-ovzu3dez.png"/><Relationship Id="rId11" Type="http://schemas.openxmlformats.org/officeDocument/2006/relationships/image" Target="media/rhkihatql7pm6aminhdai.png"/><Relationship Id="rId12" Type="http://schemas.openxmlformats.org/officeDocument/2006/relationships/image" Target="media/jibt7cl7pr47kin0gjuxx.png"/><Relationship Id="rId13" Type="http://schemas.openxmlformats.org/officeDocument/2006/relationships/image" Target="media/jhqltpxuhsiuaxpuo9_6r.png"/><Relationship Id="rId14" Type="http://schemas.openxmlformats.org/officeDocument/2006/relationships/image" Target="media/2zfpo9c1fojag5jxo5hi2.png"/><Relationship Id="rId15" Type="http://schemas.openxmlformats.org/officeDocument/2006/relationships/image" Target="media/odtvaahqzr-xbahhth4gv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WINDROSE AI · POST-ACUTE CARE Agent Playbook</dc:title>
  <dc:creator>Windrose AI</dc:creator>
  <dc:description>How to use the nine Windrose agents for post-acute care, grounded in the post-acute-care v1.0.0 pack.</dc:description>
  <cp:lastModifiedBy>Un-named</cp:lastModifiedBy>
  <cp:revision>1</cp:revision>
  <dcterms:created xsi:type="dcterms:W3CDTF">2026-07-17T22:26:07.068Z</dcterms:created>
  <dcterms:modified xsi:type="dcterms:W3CDTF">2026-07-17T22:26:07.068Z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