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1E7A4D"/>
          <w:sz w:val="19"/>
          <w:szCs w:val="19"/>
          <w:caps/>
        </w:rPr>
        <w:t xml:space="preserve">WINDROSE AI · PROVIDER REVENUE CYCLE (RCM)</w:t>
      </w:r>
    </w:p>
    <w:p>
      <w:pPr>
        <w:pBdr>
          <w:bottom w:val="single" w:color="1E7A4D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6"/>
          <w:szCs w:val="56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5"/>
          <w:szCs w:val="25"/>
        </w:rPr>
        <w:t xml:space="preserve">How to put the nine Windrose agents to work in denial management and A/R recovery.</w:t>
      </w:r>
    </w:p>
    <w:p>
      <w:pPr>
        <w:spacing w:after="24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</w:t>
      </w:r>
      <w:r>
        <w:rPr>
          <w:b/>
          <w:bCs/>
          <w:color w:val="1B2430"/>
        </w:rPr>
        <w:t xml:space="preserve">provider revenue cycle</w:t>
      </w:r>
      <w:r>
        <w:rPr>
          <w:color w:val="1B2430"/>
        </w:rPr>
        <w:t xml:space="preserve">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healthcare-provider-rcm v1.0.0</w:t>
      </w:r>
      <w:r>
        <w:rPr>
          <w:color w:val="1B2430"/>
        </w:rPr>
        <w:t xml:space="preserve"> pack (</w:t>
      </w:r>
      <w:r>
        <w:rPr>
          <w:color w:val="1B2430"/>
        </w:rPr>
        <w:t xml:space="preserve">BRD 26</w:t>
      </w:r>
      <w:r>
        <w:rPr>
          <w:color w:val="1B2430"/>
        </w:rPr>
        <w:t xml:space="preserve">).</w:t>
      </w:r>
    </w:p>
    <w:p>
      <w:pPr>
        <w:spacing w:after="15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healthcare-provider-rcm v1.0.0</w:t>
      </w:r>
    </w:p>
    <w:p>
      <w:pPr>
        <w:spacing w:after="120" w:line="276"/>
      </w:pPr>
      <w:r>
        <w:rPr>
          <w:b/>
          <w:bCs/>
          <w:color w:val="1B2430"/>
        </w:rPr>
        <w:t xml:space="preserve">Scope:  </w:t>
      </w:r>
      <w:r>
        <w:rPr>
          <w:color w:val="1B2430"/>
        </w:rPr>
        <w:t xml:space="preserve">Denials · Underpayments · A/R   ·   CARC/RARC · LCD/NCD · NCCI · No Surprises Act</w:t>
      </w:r>
    </w:p>
    <w:p>
      <w:pPr>
        <w:spacing w:after="120" w:line="276"/>
      </w:pPr>
      <w:r>
        <w:rPr>
          <w:b/>
          <w:bCs/>
          <w:color w:val="1B2430"/>
        </w:rPr>
        <w:t xml:space="preserve">Audience:  </w:t>
      </w:r>
      <w:r>
        <w:rPr>
          <w:color w:val="1B2430"/>
        </w:rPr>
        <w:t xml:space="preserve">Biller, Medical Coder, Denials Specialist, A/R Manager, Revenue Integrity Analyst, Revenue Cycle Director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never bills. </w:t>
      </w:r>
      <w:r>
        <w:rPr>
          <w:color w:val="1B2430"/>
        </w:rPr>
        <w:t xml:space="preserve">Every appeal, resubmission, or write-off is a proposal a biller, coder, or denials specialist approves (four-eyes).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1.  The provider revenue cycle problem Windrose solves</w:t>
      </w:r>
    </w:p>
    <w:p>
      <w:pPr>
        <w:spacing w:after="120" w:line="276"/>
      </w:pPr>
      <w:r>
        <w:rPr>
          <w:color w:val="1B2430"/>
        </w:rPr>
        <w:t xml:space="preserve">Provider revenue leaks at two seams: </w:t>
      </w:r>
      <w:r>
        <w:rPr>
          <w:b/>
          <w:bCs/>
          <w:color w:val="1B2430"/>
        </w:rPr>
        <w:t xml:space="preserve">denials</w:t>
      </w:r>
      <w:r>
        <w:rPr>
          <w:color w:val="1B2430"/>
        </w:rPr>
        <w:t xml:space="preserve"> (a payer refuses a claim) and </w:t>
      </w:r>
      <w:r>
        <w:rPr>
          <w:b/>
          <w:bCs/>
          <w:color w:val="1B2430"/>
        </w:rPr>
        <w:t xml:space="preserve">underpayments</w:t>
      </w:r>
      <w:r>
        <w:rPr>
          <w:color w:val="1B2430"/>
        </w:rPr>
        <w:t xml:space="preserve"> (a remittance line pays below the contracted rate). Working them is deadline-bound, evidence-heavy, and easy to under-staff — an appeal filed past the payer window is worthless, and an unspotted underpayment is money left on the table.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workflow</w:t>
      </w:r>
      <w:r>
        <w:rPr>
          <w:color w:val="1B2430"/>
        </w:rPr>
        <w:t xml:space="preserve">: claims, remits (835s), denials, and A/R land as governed data; agents work the denial + underpayment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an action — appeal, corrected resubmit, or write-off — grounded in the CARC/RARC codes and the payer contract; and a biller or denials specialist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</w:t>
      </w:r>
    </w:p>
    <w:tbl>
      <w:tblPr>
        <w:tblW w:type="dxa" w:w="9360"/>
        <w:tblBorders>
          <w:top w:val="single" w:color="C4E0D2" w:sz="2"/>
          <w:left w:val="single" w:color="B23A48" w:sz="18"/>
          <w:bottom w:val="single" w:color="C4E0D2" w:sz="2"/>
          <w:right w:val="single" w:color="C4E0D2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one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RCM_AUTONOMOUS_BILLING_FORBIDDEN (BR-1). </w:t>
            </w:r>
            <w:r>
              <w:rPr>
                <w:color w:val="1B2430"/>
              </w:rPr>
              <w:t xml:space="preserve">No agent submits, resubmits, appeals, or writes off a claim on its own. It drafts and recommends the action, cites the evidence, and a human on the revenue-cycle team approves. Enforced by the platform, not by convention.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1E7A4D"/>
        </w:rPr>
        <w:t xml:space="preserve">2.  The team (who approves what)</w:t>
      </w:r>
    </w:p>
    <w:p>
      <w:pPr>
        <w:spacing w:after="120" w:line="276"/>
      </w:pPr>
      <w:r>
        <w:rPr>
          <w:color w:val="1B2430"/>
        </w:rPr>
        <w:t xml:space="preserve">The pack ships these roles. Windrose only shows each person what their role allows; the approver on a proposal is never the one (or the agent) who created it.</w:t>
      </w:r>
    </w:p>
    <w:tbl>
      <w:tblPr>
        <w:tblW w:type="dxa" w:w="9360"/>
        <w:tblBorders>
          <w:top w:val="single" w:color="C4E0D2" w:sz="2"/>
          <w:left w:val="single" w:color="C4E0D2" w:sz="2"/>
          <w:bottom w:val="single" w:color="C4E0D2" w:sz="2"/>
          <w:right w:val="single" w:color="C4E0D2" w:sz="2"/>
          <w:insideH w:val="single" w:color="C4E0D2" w:sz="2"/>
          <w:insideV w:val="single" w:color="C4E0D2" w:sz="2"/>
        </w:tblBorders>
      </w:tblPr>
      <w:tblGrid>
        <w:gridCol w:w="2300"/>
        <w:gridCol w:w="3900"/>
        <w:gridCol w:w="3160"/>
      </w:tblGrid>
      <w:tr>
        <w:trPr>
          <w:tblHeader/>
        </w:trPr>
        <w:tc>
          <w:tcPr>
            <w:tcW w:type="dxa" w:w="23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9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Primary job</w:t>
            </w:r>
          </w:p>
        </w:tc>
        <w:tc>
          <w:tcPr>
            <w:tcW w:type="dxa" w:w="316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Approves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Biller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Claim submission, resubmission, follow-up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corrected resubmits</w:t>
            </w:r>
          </w:p>
        </w:tc>
      </w:tr>
      <w:tr>
        <w:tc>
          <w:tcPr>
            <w:tcW w:type="dxa" w:w="2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Medical Coder</w:t>
            </w:r>
          </w:p>
        </w:tc>
        <w:tc>
          <w:tcPr>
            <w:tcW w:type="dxa" w:w="3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Code assignment and correction</w:t>
            </w:r>
          </w:p>
        </w:tc>
        <w:tc>
          <w:tcPr>
            <w:tcW w:type="dxa" w:w="31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coding adjustments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Denials Specialist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Denial work, appeals with evidence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appeals, escalations</w:t>
            </w:r>
          </w:p>
        </w:tc>
      </w:tr>
      <w:tr>
        <w:tc>
          <w:tcPr>
            <w:tcW w:type="dxa" w:w="2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A/R Manager</w:t>
            </w:r>
          </w:p>
        </w:tc>
        <w:tc>
          <w:tcPr>
            <w:tcW w:type="dxa" w:w="3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Aging A/R, follow-up prioritization</w:t>
            </w:r>
          </w:p>
        </w:tc>
        <w:tc>
          <w:tcPr>
            <w:tcW w:type="dxa" w:w="31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A/R actions, write-offs (with note)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Revenue Integrity Analyst</w:t>
            </w:r>
          </w:p>
        </w:tc>
        <w:tc>
          <w:tcPr>
            <w:tcW w:type="dxa" w:w="3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Underpayment detection vs contract</w:t>
            </w:r>
          </w:p>
        </w:tc>
        <w:tc>
          <w:tcPr>
            <w:tcW w:type="dxa" w:w="31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underpayment recoveries</w:t>
            </w:r>
          </w:p>
        </w:tc>
      </w:tr>
      <w:tr>
        <w:tc>
          <w:tcPr>
            <w:tcW w:type="dxa" w:w="23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Revenue Cycle Director</w:t>
            </w:r>
          </w:p>
        </w:tc>
        <w:tc>
          <w:tcPr>
            <w:tcW w:type="dxa" w:w="3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KPIs, payer relations, sign-off</w:t>
            </w:r>
          </w:p>
        </w:tc>
        <w:tc>
          <w:tcPr>
            <w:tcW w:type="dxa" w:w="31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program-level &amp; exception approvals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1E7A4D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</w:t>
      </w:r>
      <w:r>
        <w:rPr>
          <w:color w:val="1B2430"/>
        </w:rPr>
        <w:t xml:space="preserve">provider revenue cycle</w:t>
      </w:r>
      <w:r>
        <w:rPr>
          <w:color w:val="1B2430"/>
        </w:rPr>
        <w:t xml:space="preserve">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4E0D2" w:sz="2"/>
          <w:left w:val="single" w:color="C4E0D2" w:sz="2"/>
          <w:bottom w:val="single" w:color="C4E0D2" w:sz="2"/>
          <w:right w:val="single" w:color="C4E0D2" w:sz="2"/>
          <w:insideH w:val="single" w:color="C4E0D2" w:sz="2"/>
          <w:insideV w:val="single" w:color="C4E0D2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in this vertical</w:t>
            </w:r>
          </w:p>
        </w:tc>
        <w:tc>
          <w:tcPr>
            <w:tcW w:type="dxa" w:w="306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denial-prediction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platform: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Real assets in the running platform: the rcm_claims and rcm_ar governed semantic models (among other packs’ models).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pack’s dashboards — the RCM Command Center, Denial Analytics, and A/R Aging Actions — installed alongside other packs’ boards.</w:t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4.  Agent-by-agent playbook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 — landing the domain feeds as governed datasets.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onboarding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rcm_claims and rcm_ar</w:t>
      </w:r>
      <w:r>
        <w:rPr>
          <w:color w:val="1B2430"/>
        </w:rPr>
        <w:t xml:space="preserve"> models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always citing the measures it used.</w:t>
      </w:r>
    </w:p>
    <w:p>
      <w:pPr>
        <w:spacing w:after="120" w:line="276"/>
      </w:pPr>
      <w:r>
        <w:rPr>
          <w:b/>
          <w:bCs/>
          <w:color w:val="1B2430"/>
        </w:rPr>
        <w:t xml:space="preserve">Ask it things like: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430"/>
        </w:rPr>
        <w:t xml:space="preserve">“Clean-claim rate vs the 95% benchmark?”  →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clean_claim_rate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430"/>
        </w:rPr>
        <w:t xml:space="preserve">“Denial rate and overturn rate?”  →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denial_rate, denial_overturn_rate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430"/>
        </w:rPr>
        <w:t xml:space="preserve">“Days in A/R and % over 90?”  →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avg_days_to_payment, pct_ar_over_90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430"/>
        </w:rPr>
        <w:t xml:space="preserve">“Net collection rate and total payment variance?”  →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net_collection_rate, total_payment_variance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vertical’s questions.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 and chart catalog.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“design a denial-analytics board.” It proposes charts over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rcm_claims and rcm_ar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approves; the board appears under </w:t>
      </w:r>
      <w:r>
        <w:rPr>
          <w:b/>
          <w:bCs/>
          <w:color w:val="1B2430"/>
        </w:rPr>
        <w:t xml:space="preserve">Dashboards</w:t>
      </w:r>
      <w:r>
        <w:rPr>
          <w:color w:val="1B2430"/>
        </w:rPr>
        <w:t xml:space="preserve"> (Figure 2).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denial-prediction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proposal, resolving algorithm + hyperparameters + label/features grounded in the algorithm catalog and prior runs. The pack ships a real </w:t>
      </w:r>
      <w:r>
        <w:rPr>
          <w:b/>
          <w:bCs/>
          <w:color w:val="1B2430"/>
        </w:rPr>
        <w:t xml:space="preserve">denial-prediction</w:t>
      </w:r>
      <w:r>
        <w:rPr>
          <w:color w:val="1B2430"/>
        </w:rPr>
        <w:t xml:space="preserve"> training pipeline.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denial-prediction model on the panel.”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 (algorithm, params, label =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will_deny</w:t>
      </w:r>
      <w:r>
        <w:rPr>
          <w:color w:val="1B2430"/>
        </w:rPr>
        <w:t xml:space="preserve">). Approve → the pipeline runs and registers a model.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registry. A pipeline-trained model auto-mirrors here, ready to gate and promote.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</w:t>
      </w:r>
      <w:r>
        <w:rPr>
          <w:b/>
          <w:bCs/>
          <w:color w:val="1B2430"/>
        </w:rPr>
        <w:t xml:space="preserve">ml-engineer</w:t>
      </w:r>
      <w:r>
        <w:rPr>
          <w:color w:val="1B2430"/>
        </w:rPr>
        <w:t xml:space="preserve">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Point it at a prepared dataset and the label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will_deny</w:t>
      </w:r>
      <w:r>
        <w:rPr>
          <w:color w:val="1B243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It emits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proposal for the best candidate, with the comparison as evidence. A director approves.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 job whose output is a scored dataset the team works from.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“score this week’s outgoing claims with the production denial-prediction model.”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proposal (model version + input dataset, compatibility confirmed). Approve; the scored set feeds the worklist.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denials &amp; underpayment reviewer</w:t>
      </w:r>
    </w:p>
    <w:p>
      <w:pPr>
        <w:spacing w:after="120" w:line="276"/>
      </w:pPr>
      <w:r>
        <w:rPr>
          <w:color w:val="1B2430"/>
        </w:rPr>
        <w:t xml:space="preserve">The </w:t>
      </w:r>
      <w:r>
        <w:rPr>
          <w:b/>
          <w:bCs/>
          <w:color w:val="1B2430"/>
        </w:rPr>
        <w:t xml:space="preserve">denial queue</w:t>
      </w:r>
      <w:r>
        <w:rPr>
          <w:color w:val="1B2430"/>
        </w:rPr>
        <w:t xml:space="preserve"> fills with claim denials and below-contract remittance lines. For each denial, case-triage cites the </w:t>
      </w:r>
      <w:r>
        <w:rPr>
          <w:b/>
          <w:bCs/>
          <w:color w:val="1B2430"/>
        </w:rPr>
        <w:t xml:space="preserve">CARC/RARC</w:t>
      </w:r>
      <w:r>
        <w:rPr>
          <w:color w:val="1B2430"/>
        </w:rPr>
        <w:t xml:space="preserve"> codes, classifies it, and proposes the </w:t>
      </w:r>
      <w:r>
        <w:rPr>
          <w:b/>
          <w:bCs/>
          <w:color w:val="1B2430"/>
        </w:rPr>
        <w:t xml:space="preserve">action</w:t>
      </w:r>
      <w:r>
        <w:rPr>
          <w:color w:val="1B2430"/>
        </w:rPr>
        <w:t xml:space="preserve"> the class calls for — grounded in the chart, the payer policy, and the contract.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touches a claim.</w:t>
      </w:r>
    </w:p>
    <w:p>
      <w:pPr>
        <w:spacing w:after="120" w:line="276"/>
      </w:pPr>
      <w:r>
        <w:rPr>
          <w:b/>
          <w:bCs/>
          <w:color w:val="1B2430"/>
        </w:rPr>
        <w:t xml:space="preserve">What it checks (from the pack’s agent instructions):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Cite the codes </w:t>
      </w:r>
      <w:r>
        <w:rPr>
          <w:color w:val="1B2430"/>
        </w:rPr>
        <w:t xml:space="preserve">— every denial names its CARC and RARC codes from the 835.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Classify the denial </w:t>
      </w:r>
      <w:r>
        <w:rPr>
          <w:color w:val="1B2430"/>
        </w:rPr>
        <w:t xml:space="preserve">— coverage (LCD/NCD non-coverage) · documentation · medical-necessity · administrative (BR-4) — the class determines the action.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Pick the action </w:t>
      </w:r>
      <w:r>
        <w:rPr>
          <w:color w:val="1B2430"/>
        </w:rPr>
        <w:t xml:space="preserve">— appeal with cited chart/policy evidence · corrected resubmit · or write-off when no clinical case exists.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Check the deadline </w:t>
      </w:r>
      <w:r>
        <w:rPr>
          <w:color w:val="1B2430"/>
        </w:rPr>
        <w:t xml:space="preserve">— an underpayment dispute outside the payer-contract window is time_barred and must not be proposed (BR-5).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Underpayments </w:t>
      </w:r>
      <w:r>
        <w:rPr>
          <w:color w:val="1B2430"/>
        </w:rPr>
        <w:t xml:space="preserve">— cite the expected contracted amount against the actual paid amount from the 835 line.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writes </w:t>
      </w:r>
      <w:r>
        <w:rPr>
          <w:color w:val="1B2430"/>
        </w:rPr>
        <w:t xml:space="preserve">— draft and recommend only — a human submits, resubmits, appeals, or writes off (BR-1).</w:t>
      </w:r>
    </w:p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4E0D2" w:sz="2"/>
          <w:left w:val="single" w:color="C4E0D2" w:sz="2"/>
          <w:bottom w:val="single" w:color="C4E0D2" w:sz="2"/>
          <w:right w:val="single" w:color="C4E0D2" w:sz="2"/>
          <w:insideH w:val="single" w:color="C4E0D2" w:sz="2"/>
          <w:insideV w:val="single" w:color="C4E0D2" w:sz="2"/>
        </w:tblBorders>
      </w:tblPr>
      <w:tblGrid>
        <w:gridCol w:w="3200"/>
        <w:gridCol w:w="4100"/>
        <w:gridCol w:w="2060"/>
      </w:tblGrid>
      <w:tr>
        <w:trPr>
          <w:tblHeader/>
        </w:trPr>
        <w:tc>
          <w:tcPr>
            <w:tcW w:type="dxa" w:w="32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1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appeal_submitted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Appeal submitted to payer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corrected_resubmit</w:t>
            </w:r>
          </w:p>
        </w:tc>
        <w:tc>
          <w:tcPr>
            <w:tcW w:type="dxa" w:w="4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Corrected claim resubmitted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write_off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Write-off approved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3A48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escalate_payer</w:t>
            </w:r>
          </w:p>
        </w:tc>
        <w:tc>
          <w:tcPr>
            <w:tcW w:type="dxa" w:w="4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Escalate to payer relations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underpayment_recovered</w:t>
            </w:r>
          </w:p>
        </w:tc>
        <w:tc>
          <w:tcPr>
            <w:tcW w:type="dxa" w:w="4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Underpayment recovered from payer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balance_verified_correct</w:t>
            </w:r>
          </w:p>
        </w:tc>
        <w:tc>
          <w:tcPr>
            <w:tcW w:type="dxa" w:w="4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Payment verified correct — no action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denial &amp; underpayment queue, ranked. Each row is a queued item with its context.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here it is the denial &amp; underpayment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item.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evidence; the AI recommendation names the exact basis — e.g. “CO-197 (auth missing) documentation denial — auth on file in chart; propose appeal with the cited authorization”.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case with grounded evidence and the AI’s recommendation, citing the rule and the exact source artifact.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reviewable diff, then decide — inert until a human approves.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disposition proposal as a field-level diff. Nothing is actioned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inbox. Four-eyes: the approver is not the proposer.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a different person than the one who raised it — four-eyes.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principal. When the </w:t>
      </w:r>
      <w:r>
        <w:rPr>
          <w:color w:val="1B2430"/>
        </w:rPr>
        <w:t xml:space="preserve">denial-prediction</w:t>
      </w:r>
      <w:r>
        <w:rPr>
          <w:color w:val="1B2430"/>
        </w:rPr>
        <w:t xml:space="preserve"> model drifts or corrections pile up past threshold,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4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1E7A4D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the delegate’s own write mode governs whether a proposal results.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5.  The operating cycle — how the agents chain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Land data</w:t>
      </w:r>
      <w:r>
        <w:rPr>
          <w:color w:val="1B2430"/>
        </w:rPr>
        <w:t xml:space="preserve"> — onboarding proposes ingestions → the source feeds become governed datasets.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Watch</w:t>
      </w:r>
      <w:r>
        <w:rPr>
          <w:color w:val="1B2430"/>
        </w:rPr>
        <w:t xml:space="preserve"> — analytics + dashboards surface where attention is needed.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Predict</w:t>
      </w:r>
      <w:r>
        <w:rPr>
          <w:color w:val="1B2430"/>
        </w:rPr>
        <w:t xml:space="preserve"> — ml-engineer / model-training build the model; inference scores the population.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Review &amp; decide</w:t>
      </w:r>
      <w:r>
        <w:rPr>
          <w:color w:val="1B2430"/>
        </w:rPr>
        <w:t xml:space="preserve"> — case-triage proposes dispositions on the queue; the team approves (four-eyes).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Write back</w:t>
      </w:r>
      <w:r>
        <w:rPr>
          <w:color w:val="1B2430"/>
        </w:rPr>
        <w:t xml:space="preserve"> — approved actions sync to the system of record in proposal-mode (pack-service adapters).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b/>
          <w:bCs/>
          <w:color w:val="1B2430"/>
        </w:rPr>
        <w:t xml:space="preserve">Learn</w:t>
      </w:r>
      <w:r>
        <w:rPr>
          <w:color w:val="1B2430"/>
        </w:rPr>
        <w:t xml:space="preserve"> — every correction trains the next model; governance opens a retrain on drift.</w:t>
      </w:r>
    </w:p>
    <w:tbl>
      <w:tblPr>
        <w:tblW w:type="dxa" w:w="9360"/>
        <w:tblBorders>
          <w:top w:val="single" w:color="C4E0D2" w:sz="2"/>
          <w:left w:val="single" w:color="1E7A4D" w:sz="18"/>
          <w:bottom w:val="single" w:color="C4E0D2" w:sz="2"/>
          <w:right w:val="single" w:color="C4E0D2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6F2EC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1E7A4D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6.  Governance &amp; compliance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RCM_AUTONOMOUS_BILLING_FORBIDDEN — every consequential action is a human-approved proposal.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Four-eyes. </w:t>
      </w:r>
      <w:r>
        <w:rPr>
          <w:color w:val="1B2430"/>
        </w:rPr>
        <w:t xml:space="preserve">The approver is structurally never the proposer (or the agent).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4E0D2" w:sz="4"/>
          <w:left w:val="single" w:color="C4E0D2" w:sz="4"/>
          <w:bottom w:val="single" w:color="C4E0D2" w:sz="4"/>
          <w:right w:val="single" w:color="C4E0D2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1E7A4D"/>
          <w:sz w:val="17"/>
          <w:szCs w:val="17"/>
        </w:rPr>
        <w:t xml:space="preserve">Figure 10.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scoring runs &amp; gates, scorers, and canary A/B.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Audit trail. </w:t>
      </w:r>
      <w:r>
        <w:rPr>
          <w:color w:val="1B2430"/>
        </w:rPr>
        <w:t xml:space="preserve">Every proposal, decision, and tool call is recorded (audit-defensible); authorization is per-request against your role.</w:t>
      </w:r>
    </w:p>
    <w:p>
      <w:pPr>
        <w:pStyle w:val="Heading1"/>
        <w:spacing w:before="300" w:after="70"/>
      </w:pPr>
      <w:r>
        <w:rPr>
          <w:b/>
          <w:bCs/>
          <w:color w:val="1E7A4D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deferred items are recorded in the install ledger, and the guarantees they need (proposal-mode + four-eyes) already hold. Nothing below is stubbed.</w:t>
      </w:r>
    </w:p>
    <w:tbl>
      <w:tblPr>
        <w:tblW w:type="dxa" w:w="9360"/>
        <w:tblBorders>
          <w:top w:val="single" w:color="C4E0D2" w:sz="2"/>
          <w:left w:val="single" w:color="C4E0D2" w:sz="2"/>
          <w:bottom w:val="single" w:color="C4E0D2" w:sz="2"/>
          <w:right w:val="single" w:color="C4E0D2" w:sz="2"/>
          <w:insideH w:val="single" w:color="C4E0D2" w:sz="2"/>
          <w:insideV w:val="single" w:color="C4E0D2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1E7A4D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(rcm_claims, rcm_ar) + RCM KPI catalog, dashboards,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Denial + underpayment case queue + disposition taxonomy + RCM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provider RCM (CARC/RARC/contract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Denial-prediction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Bespoke recipes (coding assistant, appeal drafter, underpayment auditor…)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via config on the fixed agents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LCD/NCD/NCCI edits + No Surprises Act + FDCPA OPA guardrails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carried today as grounding + proposal-mode+four-eyes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Payer/clearinghouse connectors + claim/appeal write adapters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customer creds via pack-service; seed datasets today</w:t>
            </w:r>
          </w:p>
        </w:tc>
      </w:tr>
    </w:tbl>
    <w:p>
      <w:pPr>
        <w:spacing w:after="120"/>
      </w:pPr>
    </w:p>
    <w:p>
      <w:pPr>
        <w:pBdr>
          <w:bottom w:val="single" w:color="C4E0D2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healthcare-provider-rcm pack (BRD 26). Screenshots of domain assets (semantic models, dashboards) are live from the running platform;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E7A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1E7A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E7A4D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vdf4rdlfns2jbfeiv_k-j.png"/><Relationship Id="rId7" Type="http://schemas.openxmlformats.org/officeDocument/2006/relationships/image" Target="media/ugldbbpblsmfywsgv-jee.png"/><Relationship Id="rId8" Type="http://schemas.openxmlformats.org/officeDocument/2006/relationships/image" Target="media/9nho9zw7z-cqgfa5s3kkf.png"/><Relationship Id="rId9" Type="http://schemas.openxmlformats.org/officeDocument/2006/relationships/image" Target="media/wxxkuneqtuojdxdpfidnk.png"/><Relationship Id="rId10" Type="http://schemas.openxmlformats.org/officeDocument/2006/relationships/image" Target="media/ac5qxnshu7-ihx6zsholo.png"/><Relationship Id="rId11" Type="http://schemas.openxmlformats.org/officeDocument/2006/relationships/image" Target="media/1vnlp-hxtbieaeqhhwqzn.png"/><Relationship Id="rId12" Type="http://schemas.openxmlformats.org/officeDocument/2006/relationships/image" Target="media/wba4i-tvivsdplrf-d94c.png"/><Relationship Id="rId13" Type="http://schemas.openxmlformats.org/officeDocument/2006/relationships/image" Target="media/s7rsqwtmez_nmbn5b-cti.png"/><Relationship Id="rId14" Type="http://schemas.openxmlformats.org/officeDocument/2006/relationships/image" Target="media/9gzcrhd3p_hyjzar66sid.png"/><Relationship Id="rId15" Type="http://schemas.openxmlformats.org/officeDocument/2006/relationships/image" Target="media/5sjxypwgbr_snejnj3_74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WINDROSE AI · PROVIDER REVENUE CYCLE (RCM) Agent Playbook</dc:title>
  <dc:creator>Windrose AI</dc:creator>
  <dc:description>How to use the nine Windrose agents for provider revenue cycle, grounded in the healthcare-provider-rcm v1.0.0 pack.</dc:description>
  <cp:lastModifiedBy>Un-named</cp:lastModifiedBy>
  <cp:revision>1</cp:revision>
  <dcterms:created xsi:type="dcterms:W3CDTF">2026-07-17T22:26:07.192Z</dcterms:created>
  <dcterms:modified xsi:type="dcterms:W3CDTF">2026-07-17T22:26:07.192Z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