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 w:after="0"/>
      </w:pPr>
      <w:r>
        <w:rPr>
          <w:b/>
          <w:bCs/>
          <w:color w:val="1F5C8C"/>
          <w:sz w:val="18"/>
          <w:szCs w:val="18"/>
          <w:caps/>
        </w:rPr>
        <w:t xml:space="preserve">WINDROSE AI  ·  AP INVOICE AUDIT</w:t>
      </w:r>
    </w:p>
    <w:p>
      <w:pPr>
        <w:pBdr>
          <w:bottom w:val="single" w:color="1F5C8C" w:sz="12"/>
        </w:pBdr>
        <w:spacing w:before="40" w:after="0"/>
      </w:pPr>
    </w:p>
    <w:p>
      <w:pPr>
        <w:spacing w:before="250" w:after="60"/>
      </w:pPr>
      <w:r>
        <w:rPr>
          <w:b/>
          <w:bCs/>
          <w:color w:val="1B2430"/>
          <w:sz w:val="54"/>
          <w:szCs w:val="54"/>
        </w:rPr>
        <w:t xml:space="preserve">Agent Playbook</w:t>
      </w:r>
    </w:p>
    <w:p>
      <w:pPr>
        <w:spacing w:after="40"/>
      </w:pPr>
      <w:r>
        <w:rPr>
          <w:i/>
          <w:iCs/>
          <w:color w:val="5B6670"/>
          <w:sz w:val="24"/>
          <w:szCs w:val="24"/>
        </w:rPr>
        <w:t xml:space="preserve">How to put the nine Windrose agents to work in ap invoice audit.</w:t>
      </w:r>
    </w:p>
    <w:p>
      <w:pPr>
        <w:spacing w:after="220"/>
      </w:pPr>
    </w:p>
    <w:p>
      <w:pPr>
        <w:spacing w:after="120" w:line="276"/>
      </w:pPr>
      <w:r>
        <w:rPr>
          <w:color w:val="1B2430"/>
        </w:rPr>
        <w:t xml:space="preserve">This playbook maps each of Windrose’s nine agents to a concrete job in this vertical, grounded in the real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ap-invoice-audit pack</w:t>
      </w:r>
      <w:r>
        <w:rPr>
          <w:color w:val="1B2430"/>
        </w:rPr>
        <w:t xml:space="preserve">.</w:t>
      </w:r>
    </w:p>
    <w:p>
      <w:pPr>
        <w:spacing w:after="140"/>
      </w:pPr>
    </w:p>
    <w:p>
      <w:pPr>
        <w:spacing w:after="120" w:line="276"/>
      </w:pPr>
      <w:r>
        <w:rPr>
          <w:b/>
          <w:bCs/>
          <w:color w:val="1B2430"/>
        </w:rPr>
        <w:t xml:space="preserve">Pack: 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ap-invoice-audit v1.0.0</w:t>
      </w:r>
    </w:p>
    <w:p>
      <w:pPr>
        <w:spacing w:after="120" w:line="276"/>
      </w:pPr>
      <w:r>
        <w:rPr>
          <w:b/>
          <w:bCs/>
          <w:color w:val="1B2430"/>
        </w:rPr>
        <w:t xml:space="preserve">Domain:  </w:t>
      </w:r>
      <w:r>
        <w:rPr>
          <w:color w:val="1B2430"/>
        </w:rPr>
        <w:t xml:space="preserve">finance · accounts_payable · procure_to_pay · fraud · recovery_audit</w:t>
      </w:r>
    </w:p>
    <w:p>
      <w:pPr>
        <w:spacing w:after="120" w:line="276"/>
      </w:pPr>
      <w:r>
        <w:rPr>
          <w:b/>
          <w:bCs/>
          <w:color w:val="1B2430"/>
        </w:rPr>
        <w:t xml:space="preserve">Regulatory:  </w:t>
      </w:r>
      <w:r>
        <w:rPr>
          <w:color w:val="1B2430"/>
        </w:rPr>
        <w:t xml:space="preserve">sox_icfr, irs_1099_tin, ofac_sanctions, coso</w:t>
      </w:r>
    </w:p>
    <w:p>
      <w:pPr>
        <w:spacing w:after="120" w:line="276"/>
      </w:pPr>
      <w:r>
        <w:rPr>
          <w:b/>
          <w:bCs/>
          <w:color w:val="1B2430"/>
        </w:rPr>
        <w:t xml:space="preserve">Golden rule:  </w:t>
      </w:r>
      <w:r>
        <w:rPr>
          <w:b/>
          <w:bCs/>
          <w:color w:val="B23A48"/>
        </w:rPr>
        <w:t xml:space="preserve">Windrose proposes; a human decides. </w:t>
      </w:r>
      <w:r>
        <w:rPr>
          <w:color w:val="1B2430"/>
        </w:rPr>
        <w:t xml:space="preserve">No autonomous writes — four-eyes on every action.</w:t>
      </w:r>
    </w:p>
    <w:p>
      <w:pPr>
        <w:spacing w:after="120" w:line="276"/>
      </w:pPr>
      <w:r>
        <w:rPr>
          <w:b/>
          <w:bCs/>
          <w:color w:val="1B2430"/>
        </w:rPr>
        <w:t xml:space="preserve">Date:  </w:t>
      </w:r>
      <w:r>
        <w:rPr>
          <w:color w:val="1B2430"/>
        </w:rPr>
        <w:t xml:space="preserve">2026-07-17</w:t>
      </w:r>
    </w:p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1F5C8C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1F5C8C"/>
        </w:rPr>
        <w:t xml:space="preserve">1.  What this pack does</w:t>
      </w:r>
    </w:p>
    <w:p>
      <w:pPr>
        <w:spacing w:after="120" w:line="276"/>
      </w:pPr>
      <w:r>
        <w:rPr>
          <w:color w:val="1B2430"/>
        </w:rPr>
        <w:t xml:space="preserve">AI-assisted accounts-payable invoice exception and fraud audit: exception triage with payment-run deadline awareness (three-way-match gaps, duplicates, price/quantity variances), BEC banking-change and shell-vendor fraud escalation with out-of-band verification discipline, split-invoicing threshold detection, duplicate-payment recovery workflow, AP-controls KPI semantic model and dashboards (block rate, release rate, recovered dollars, fraud-escalation share, deadline runway, vendor-risk mix), vendor-category network analytics, payment-controls + invoice-fraud grounding memories, and invoice-anomaly + exception-outcome training pipelines.</w:t>
      </w:r>
    </w:p>
    <w:p>
      <w:pPr>
        <w:spacing w:after="120" w:line="276"/>
      </w:pPr>
      <w:r>
        <w:rPr>
          <w:color w:val="1B2430"/>
        </w:rPr>
        <w:t xml:space="preserve">Windrose makes it a </w:t>
      </w:r>
      <w:r>
        <w:rPr>
          <w:b/>
          <w:bCs/>
          <w:color w:val="1B2430"/>
        </w:rPr>
        <w:t xml:space="preserve">governed decision workflow</w:t>
      </w:r>
      <w:r>
        <w:rPr>
          <w:color w:val="1B2430"/>
        </w:rPr>
        <w:t xml:space="preserve">: the source data lands as governed datasets; the agents watch the queue and </w:t>
      </w:r>
      <w:r>
        <w:rPr>
          <w:b/>
          <w:bCs/>
          <w:color w:val="1B2430"/>
        </w:rPr>
        <w:t xml:space="preserve">propose</w:t>
      </w:r>
      <w:r>
        <w:rPr>
          <w:color w:val="1B2430"/>
        </w:rPr>
        <w:t xml:space="preserve"> — a disposition, a model, a dashboard — grounded in the domain rules; and a human </w:t>
      </w:r>
      <w:r>
        <w:rPr>
          <w:b/>
          <w:bCs/>
          <w:color w:val="1B2430"/>
        </w:rPr>
        <w:t xml:space="preserve">approves</w:t>
      </w:r>
      <w:r>
        <w:rPr>
          <w:color w:val="1B2430"/>
        </w:rPr>
        <w:t xml:space="preserve">. Every correction trains the next model. The nine agents are the workforce; this playbook is their job description.</w:t>
      </w:r>
    </w:p>
    <w:tbl>
      <w:tblPr>
        <w:tblW w:type="dxa" w:w="9360"/>
        <w:tblBorders>
          <w:top w:val="single" w:color="C9D6E0" w:sz="2"/>
          <w:left w:val="single" w:color="B23A48" w:sz="18"/>
          <w:bottom w:val="single" w:color="C9D6E0" w:sz="2"/>
          <w:right w:val="single" w:color="C9D6E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ECE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B23A48"/>
                <w:sz w:val="18"/>
                <w:szCs w:val="18"/>
                <w:caps/>
              </w:rPr>
              <w:t xml:space="preserve">The rule that shapes everything</w:t>
            </w:r>
          </w:p>
          <w:p>
            <w:pPr>
              <w:spacing w:after="0" w:line="264"/>
            </w:pPr>
            <w:r>
              <w:rPr>
                <w:b/>
                <w:bCs/>
                <w:color w:val="B23A48"/>
              </w:rPr>
              <w:t xml:space="preserve">Windrose proposes; a human decides. </w:t>
            </w:r>
            <w:r>
              <w:rPr>
                <w:color w:val="1B2430"/>
              </w:rPr>
              <w:t xml:space="preserve">Proposal-mode + four-eyes: no agent writes or actions on its own — every consequential step is a human-approved proposal. Enforced by the platform.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1F5C8C"/>
        </w:rPr>
        <w:t xml:space="preserve">2.  The team (who does the approving)</w:t>
      </w:r>
    </w:p>
    <w:p>
      <w:pPr>
        <w:spacing w:after="120" w:line="276"/>
      </w:pPr>
      <w:r>
        <w:rPr>
          <w:color w:val="1B2430"/>
        </w:rPr>
        <w:t xml:space="preserve">The pack ships these roles. Each person only sees what their role allows; the approver on a proposal is never the one (or the agent) who created it.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5C8C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6360"/>
            <w:shd w:fill="1F5C8C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AP Exception Analyst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Recovery Audit Analyst</w:t>
            </w:r>
          </w:p>
        </w:tc>
        <w:tc>
          <w:tcPr>
            <w:tcW w:type="dxa" w:w="63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Vendor Master Specialist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AP Controls Manager</w:t>
            </w:r>
          </w:p>
        </w:tc>
        <w:tc>
          <w:tcPr>
            <w:tcW w:type="dxa" w:w="63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Internal Controls Auditor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1F5C8C"/>
        </w:rPr>
        <w:t xml:space="preserve">3.  The nine agents, mapped to this vertical</w:t>
      </w:r>
    </w:p>
    <w:p>
      <w:pPr>
        <w:spacing w:after="120" w:line="276"/>
      </w:pPr>
      <w:r>
        <w:rPr>
          <w:color w:val="1B2430"/>
        </w:rPr>
        <w:t xml:space="preserve">Every agent below is the </w:t>
      </w:r>
      <w:r>
        <w:rPr>
          <w:b/>
          <w:bCs/>
          <w:color w:val="1B2430"/>
        </w:rPr>
        <w:t xml:space="preserve">same platform agent</w:t>
      </w:r>
      <w:r>
        <w:rPr>
          <w:color w:val="1B2430"/>
        </w:rPr>
        <w:t xml:space="preserve"> — specialised to this domain through tenant configuration (persona + domain + rule grounding), not a code fork. case-triage and analytics carry explicit domain instructions today; the rest apply unchanged.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900"/>
        <w:gridCol w:w="4400"/>
        <w:gridCol w:w="3060"/>
      </w:tblGrid>
      <w:tr>
        <w:trPr>
          <w:tblHeader/>
        </w:trPr>
        <w:tc>
          <w:tcPr>
            <w:tcW w:type="dxa" w:w="1900"/>
            <w:shd w:fill="1F5C8C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Agent</w:t>
            </w:r>
          </w:p>
        </w:tc>
        <w:tc>
          <w:tcPr>
            <w:tcW w:type="dxa" w:w="4400"/>
            <w:shd w:fill="1F5C8C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Its job here</w:t>
            </w:r>
          </w:p>
        </w:tc>
        <w:tc>
          <w:tcPr>
            <w:tcW w:type="dxa" w:w="3060"/>
            <w:shd w:fill="1F5C8C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Who approves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onboarding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how to land the source feeds as governed datasets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admin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analytics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Answer KPI questions over the governed models — read-only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 (no write)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dashboard-designer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Draft the operational dashboards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model-training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a invoice-anomaly + exception-outcome training run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ml-engineer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Autonomously build &amp; compare candidate models, propose the winner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(four-eyes)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inference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Batch-score with the production model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Analyst / Manager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case-triage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The reviewer: propose a disposition on each queued case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Domain reviewer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governance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Open a retrain proposal when a model drifts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meta-router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Front door: route a free-text request to the right agent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(delegate’s approver)</w:t>
            </w:r>
          </w:p>
        </w:tc>
      </w:tr>
    </w:tbl>
    <w:p>
      <w:pPr>
        <w:spacing w:after="50"/>
      </w:pPr>
    </w:p>
    <w:p>
      <w:pPr>
        <w:spacing w:after="120" w:line="276"/>
      </w:pPr>
      <w:r>
        <w:rPr>
          <w:color w:val="1B2430"/>
        </w:rPr>
        <w:t xml:space="preserve">The domain data these agents reason over is live in the platform’s governed layer:</w:t>
      </w:r>
    </w:p>
    <w:tbl>
      <w:tblPr>
        <w:tblW w:type="dxa" w:w="84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F5C8C"/>
          <w:sz w:val="17"/>
          <w:szCs w:val="17"/>
        </w:rPr>
        <w:t xml:space="preserve">Figure 1. </w:t>
      </w:r>
      <w:r>
        <w:rPr>
          <w:i/>
          <w:iCs/>
          <w:color w:val="5B6670"/>
          <w:sz w:val="17"/>
          <w:szCs w:val="17"/>
        </w:rPr>
        <w:t xml:space="preserve">The platform’s Semantic Models surface (models from many installed packs shown). This pack adds: ap_audit_core.</w:t>
      </w:r>
    </w:p>
    <w:tbl>
      <w:tblPr>
        <w:tblW w:type="dxa" w:w="84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F5C8C"/>
          <w:sz w:val="17"/>
          <w:szCs w:val="17"/>
        </w:rPr>
        <w:t xml:space="preserve">Figure 2. </w:t>
      </w:r>
      <w:r>
        <w:rPr>
          <w:i/>
          <w:iCs/>
          <w:color w:val="5B6670"/>
          <w:sz w:val="17"/>
          <w:szCs w:val="17"/>
        </w:rPr>
        <w:t xml:space="preserve">The Dashboards surface. This pack installs: Ap_exception_center, Fraud_vendor_risk, Recovery_controls.</w:t>
      </w:r>
    </w:p>
    <w:p>
      <w:pPr>
        <w:pStyle w:val="Heading1"/>
        <w:spacing w:before="300" w:after="70"/>
      </w:pPr>
      <w:r>
        <w:rPr>
          <w:b/>
          <w:bCs/>
          <w:color w:val="1F5C8C"/>
        </w:rPr>
        <w:t xml:space="preserve">4.  Agent-by-agent playbook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F5C8C" w:color="auto" w:val="clear"/>
        </w:rPr>
        <w:t xml:space="preserve">  onboarding  </w:t>
      </w:r>
      <w:r>
        <w:rPr>
          <w:b/>
          <w:bCs/>
          <w:color w:val="1B2430"/>
        </w:rPr>
        <w:t xml:space="preserve">   4.1. Bring the data in</w:t>
      </w:r>
    </w:p>
    <w:p>
      <w:pPr>
        <w:spacing w:after="120" w:line="276"/>
      </w:pPr>
      <w:r>
        <w:rPr>
          <w:color w:val="1B2430"/>
        </w:rPr>
        <w:t xml:space="preserve">The onboarding agent inspects a source and </w:t>
      </w:r>
      <w:r>
        <w:rPr>
          <w:b/>
          <w:bCs/>
          <w:color w:val="1B2430"/>
        </w:rPr>
        <w:t xml:space="preserve">proposes</w:t>
      </w:r>
      <w:r>
        <w:rPr>
          <w:color w:val="1B2430"/>
        </w:rPr>
        <w:t xml:space="preserve"> an ingestion config + column mapping, grounded in the connector catalog and a live preview.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Go to </w:t>
      </w:r>
      <w:r>
        <w:rPr>
          <w:b/>
          <w:bCs/>
          <w:color w:val="1B2430"/>
        </w:rPr>
        <w:t xml:space="preserve">Data → Data Sources → New data source</w:t>
      </w:r>
      <w:r>
        <w:rPr>
          <w:color w:val="1B2430"/>
        </w:rPr>
        <w:t xml:space="preserve">; pick a connector or upload a seed extract.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it to “onboard this feed as a dataset.” It returns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ingestion.create</w:t>
      </w:r>
      <w:r>
        <w:rPr>
          <w:color w:val="1B2430"/>
        </w:rPr>
        <w:t xml:space="preserve"> proposal; a data admin approves; the feed lands </w:t>
      </w:r>
      <w:r>
        <w:rPr>
          <w:b/>
          <w:bCs/>
          <w:color w:val="2E7D57"/>
        </w:rPr>
        <w:t xml:space="preserve">ready</w:t>
      </w:r>
      <w:r>
        <w:rPr>
          <w:color w:val="1B2430"/>
        </w:rPr>
        <w:t xml:space="preserve">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F5C8C" w:color="auto" w:val="clear"/>
        </w:rPr>
        <w:t xml:space="preserve">  analytics  </w:t>
      </w:r>
      <w:r>
        <w:rPr>
          <w:b/>
          <w:bCs/>
          <w:color w:val="1B2430"/>
        </w:rPr>
        <w:t xml:space="preserve">   4.2. Ask the KPIs</w:t>
      </w:r>
    </w:p>
    <w:p>
      <w:pPr>
        <w:spacing w:after="120" w:line="276"/>
      </w:pPr>
      <w:r>
        <w:rPr>
          <w:color w:val="1B2430"/>
        </w:rPr>
        <w:t xml:space="preserve">The analytics agent answers KPI questions over the governed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ap_audit_core</w:t>
      </w:r>
      <w:r>
        <w:rPr>
          <w:color w:val="1B2430"/>
        </w:rPr>
        <w:t xml:space="preserve"> model(s) — </w:t>
      </w:r>
      <w:r>
        <w:rPr>
          <w:b/>
          <w:bCs/>
          <w:color w:val="1B2430"/>
        </w:rPr>
        <w:t xml:space="preserve">read-only</w:t>
      </w:r>
      <w:r>
        <w:rPr>
          <w:color w:val="1B2430"/>
        </w:rPr>
        <w:t xml:space="preserve">, citing the measures it used. From the pack’s own analytics instructions:</w:t>
      </w:r>
    </w:p>
    <w:tbl>
      <w:tblPr>
        <w:tblW w:type="dxa" w:w="9360"/>
        <w:tblBorders>
          <w:top w:val="single" w:color="C9D6E0" w:sz="2"/>
          <w:left w:val="single" w:color="1F5C8C" w:sz="18"/>
          <w:bottom w:val="single" w:color="C9D6E0" w:sz="2"/>
          <w:right w:val="single" w:color="C9D6E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7EF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F5C8C"/>
                <w:sz w:val="18"/>
                <w:szCs w:val="18"/>
                <w:caps/>
              </w:rPr>
              <w:t xml:space="preserve">Analytics grounding (from the pack)</w:t>
            </w:r>
          </w:p>
          <w:p>
            <w:pPr>
              <w:spacing w:after="0" w:line="264"/>
            </w:pPr>
            <w:r>
              <w:rPr>
                <w:i/>
                <w:iCs/>
                <w:color w:val="1B2430"/>
              </w:rPr>
              <w:t xml:space="preserve">Answer AP exception-audit KPI questions from the governed semantic model ap_audit_core: block_rate, release_rate, recovery_rate, fraud_escalation_share, duplicate_share, avg_exception_age_days (backlog aging), total_recovered_amount and total_exposure_amount (recovery and exposure dollars), deadline runway (open_exception_count by deadline_bucket), and vendor-master risk surfaces (new_vendor_count, unverified_tin_vendor_count, unscreened_vendor_count, non_po_invoice_count). Use plain operational language for AP operations, controllership and internal-audit staff and always cite the measure names you used. Slice b…</w:t>
            </w:r>
          </w:p>
        </w:tc>
      </w:tr>
    </w:tbl>
    <w:tbl>
      <w:tblPr>
        <w:tblW w:type="dxa" w:w="84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F5C8C"/>
          <w:sz w:val="17"/>
          <w:szCs w:val="17"/>
        </w:rPr>
        <w:t xml:space="preserve">Figure 3. </w:t>
      </w:r>
      <w:r>
        <w:rPr>
          <w:i/>
          <w:iCs/>
          <w:color w:val="5B6670"/>
          <w:sz w:val="17"/>
          <w:szCs w:val="17"/>
        </w:rPr>
        <w:t xml:space="preserve">The role-grounded Copilot answering over the governed semantic layer — grounded, never fabricated. The same surface serves this vertical.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F5C8C" w:color="auto" w:val="clear"/>
        </w:rPr>
        <w:t xml:space="preserve">  dashboard-designer  </w:t>
      </w:r>
      <w:r>
        <w:rPr>
          <w:b/>
          <w:bCs/>
          <w:color w:val="1B2430"/>
        </w:rPr>
        <w:t xml:space="preserve">   4.3. Stand up the boards</w:t>
      </w:r>
    </w:p>
    <w:p>
      <w:pPr>
        <w:spacing w:after="120" w:line="276"/>
      </w:pPr>
      <w:r>
        <w:rPr>
          <w:color w:val="1B2430"/>
        </w:rPr>
        <w:t xml:space="preserve">It proposes a draft dashboard — title + charts bound to real measures/dimensions — grounded in the semantic layer. Ask “design a board for this program”; review the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chart.dashboard.create</w:t>
      </w:r>
      <w:r>
        <w:rPr>
          <w:color w:val="1B2430"/>
        </w:rPr>
        <w:t xml:space="preserve"> proposal; a director approves (the boards appear as in Figure 2).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F5C8C" w:color="auto" w:val="clear"/>
        </w:rPr>
        <w:t xml:space="preserve">  model-training  </w:t>
      </w:r>
      <w:r>
        <w:rPr>
          <w:b/>
          <w:bCs/>
          <w:color w:val="1B2430"/>
        </w:rPr>
        <w:t xml:space="preserve">   4.4. Propose a invoice-anomaly + exception-outcome model</w:t>
      </w:r>
    </w:p>
    <w:p>
      <w:pPr>
        <w:spacing w:after="120" w:line="276"/>
      </w:pPr>
      <w:r>
        <w:rPr>
          <w:color w:val="1B2430"/>
        </w:rPr>
        <w:t xml:space="preserve">It turns a plain-language goal into a governed training-run proposal — algorithm, hyperparameters, label/features — grounded in the algorithm catalog and prior runs. The pack ships a real </w:t>
      </w:r>
      <w:r>
        <w:rPr>
          <w:b/>
          <w:bCs/>
          <w:color w:val="1B2430"/>
        </w:rPr>
        <w:t xml:space="preserve">invoice-anomaly + exception-outcome training pipeline</w:t>
      </w:r>
      <w:r>
        <w:rPr>
          <w:color w:val="1B243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“train a invoice-anomaly + exception-outcome model on the panel.” It returns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pipeline.template.create_from_algorithm</w:t>
      </w:r>
      <w:r>
        <w:rPr>
          <w:color w:val="1B2430"/>
        </w:rPr>
        <w:t xml:space="preserve"> proposal; approve → the pipeline runs and registers a model.</w:t>
      </w:r>
    </w:p>
    <w:tbl>
      <w:tblPr>
        <w:tblW w:type="dxa" w:w="84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F5C8C"/>
          <w:sz w:val="17"/>
          <w:szCs w:val="17"/>
        </w:rPr>
        <w:t xml:space="preserve">Figure 4. </w:t>
      </w:r>
      <w:r>
        <w:rPr>
          <w:i/>
          <w:iCs/>
          <w:color w:val="5B6670"/>
          <w:sz w:val="17"/>
          <w:szCs w:val="17"/>
        </w:rPr>
        <w:t xml:space="preserve">Experiments &amp; the model registry — a pipeline-trained model auto-mirrors here, ready to gate and promote.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F5C8C" w:color="auto" w:val="clear"/>
        </w:rPr>
        <w:t xml:space="preserve">  ml-engineer  </w:t>
      </w:r>
      <w:r>
        <w:rPr>
          <w:b/>
          <w:bCs/>
          <w:color w:val="1B2430"/>
        </w:rPr>
        <w:t xml:space="preserve">   4.5. Build the model for me</w:t>
      </w:r>
    </w:p>
    <w:p>
      <w:pPr>
        <w:spacing w:after="120" w:line="276"/>
      </w:pPr>
      <w:r>
        <w:rPr>
          <w:color w:val="1B2430"/>
        </w:rPr>
        <w:t xml:space="preserve">The ml-engineer agent runs the whole loop autonomously: inspects the schema, launches candidate models in sandboxed pipeline runs, compares </w:t>
      </w:r>
      <w:r>
        <w:rPr>
          <w:b/>
          <w:bCs/>
          <w:color w:val="1B2430"/>
        </w:rPr>
        <w:t xml:space="preserve">real</w:t>
      </w:r>
      <w:r>
        <w:rPr>
          <w:color w:val="1B2430"/>
        </w:rPr>
        <w:t xml:space="preserve"> metrics, and proposes promoting the winner via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experiment.model.promote</w:t>
      </w:r>
      <w:r>
        <w:rPr>
          <w:color w:val="1B2430"/>
        </w:rPr>
        <w:t xml:space="preserve"> — </w:t>
      </w:r>
      <w:r>
        <w:rPr>
          <w:b/>
          <w:bCs/>
          <w:color w:val="1B2430"/>
        </w:rPr>
        <w:t xml:space="preserve">four-eyes, never promoting directly</w:t>
      </w:r>
      <w:r>
        <w:rPr>
          <w:color w:val="1B2430"/>
        </w:rPr>
        <w:t xml:space="preserve">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F5C8C" w:color="auto" w:val="clear"/>
        </w:rPr>
        <w:t xml:space="preserve">  inference  </w:t>
      </w:r>
      <w:r>
        <w:rPr>
          <w:b/>
          <w:bCs/>
          <w:color w:val="1B2430"/>
        </w:rPr>
        <w:t xml:space="preserve">   4.6. Score the population</w:t>
      </w:r>
    </w:p>
    <w:p>
      <w:pPr>
        <w:spacing w:after="120" w:line="276"/>
      </w:pPr>
      <w:r>
        <w:rPr>
          <w:color w:val="1B2430"/>
        </w:rPr>
        <w:t xml:space="preserve">The inference agent proposes a batch scoring job: it resolves the model’s </w:t>
      </w:r>
      <w:r>
        <w:rPr>
          <w:b/>
          <w:bCs/>
          <w:color w:val="1B2430"/>
        </w:rPr>
        <w:t xml:space="preserve">production</w:t>
      </w:r>
      <w:r>
        <w:rPr>
          <w:color w:val="1B2430"/>
        </w:rPr>
        <w:t xml:space="preserve"> version, checks input-schema compatibility, and proposes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inference.submit</w:t>
      </w:r>
      <w:r>
        <w:rPr>
          <w:color w:val="1B2430"/>
        </w:rPr>
        <w:t xml:space="preserve"> job whose output is a scored dataset the team works from. A human approves before it runs.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F5C8C" w:color="auto" w:val="clear"/>
        </w:rPr>
        <w:t xml:space="preserve">  case-triage  </w:t>
      </w:r>
      <w:r>
        <w:rPr>
          <w:b/>
          <w:bCs/>
          <w:color w:val="1B2430"/>
        </w:rPr>
        <w:t xml:space="preserve">   4.7. The reviewer (the heart of it)</w:t>
      </w:r>
    </w:p>
    <w:p>
      <w:pPr>
        <w:spacing w:after="120" w:line="276"/>
      </w:pPr>
      <w:r>
        <w:rPr>
          <w:color w:val="1B2430"/>
        </w:rPr>
        <w:t xml:space="preserve">Each queued case (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exception_queue</w:t>
      </w:r>
      <w:r>
        <w:rPr>
          <w:color w:val="1B2430"/>
        </w:rPr>
        <w:t xml:space="preserve">) gets a proposed </w:t>
      </w:r>
      <w:r>
        <w:rPr>
          <w:b/>
          <w:bCs/>
          <w:color w:val="1B2430"/>
        </w:rPr>
        <w:t xml:space="preserve">disposition</w:t>
      </w:r>
      <w:r>
        <w:rPr>
          <w:color w:val="1B2430"/>
        </w:rPr>
        <w:t xml:space="preserve">, grounded in the domain rules and citing the exact basis. It </w:t>
      </w:r>
      <w:r>
        <w:rPr>
          <w:i/>
          <w:iCs/>
          <w:color w:val="1B2430"/>
        </w:rPr>
        <w:t xml:space="preserve">never</w:t>
      </w:r>
      <w:r>
        <w:rPr>
          <w:color w:val="1B2430"/>
        </w:rPr>
        <w:t xml:space="preserve"> takes the action itself. From the pack’s own triage instructions:</w:t>
      </w:r>
    </w:p>
    <w:tbl>
      <w:tblPr>
        <w:tblW w:type="dxa" w:w="9360"/>
        <w:tblBorders>
          <w:top w:val="single" w:color="C9D6E0" w:sz="2"/>
          <w:left w:val="single" w:color="1F5C8C" w:sz="18"/>
          <w:bottom w:val="single" w:color="C9D6E0" w:sz="2"/>
          <w:right w:val="single" w:color="C9D6E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7EF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F5C8C"/>
                <w:sz w:val="18"/>
                <w:szCs w:val="18"/>
                <w:caps/>
              </w:rPr>
              <w:t xml:space="preserve">Triage grounding (from the pack)</w:t>
            </w:r>
          </w:p>
          <w:p>
            <w:pPr>
              <w:spacing w:after="0" w:line="264"/>
            </w:pPr>
            <w:r>
              <w:rPr>
                <w:i/>
                <w:iCs/>
                <w:color w:val="1B2430"/>
              </w:rPr>
              <w:t xml:space="preserve">You triage accounts-payable invoice exceptions for an enterprise AP shared-services team operating under SOX-grade payment controls. Ground every recommendation in the specific row-level evidence — cite exception ids, invoice ids and vendor invoice numbers, amounts, months, vendor master facts (tenure, TIN verification, sanctions screening, master-data change history) and the three-way-match result (PO / goods receipt / invoice). Watch the payment-run clock first: flag any exception whose days_to_deadline puts it inside the next payment run or an early-payment discount window, and remember a hold only needs to cover the payment at risk — do not stall a whole vendor relationship for one line. Propose one disposition per exception: block_payment_confirmed_error (evidence confirms a duplicate, overbilling, or fraudulent payment — stop it before disbursement), reject_return_to_vendor (the in…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</w:rPr>
        <w:t xml:space="preserve">The dispositions it proposes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3100"/>
        <w:gridCol w:w="4200"/>
        <w:gridCol w:w="2060"/>
      </w:tblGrid>
      <w:tr>
        <w:trPr>
          <w:tblHeader/>
        </w:trPr>
        <w:tc>
          <w:tcPr>
            <w:tcW w:type="dxa" w:w="3100"/>
            <w:shd w:fill="1F5C8C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Disposition</w:t>
            </w:r>
          </w:p>
        </w:tc>
        <w:tc>
          <w:tcPr>
            <w:tcW w:type="dxa" w:w="4200"/>
            <w:shd w:fill="1F5C8C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2060"/>
            <w:shd w:fill="1F5C8C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block_payment_confirmed_error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Block payment — error or fraud confirmed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B26B00"/>
                <w:sz w:val="17"/>
                <w:szCs w:val="17"/>
              </w:rPr>
              <w:t xml:space="preserve">true_positive</w:t>
            </w:r>
          </w:p>
        </w:tc>
      </w:tr>
      <w:tr>
        <w:tc>
          <w:tcPr>
            <w:tcW w:type="dxa" w:w="3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reject_return_to_vendor</w:t>
            </w:r>
          </w:p>
        </w:tc>
        <w:tc>
          <w:tcPr>
            <w:tcW w:type="dxa" w:w="4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Reject — return invoice to vendor for correction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E7D57"/>
                <w:sz w:val="17"/>
                <w:szCs w:val="17"/>
              </w:rPr>
              <w:t xml:space="preserve">false_positive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release_payment_cleared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Release payment — exception cleared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benign</w:t>
            </w:r>
          </w:p>
        </w:tc>
      </w:tr>
      <w:tr>
        <w:tc>
          <w:tcPr>
            <w:tcW w:type="dxa" w:w="3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partial_credit_recovery</w:t>
            </w:r>
          </w:p>
        </w:tc>
        <w:tc>
          <w:tcPr>
            <w:tcW w:type="dxa" w:w="4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Close on partial vendor credit — recovery negotiated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other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escalate_fraud_investigation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Escalate to fraud investigation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inconclusive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</w:rPr>
        <w:t xml:space="preserve">How the team uses it: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</w:t>
      </w:r>
      <w:r>
        <w:rPr>
          <w:b/>
          <w:bCs/>
          <w:color w:val="1B2430"/>
        </w:rPr>
        <w:t xml:space="preserve">Cases</w:t>
      </w:r>
      <w:r>
        <w:rPr>
          <w:color w:val="1B2430"/>
        </w:rPr>
        <w:t xml:space="preserve"> — the ranked review worklist. Each row is a queued item with its context.</w:t>
      </w:r>
    </w:p>
    <w:tbl>
      <w:tblPr>
        <w:tblW w:type="dxa" w:w="84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F5C8C"/>
          <w:sz w:val="17"/>
          <w:szCs w:val="17"/>
        </w:rPr>
        <w:t xml:space="preserve">Figure 5. </w:t>
      </w:r>
      <w:r>
        <w:rPr>
          <w:i/>
          <w:iCs/>
          <w:color w:val="5B6670"/>
          <w:sz w:val="17"/>
          <w:szCs w:val="17"/>
        </w:rPr>
        <w:t xml:space="preserve">The review worklist surface (claims demo shown; this pack drives the identical surface with its own queue).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an item; the </w:t>
      </w:r>
      <w:r>
        <w:rPr>
          <w:b/>
          <w:bCs/>
          <w:color w:val="1B2430"/>
        </w:rPr>
        <w:t xml:space="preserve">Overview</w:t>
      </w:r>
      <w:r>
        <w:rPr>
          <w:color w:val="1B2430"/>
        </w:rPr>
        <w:t xml:space="preserve"> shows the evidence and the AI recommendation citing the rule + source. Open </w:t>
      </w:r>
      <w:r>
        <w:rPr>
          <w:b/>
          <w:bCs/>
          <w:color w:val="1B2430"/>
        </w:rPr>
        <w:t xml:space="preserve">Proposals</w:t>
      </w:r>
      <w:r>
        <w:rPr>
          <w:color w:val="1B2430"/>
        </w:rPr>
        <w:t xml:space="preserve"> to see the disposition as a diff.</w:t>
      </w:r>
    </w:p>
    <w:tbl>
      <w:tblPr>
        <w:tblW w:type="dxa" w:w="84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F5C8C"/>
          <w:sz w:val="17"/>
          <w:szCs w:val="17"/>
        </w:rPr>
        <w:t xml:space="preserve">Figure 6. </w:t>
      </w:r>
      <w:r>
        <w:rPr>
          <w:i/>
          <w:iCs/>
          <w:color w:val="5B6670"/>
          <w:sz w:val="17"/>
          <w:szCs w:val="17"/>
        </w:rPr>
        <w:t xml:space="preserve">A disposition proposal as a field-level diff — inert until a human approves.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Approve, edit (the correction becomes training data), or reject with a reason from the </w:t>
      </w:r>
      <w:r>
        <w:rPr>
          <w:b/>
          <w:bCs/>
          <w:color w:val="1B2430"/>
        </w:rPr>
        <w:t xml:space="preserve">Approvals</w:t>
      </w:r>
      <w:r>
        <w:rPr>
          <w:color w:val="1B2430"/>
        </w:rPr>
        <w:t xml:space="preserve"> inbox — four-eyes.</w:t>
      </w:r>
    </w:p>
    <w:tbl>
      <w:tblPr>
        <w:tblW w:type="dxa" w:w="84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F5C8C"/>
          <w:sz w:val="17"/>
          <w:szCs w:val="17"/>
        </w:rPr>
        <w:t xml:space="preserve">Figure 7. </w:t>
      </w:r>
      <w:r>
        <w:rPr>
          <w:i/>
          <w:iCs/>
          <w:color w:val="5B6670"/>
          <w:sz w:val="17"/>
          <w:szCs w:val="17"/>
        </w:rPr>
        <w:t xml:space="preserve">The approval inbox. Every disposition is approved by someone other than the proposer — four-eyes.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F5C8C" w:color="auto" w:val="clear"/>
        </w:rPr>
        <w:t xml:space="preserve">  governance  </w:t>
      </w:r>
      <w:r>
        <w:rPr>
          <w:b/>
          <w:bCs/>
          <w:color w:val="1B2430"/>
        </w:rPr>
        <w:t xml:space="preserve">   4.8. Keep the models honest</w:t>
      </w:r>
    </w:p>
    <w:p>
      <w:pPr>
        <w:spacing w:after="120" w:line="276"/>
      </w:pPr>
      <w:r>
        <w:rPr>
          <w:color w:val="1B2430"/>
        </w:rPr>
        <w:t xml:space="preserve">The governance agent runs autonomously under its own agent principal; when a model drifts or corrections pile up past threshold it opens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mlops.open_retrain</w:t>
      </w:r>
      <w:r>
        <w:rPr>
          <w:color w:val="1B2430"/>
        </w:rPr>
        <w:t xml:space="preserve"> proposal with the evidence summarised. A director approves.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F5C8C" w:color="auto" w:val="clear"/>
        </w:rPr>
        <w:t xml:space="preserve">  meta-router  </w:t>
      </w:r>
      <w:r>
        <w:rPr>
          <w:b/>
          <w:bCs/>
          <w:color w:val="1B2430"/>
        </w:rPr>
        <w:t xml:space="preserve">   4.9. The team’s front door</w:t>
      </w:r>
    </w:p>
    <w:p>
      <w:pPr>
        <w:spacing w:after="120" w:line="276"/>
      </w:pPr>
      <w:r>
        <w:rPr>
          <w:color w:val="1B2430"/>
        </w:rPr>
        <w:t xml:space="preserve">The meta-router takes a free-text request, classifies it, and delegates to the right specialist — analytics for a question, case-triage for a queued item, ml-engineer for a model. Everything still flows through the same proposal + approval gate.</w:t>
      </w:r>
    </w:p>
    <w:p>
      <w:pPr>
        <w:pStyle w:val="Heading1"/>
        <w:spacing w:before="300" w:after="70"/>
      </w:pPr>
      <w:r>
        <w:rPr>
          <w:b/>
          <w:bCs/>
          <w:color w:val="1F5C8C"/>
        </w:rPr>
        <w:t xml:space="preserve">5.  The operating cycle</w:t>
      </w:r>
    </w:p>
    <w:p>
      <w:pPr>
        <w:pStyle w:val="ListParagraph"/>
        <w:numPr>
          <w:ilvl w:val="0"/>
          <w:numId w:val="2"/>
        </w:numPr>
        <w:spacing w:after="80" w:line="274"/>
      </w:pPr>
       — onboarding proposes ingestions → the source feeds become governed datasets.
    </w:p>
    <w:p>
      <w:pPr>
        <w:pStyle w:val="ListParagraph"/>
        <w:numPr>
          <w:ilvl w:val="0"/>
          <w:numId w:val="2"/>
        </w:numPr>
        <w:spacing w:after="80" w:line="274"/>
      </w:pPr>
       — analytics + dashboards surface where attention is needed.
    </w:p>
    <w:p>
      <w:pPr>
        <w:pStyle w:val="ListParagraph"/>
        <w:numPr>
          <w:ilvl w:val="0"/>
          <w:numId w:val="2"/>
        </w:numPr>
        <w:spacing w:after="80" w:line="274"/>
      </w:pPr>
       — ml-engineer / model-training build the model; inference scores the population.
    </w:p>
    <w:p>
      <w:pPr>
        <w:pStyle w:val="ListParagraph"/>
        <w:numPr>
          <w:ilvl w:val="0"/>
          <w:numId w:val="2"/>
        </w:numPr>
        <w:spacing w:after="80" w:line="274"/>
      </w:pPr>
       — case-triage proposes dispositions on the queue; the team approves (four-eyes).
    </w:p>
    <w:p>
      <w:pPr>
        <w:pStyle w:val="ListParagraph"/>
        <w:numPr>
          <w:ilvl w:val="0"/>
          <w:numId w:val="2"/>
        </w:numPr>
        <w:spacing w:after="80" w:line="274"/>
      </w:pPr>
       — approved actions sync to the system of record in proposal-mode (pack-service adapters).
    </w:p>
    <w:p>
      <w:pPr>
        <w:pStyle w:val="ListParagraph"/>
        <w:numPr>
          <w:ilvl w:val="0"/>
          <w:numId w:val="2"/>
        </w:numPr>
        <w:spacing w:after="80" w:line="274"/>
      </w:pPr>
       — every correction trains the next model; governance opens a retrain on drift.
    </w:p>
    <w:tbl>
      <w:tblPr>
        <w:tblW w:type="dxa" w:w="9360"/>
        <w:tblBorders>
          <w:top w:val="single" w:color="C9D6E0" w:sz="2"/>
          <w:left w:val="single" w:color="1F5C8C" w:sz="18"/>
          <w:bottom w:val="single" w:color="C9D6E0" w:sz="2"/>
          <w:right w:val="single" w:color="C9D6E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7EF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F5C8C"/>
                <w:sz w:val="18"/>
                <w:szCs w:val="18"/>
                <w:caps/>
              </w:rPr>
              <w:t xml:space="preserve">Governed automation is real</w:t>
            </w:r>
          </w:p>
          <w:p>
            <w:pPr>
              <w:spacing w:after="0" w:line="264"/>
            </w:pPr>
            <w:r>
              <w:rPr>
                <w:color w:val="1B2430"/>
              </w:rPr>
              <w:t xml:space="preserve">Decision tables let you encode deterministic rules that </w:t>
            </w:r>
            <w:r>
              <w:rPr>
                <w:b/>
                <w:bCs/>
                <w:color w:val="1B2430"/>
              </w:rPr>
              <w:t xml:space="preserve">propose</w:t>
            </w:r>
            <w:r>
              <w:rPr>
                <w:color w:val="1B2430"/>
              </w:rPr>
              <w:t xml:space="preserve"> a disposition for approval — never decide autonomously — alongside the agents.</w:t>
            </w:r>
          </w:p>
        </w:tc>
      </w:tr>
    </w:tbl>
    <w:tbl>
      <w:tblPr>
        <w:tblW w:type="dxa" w:w="84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F5C8C"/>
          <w:sz w:val="17"/>
          <w:szCs w:val="17"/>
        </w:rPr>
        <w:t xml:space="preserve">Figure 8. </w:t>
      </w:r>
      <w:r>
        <w:rPr>
          <w:i/>
          <w:iCs/>
          <w:color w:val="5B6670"/>
          <w:sz w:val="17"/>
          <w:szCs w:val="17"/>
        </w:rPr>
        <w:t xml:space="preserve">Governed decision tables: deterministic rules that propose a disposition for human approval, versioned and approved by a named user.</w:t>
      </w:r>
    </w:p>
    <w:p>
      <w:pPr>
        <w:pStyle w:val="Heading1"/>
        <w:spacing w:before="300" w:after="70"/>
      </w:pPr>
      <w:r>
        <w:rPr>
          <w:b/>
          <w:bCs/>
          <w:color w:val="1F5C8C"/>
        </w:rPr>
        <w:t xml:space="preserve">6.  Governance &amp; the eval gate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No autonomous action. </w:t>
      </w:r>
      <w:r>
        <w:rPr>
          <w:color w:val="1B2430"/>
        </w:rPr>
        <w:t xml:space="preserve">Every consequential step is a human-approved proposal (four-eyes).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Rules as grounding. </w:t>
      </w:r>
      <w:r>
        <w:rPr>
          <w:color w:val="1B2430"/>
        </w:rPr>
        <w:t xml:space="preserve">The domain’s regulatory rules are retrieved as grounding the agents must cite (sox_icfr, irs_1099_tin, ofac_sanctions, coso).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Eval-gated models. </w:t>
      </w:r>
      <w:r>
        <w:rPr>
          <w:color w:val="1B2430"/>
        </w:rPr>
        <w:t xml:space="preserve">A model is promoted only after passing its eval suite; rollback = demote.</w:t>
      </w:r>
    </w:p>
    <w:tbl>
      <w:tblPr>
        <w:tblW w:type="dxa" w:w="84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F5C8C"/>
          <w:sz w:val="17"/>
          <w:szCs w:val="17"/>
        </w:rPr>
        <w:t xml:space="preserve">Figure 9. </w:t>
      </w:r>
      <w:r>
        <w:rPr>
          <w:i/>
          <w:iCs/>
          <w:color w:val="5B6670"/>
          <w:sz w:val="17"/>
          <w:szCs w:val="17"/>
        </w:rPr>
        <w:t xml:space="preserve">The eval flywheel — the promotion gate for this vertical’s models: runs &amp; gates, scorers, and canary A/B.</w:t>
      </w:r>
    </w:p>
    <w:p>
      <w:pPr>
        <w:pStyle w:val="Heading1"/>
        <w:spacing w:before="300" w:after="70"/>
      </w:pPr>
      <w:r>
        <w:rPr>
          <w:b/>
          <w:bCs/>
          <w:color w:val="1F5C8C"/>
        </w:rPr>
        <w:t xml:space="preserve">7.  What is live today vs pack-service-deferred</w:t>
      </w:r>
    </w:p>
    <w:p>
      <w:pPr>
        <w:spacing w:after="120" w:line="276"/>
      </w:pPr>
      <w:r>
        <w:rPr>
          <w:color w:val="1B2430"/>
        </w:rPr>
        <w:t xml:space="preserve">In the spirit of no-fake: what Core materialises today is live; the rest is recorded in the install ledger as deferred, with the proposal-mode + four-eyes guarantees already holding. Nothing is stubbed.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5900"/>
        <w:gridCol w:w="3460"/>
      </w:tblGrid>
      <w:tr>
        <w:trPr>
          <w:tblHeader/>
        </w:trPr>
        <w:tc>
          <w:tcPr>
            <w:tcW w:type="dxa" w:w="5900"/>
            <w:shd w:fill="1F5C8C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3460"/>
            <w:shd w:fill="1F5C8C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Semantic models (ap_audit_core), dashboards, saved/verified queries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Review case queue + disposition taxonomy + role catalog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case-triage + analytics specialised to this domain (rule grounding)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invoice-anomaly + exception-outcome training pipeline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Deferred to pack-service: guardrails, agent_recipes, connection_templates, write_adapters, eval_sets, ontology, case_schemas, model_archetypes, display_labels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B26B00"/>
                <w:sz w:val="17"/>
                <w:szCs w:val="17"/>
              </w:rPr>
              <w:t xml:space="preserve">Deferred → served today via config + seed data; guarantees hold</w:t>
            </w:r>
          </w:p>
        </w:tc>
      </w:tr>
    </w:tbl>
    <w:p>
      <w:pPr>
        <w:spacing w:after="120"/>
      </w:pPr>
    </w:p>
    <w:p>
      <w:pPr>
        <w:pBdr>
          <w:bottom w:val="single" w:color="C9D6E0" w:sz="6"/>
        </w:pBdr>
        <w:spacing w:before="120" w:after="120"/>
      </w:pPr>
    </w:p>
    <w:p>
      <w:pPr>
        <w:spacing w:after="120" w:line="276"/>
      </w:pPr>
      <w:r>
        <w:rPr>
          <w:i/>
          <w:iCs/>
          <w:color w:val="5B6670"/>
          <w:sz w:val="17"/>
          <w:szCs w:val="17"/>
        </w:rPr>
        <w:t xml:space="preserve">Grounded in the real ap-invoice-audit pack (its own pack.yaml, dispositions, roles, and agent instructions). The domain-asset captions name this pack’s real models/dashboards; agent-surface screenshots are the shared, pack-agnostic surfaces (claims demo shown) — this pack drives the identical surfaces with its own data. Where a capability awaits pack-service, this playbook says so.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1F5C8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  <w:rPr>
        <w:b/>
        <w:bCs/>
        <w:color w:val="1F5C8C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B2430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5C8C"/>
      <w:sz w:val="30"/>
      <w:szCs w:val="30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rPr>
      <w:b/>
      <w:bCs/>
      <w:color w:val="1B2430"/>
      <w:sz w:val="23"/>
      <w:szCs w:val="23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pvmouvozkvvpstkgl2ekc.png"/><Relationship Id="rId7" Type="http://schemas.openxmlformats.org/officeDocument/2006/relationships/image" Target="media/9g37q6ccaffekj7a0i6nk.png"/><Relationship Id="rId8" Type="http://schemas.openxmlformats.org/officeDocument/2006/relationships/image" Target="media/dokjgzhstjxzvuxiwl0tb.png"/><Relationship Id="rId9" Type="http://schemas.openxmlformats.org/officeDocument/2006/relationships/image" Target="media/pipbjfemawftlbotoi42z.png"/><Relationship Id="rId10" Type="http://schemas.openxmlformats.org/officeDocument/2006/relationships/image" Target="media/okfw8bmmuguy014xf7ryj.png"/><Relationship Id="rId11" Type="http://schemas.openxmlformats.org/officeDocument/2006/relationships/image" Target="media/7oqzhy06kduveonbg1owk.png"/><Relationship Id="rId12" Type="http://schemas.openxmlformats.org/officeDocument/2006/relationships/image" Target="media/y9ogocxnkuw7s5u4wg0l5.png"/><Relationship Id="rId13" Type="http://schemas.openxmlformats.org/officeDocument/2006/relationships/image" Target="media/fi4zxiphkhbtwknmirsur.png"/><Relationship Id="rId14" Type="http://schemas.openxmlformats.org/officeDocument/2006/relationships/image" Target="media/smeu8a4vtrcsgf-qpcgjc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Windrose AI — Ap Invoice Audit Agent Playbook</dc:title>
  <dc:creator>Windrose AI</dc:creator>
  <dc:description>How to use the nine Windrose agents for Ap Invoice Audit, grounded in the ap-invoice-audit pack.</dc:description>
  <cp:lastModifiedBy>Un-named</cp:lastModifiedBy>
  <cp:revision>1</cp:revision>
  <dcterms:created xsi:type="dcterms:W3CDTF">2026-07-17T22:37:44.368Z</dcterms:created>
  <dcterms:modified xsi:type="dcterms:W3CDTF">2026-07-17T22:37:44.368Z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