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 w:after="0"/>
      </w:pPr>
      <w:r>
        <w:rPr>
          <w:b/>
          <w:bCs/>
          <w:color w:val="0F6E6E"/>
          <w:sz w:val="18"/>
          <w:szCs w:val="18"/>
          <w:caps/>
        </w:rPr>
        <w:t xml:space="preserve">WINDROSE AI  ·  BACKGROUND SCREENING</w:t>
      </w:r>
    </w:p>
    <w:p>
      <w:pPr>
        <w:pBdr>
          <w:bottom w:val="single" w:color="0F6E6E" w:sz="12"/>
        </w:pBdr>
        <w:spacing w:before="40" w:after="0"/>
      </w:pPr>
    </w:p>
    <w:p>
      <w:pPr>
        <w:spacing w:before="250" w:after="60"/>
      </w:pPr>
      <w:r>
        <w:rPr>
          <w:b/>
          <w:bCs/>
          <w:color w:val="1B2430"/>
          <w:sz w:val="54"/>
          <w:szCs w:val="54"/>
        </w:rPr>
        <w:t xml:space="preserve">Agent Playbook</w:t>
      </w:r>
    </w:p>
    <w:p>
      <w:pPr>
        <w:spacing w:after="40"/>
      </w:pPr>
      <w:r>
        <w:rPr>
          <w:i/>
          <w:iCs/>
          <w:color w:val="5B6670"/>
          <w:sz w:val="24"/>
          <w:szCs w:val="24"/>
        </w:rPr>
        <w:t xml:space="preserve">How to put the nine Windrose agents to work in background screening.</w:t>
      </w:r>
    </w:p>
    <w:p>
      <w:pPr>
        <w:spacing w:after="220"/>
      </w:pPr>
    </w:p>
    <w:p>
      <w:pPr>
        <w:spacing w:after="120" w:line="276"/>
      </w:pPr>
      <w:r>
        <w:rPr>
          <w:color w:val="1B2430"/>
        </w:rPr>
        <w:t xml:space="preserve">This playbook maps each of Windrose’s nine agents to a concrete job in this vertical, grounded in the real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background-screening pack</w:t>
      </w:r>
      <w:r>
        <w:rPr>
          <w:color w:val="1B2430"/>
        </w:rPr>
        <w:t xml:space="preserve">.</w:t>
      </w:r>
    </w:p>
    <w:p>
      <w:pPr>
        <w:spacing w:after="140"/>
      </w:pPr>
    </w:p>
    <w:p>
      <w:pPr>
        <w:spacing w:after="120" w:line="276"/>
      </w:pPr>
      <w:r>
        <w:rPr>
          <w:b/>
          <w:bCs/>
          <w:color w:val="1B2430"/>
        </w:rPr>
        <w:t xml:space="preserve">Pack: 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background-screening v1.0.0</w:t>
      </w:r>
    </w:p>
    <w:p>
      <w:pPr>
        <w:spacing w:after="120" w:line="276"/>
      </w:pPr>
      <w:r>
        <w:rPr>
          <w:b/>
          <w:bCs/>
          <w:color w:val="1B2430"/>
        </w:rPr>
        <w:t xml:space="preserve">Domain:  </w:t>
      </w:r>
      <w:r>
        <w:rPr>
          <w:color w:val="1B2430"/>
        </w:rPr>
        <w:t xml:space="preserve">screening · employment · hr_compliance · gig_platforms · adjudication</w:t>
      </w:r>
    </w:p>
    <w:p>
      <w:pPr>
        <w:spacing w:after="120" w:line="276"/>
      </w:pPr>
      <w:r>
        <w:rPr>
          <w:b/>
          <w:bCs/>
          <w:color w:val="1B2430"/>
        </w:rPr>
        <w:t xml:space="preserve">Regulatory:  </w:t>
      </w:r>
      <w:r>
        <w:rPr>
          <w:color w:val="1B2430"/>
        </w:rPr>
        <w:t xml:space="preserve">fcra, eeoc_title_vii, ban_the_box, state_screening_laws, cfpb</w:t>
      </w:r>
    </w:p>
    <w:p>
      <w:pPr>
        <w:spacing w:after="120" w:line="276"/>
      </w:pPr>
      <w:r>
        <w:rPr>
          <w:b/>
          <w:bCs/>
          <w:color w:val="1B2430"/>
        </w:rPr>
        <w:t xml:space="preserve">Golden rule:  </w:t>
      </w:r>
      <w:r>
        <w:rPr>
          <w:b/>
          <w:bCs/>
          <w:color w:val="B23A48"/>
        </w:rPr>
        <w:t xml:space="preserve">Windrose proposes; a human decides. </w:t>
      </w:r>
      <w:r>
        <w:rPr>
          <w:color w:val="1B2430"/>
        </w:rPr>
        <w:t xml:space="preserve">No autonomous writes — four-eyes on every action.</w:t>
      </w:r>
    </w:p>
    <w:p>
      <w:pPr>
        <w:spacing w:after="120" w:line="276"/>
      </w:pPr>
      <w:r>
        <w:rPr>
          <w:b/>
          <w:bCs/>
          <w:color w:val="1B2430"/>
        </w:rPr>
        <w:t xml:space="preserve">Date:  </w:t>
      </w:r>
      <w:r>
        <w:rPr>
          <w:color w:val="1B2430"/>
        </w:rPr>
        <w:t xml:space="preserve">2026-07-17</w:t>
      </w:r>
    </w:p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1.  What this pack does</w:t>
      </w:r>
    </w:p>
    <w:p>
      <w:pPr>
        <w:spacing w:after="120" w:line="276"/>
      </w:pPr>
      <w:r>
        <w:rPr>
          <w:color w:val="1B2430"/>
        </w:rPr>
        <w:t xml:space="preserve">AI-assisted employment background-screening adjudication for CRAs, employer talent-compliance teams, and gig platforms: screening-hit triage with FCRA accuracy and obsolescence awareness (7-year rule, 607(b) maximum-possible-accuracy, 613 public-record rails), identity resolution for common-name/mixed-file hits, pre-adverse/adverse-action two-step clock tracking, EEOC individualized-assessment routing (Green factors), screening-operations KPI semantic model and dashboards (clear rate, adverse-finding rate, suppression rate, identity-escalation share, deadline runway, turnaround), applicant-employer network analytics, FCRA/EEOC grounding memories, and order-anomaly + hit-outcome training pipelines.</w:t>
      </w:r>
    </w:p>
    <w:p>
      <w:pPr>
        <w:spacing w:after="120" w:line="276"/>
      </w:pPr>
      <w:r>
        <w:rPr>
          <w:color w:val="1B2430"/>
        </w:rPr>
        <w:t xml:space="preserve">Windrose makes it a </w:t>
      </w:r>
      <w:r>
        <w:rPr>
          <w:b/>
          <w:bCs/>
          <w:color w:val="1B2430"/>
        </w:rPr>
        <w:t xml:space="preserve">governed decision workflow</w:t>
      </w:r>
      <w:r>
        <w:rPr>
          <w:color w:val="1B2430"/>
        </w:rPr>
        <w:t xml:space="preserve">: the source data lands as governed datasets; the agents watch the queue and </w:t>
      </w:r>
      <w:r>
        <w:rPr>
          <w:b/>
          <w:bCs/>
          <w:color w:val="1B2430"/>
        </w:rPr>
        <w:t xml:space="preserve">propose</w:t>
      </w:r>
      <w:r>
        <w:rPr>
          <w:color w:val="1B2430"/>
        </w:rPr>
        <w:t xml:space="preserve"> — a disposition, a model, a dashboard — grounded in the domain rules; and a human </w:t>
      </w:r>
      <w:r>
        <w:rPr>
          <w:b/>
          <w:bCs/>
          <w:color w:val="1B2430"/>
        </w:rPr>
        <w:t xml:space="preserve">approves</w:t>
      </w:r>
      <w:r>
        <w:rPr>
          <w:color w:val="1B2430"/>
        </w:rPr>
        <w:t xml:space="preserve">. Every correction trains the next model. The nine agents are the workforce; this playbook is their job description.</w:t>
      </w:r>
    </w:p>
    <w:tbl>
      <w:tblPr>
        <w:tblW w:type="dxa" w:w="9360"/>
        <w:tblBorders>
          <w:top w:val="single" w:color="C6D8D5" w:sz="2"/>
          <w:left w:val="single" w:color="B23A48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ECEE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B23A48"/>
                <w:sz w:val="18"/>
                <w:szCs w:val="18"/>
                <w:caps/>
              </w:rPr>
              <w:t xml:space="preserve">The rule that shapes everything</w:t>
            </w:r>
          </w:p>
          <w:p>
            <w:pPr>
              <w:spacing w:after="0" w:line="264"/>
            </w:pPr>
            <w:r>
              <w:rPr>
                <w:b/>
                <w:bCs/>
                <w:color w:val="B23A48"/>
              </w:rPr>
              <w:t xml:space="preserve">Windrose proposes; a human decides. </w:t>
            </w:r>
            <w:r>
              <w:rPr>
                <w:color w:val="1B2430"/>
              </w:rPr>
              <w:t xml:space="preserve">Proposal-mode + four-eyes: no agent writes or actions on its own — every consequential step is a human-approved proposal. Enforced by the platform.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2.  The team (who does the approving)</w:t>
      </w:r>
    </w:p>
    <w:p>
      <w:pPr>
        <w:spacing w:after="120" w:line="276"/>
      </w:pPr>
      <w:r>
        <w:rPr>
          <w:color w:val="1B2430"/>
        </w:rPr>
        <w:t xml:space="preserve">The pack ships these roles. Each person only sees what their role allows; the approver on a proposal is never the one (or the agent) who created it.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63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Screening Adjudicator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Identity Resolution Specialist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Adverse Action Coordinator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Screening Operations Manager</w:t>
            </w:r>
          </w:p>
        </w:tc>
        <w:tc>
          <w:tcPr>
            <w:tcW w:type="dxa" w:w="63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FCRA Compliance Auditor</w:t>
            </w:r>
          </w:p>
        </w:tc>
        <w:tc>
          <w:tcPr>
            <w:tcW w:type="dxa" w:w="63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1"/>
        <w:spacing w:before="300" w:after="70"/>
      </w:pPr>
      <w:r>
        <w:rPr>
          <w:b/>
          <w:bCs/>
          <w:color w:val="0F6E6E"/>
        </w:rPr>
        <w:t xml:space="preserve">3.  The nine agents, mapped to this vertical</w:t>
      </w:r>
    </w:p>
    <w:p>
      <w:pPr>
        <w:spacing w:after="120" w:line="276"/>
      </w:pPr>
      <w:r>
        <w:rPr>
          <w:color w:val="1B2430"/>
        </w:rPr>
        <w:t xml:space="preserve">Every agent below is the </w:t>
      </w:r>
      <w:r>
        <w:rPr>
          <w:b/>
          <w:bCs/>
          <w:color w:val="1B2430"/>
        </w:rPr>
        <w:t xml:space="preserve">same platform agent</w:t>
      </w:r>
      <w:r>
        <w:rPr>
          <w:color w:val="1B2430"/>
        </w:rPr>
        <w:t xml:space="preserve"> — specialised to this domain through tenant configuration (persona + domain + rule grounding), not a code fork. case-triage and analytics carry explicit domain instructions today; the rest apply unchanged.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44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Its job here</w:t>
            </w:r>
          </w:p>
        </w:tc>
        <w:tc>
          <w:tcPr>
            <w:tcW w:type="dxa" w:w="3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Who approves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onboarding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how to land the source feeds as governed datasets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admin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analytics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Answer KPI questions over the governed models — read-only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— (no write)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dashboard-designer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Draft the operational dashboards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model-training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Propose a order-anomaly + hit-outcome training run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ml-engineer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Autonomously build &amp; compare candidate models, propose the winner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(four-eyes)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inference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Batch-score with the production model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Analyst / Manager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case-triage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The reviewer: propose a disposition on each queued case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Domain reviewer</w:t>
            </w:r>
          </w:p>
        </w:tc>
      </w:tr>
      <w:tr>
        <w:tc>
          <w:tcPr>
            <w:tcW w:type="dxa" w:w="1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governance</w:t>
            </w:r>
          </w:p>
        </w:tc>
        <w:tc>
          <w:tcPr>
            <w:tcW w:type="dxa" w:w="44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Open a retrain proposal when a model drifts</w:t>
            </w:r>
          </w:p>
        </w:tc>
        <w:tc>
          <w:tcPr>
            <w:tcW w:type="dxa" w:w="3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Director / Data scientist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meta-router</w:t>
            </w:r>
          </w:p>
        </w:tc>
        <w:tc>
          <w:tcPr>
            <w:tcW w:type="dxa" w:w="44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Front door: route a free-text request to the right agent</w:t>
            </w:r>
          </w:p>
        </w:tc>
        <w:tc>
          <w:tcPr>
            <w:tcW w:type="dxa" w:w="3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(delegate’s approver)</w:t>
            </w:r>
          </w:p>
        </w:tc>
      </w:tr>
    </w:tbl>
    <w:p>
      <w:pPr>
        <w:spacing w:after="50"/>
      </w:pPr>
    </w:p>
    <w:p>
      <w:pPr>
        <w:spacing w:after="120" w:line="276"/>
      </w:pPr>
      <w:r>
        <w:rPr>
          <w:color w:val="1B2430"/>
        </w:rPr>
        <w:t xml:space="preserve">The domain data these agents reason over is live in the platform’s governed layer: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1. </w:t>
      </w:r>
      <w:r>
        <w:rPr>
          <w:i/>
          <w:iCs/>
          <w:color w:val="5B6670"/>
          <w:sz w:val="17"/>
          <w:szCs w:val="17"/>
        </w:rPr>
        <w:t xml:space="preserve">The platform’s Semantic Models surface (models from many installed packs shown). This pack adds: screening_core.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2. </w:t>
      </w:r>
      <w:r>
        <w:rPr>
          <w:i/>
          <w:iCs/>
          <w:color w:val="5B6670"/>
          <w:sz w:val="17"/>
          <w:szCs w:val="17"/>
        </w:rPr>
        <w:t xml:space="preserve">The Dashboards surface. This pack installs: Screening_adjudication_center, Adverse_action_clocks, Accuracy_identity_watch.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4.  Agent-by-agent playbook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onboarding  </w:t>
      </w:r>
      <w:r>
        <w:rPr>
          <w:b/>
          <w:bCs/>
          <w:color w:val="1B2430"/>
        </w:rPr>
        <w:t xml:space="preserve">   4.1. Bring the data in</w:t>
      </w:r>
    </w:p>
    <w:p>
      <w:pPr>
        <w:spacing w:after="120" w:line="276"/>
      </w:pPr>
      <w:r>
        <w:rPr>
          <w:color w:val="1B2430"/>
        </w:rPr>
        <w:t xml:space="preserve">The onboarding agent inspects a source and </w:t>
      </w:r>
      <w:r>
        <w:rPr>
          <w:b/>
          <w:bCs/>
          <w:color w:val="1B2430"/>
        </w:rPr>
        <w:t xml:space="preserve">proposes</w:t>
      </w:r>
      <w:r>
        <w:rPr>
          <w:color w:val="1B2430"/>
        </w:rPr>
        <w:t xml:space="preserve"> an ingestion config + column mapping, grounded in the connector catalog and a live preview.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Go to </w:t>
      </w:r>
      <w:r>
        <w:rPr>
          <w:b/>
          <w:bCs/>
          <w:color w:val="1B2430"/>
        </w:rPr>
        <w:t xml:space="preserve">Data → Data Sources → New data source</w:t>
      </w:r>
      <w:r>
        <w:rPr>
          <w:color w:val="1B2430"/>
        </w:rPr>
        <w:t xml:space="preserve">; pick a connector or upload a seed extract.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it to “onboard this feed as a dataset.” It returns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ingestion.create</w:t>
      </w:r>
      <w:r>
        <w:rPr>
          <w:color w:val="1B2430"/>
        </w:rPr>
        <w:t xml:space="preserve"> proposal; a data admin approves; the feed lands </w:t>
      </w:r>
      <w:r>
        <w:rPr>
          <w:b/>
          <w:bCs/>
          <w:color w:val="2E7D57"/>
        </w:rPr>
        <w:t xml:space="preserve">ready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analytics  </w:t>
      </w:r>
      <w:r>
        <w:rPr>
          <w:b/>
          <w:bCs/>
          <w:color w:val="1B2430"/>
        </w:rPr>
        <w:t xml:space="preserve">   4.2. Ask the KPIs</w:t>
      </w:r>
    </w:p>
    <w:p>
      <w:pPr>
        <w:spacing w:after="120" w:line="276"/>
      </w:pPr>
      <w:r>
        <w:rPr>
          <w:color w:val="1B2430"/>
        </w:rPr>
        <w:t xml:space="preserve">The analytics agent answers KPI questions over the governed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screening_core</w:t>
      </w:r>
      <w:r>
        <w:rPr>
          <w:color w:val="1B2430"/>
        </w:rPr>
        <w:t xml:space="preserve"> model(s) — </w:t>
      </w:r>
      <w:r>
        <w:rPr>
          <w:b/>
          <w:bCs/>
          <w:color w:val="1B2430"/>
        </w:rPr>
        <w:t xml:space="preserve">read-only</w:t>
      </w:r>
      <w:r>
        <w:rPr>
          <w:color w:val="1B2430"/>
        </w:rPr>
        <w:t xml:space="preserve">, citing the measures it used. From the pack’s own analytics instructions:</w:t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Analytics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Answer screening-program KPI questions from the governed semantic model screening_core: clear_rate, adverse_finding_rate, suppression_rate (the accuracy-save rate), identity_escalation_share, criminal_hit_share, avg_review_age_days (backlog aging), avg_deadline_runway_days and the deadline_bucket runway, and order-side surfaces (order_count, driver_order_count, delayed_order_count, avg_turnaround_days). Use plain operational language for screening-operations and compliance staff and always cite the measure names you used. Slice by check type, hit type, record age band, relevance, identity confidence, severity, de…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3. </w:t>
      </w:r>
      <w:r>
        <w:rPr>
          <w:i/>
          <w:iCs/>
          <w:color w:val="5B6670"/>
          <w:sz w:val="17"/>
          <w:szCs w:val="17"/>
        </w:rPr>
        <w:t xml:space="preserve">The role-grounded Copilot answering over the governed semantic layer — grounded, never fabricated. The same surface serves this vertical.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dashboard-designer  </w:t>
      </w:r>
      <w:r>
        <w:rPr>
          <w:b/>
          <w:bCs/>
          <w:color w:val="1B2430"/>
        </w:rPr>
        <w:t xml:space="preserve">   4.3. Stand up the boards</w:t>
      </w:r>
    </w:p>
    <w:p>
      <w:pPr>
        <w:spacing w:after="120" w:line="276"/>
      </w:pPr>
      <w:r>
        <w:rPr>
          <w:color w:val="1B2430"/>
        </w:rPr>
        <w:t xml:space="preserve">It proposes a draft dashboard — title + charts bound to real measures/dimensions — grounded in the semantic layer. Ask “design a board for this program”; review the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chart.dashboard.create</w:t>
      </w:r>
      <w:r>
        <w:rPr>
          <w:color w:val="1B2430"/>
        </w:rPr>
        <w:t xml:space="preserve"> proposal; a director approves (the boards appear as in Figure 2).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model-training  </w:t>
      </w:r>
      <w:r>
        <w:rPr>
          <w:b/>
          <w:bCs/>
          <w:color w:val="1B2430"/>
        </w:rPr>
        <w:t xml:space="preserve">   4.4. Propose a order-anomaly + hit-outcome model</w:t>
      </w:r>
    </w:p>
    <w:p>
      <w:pPr>
        <w:spacing w:after="120" w:line="276"/>
      </w:pPr>
      <w:r>
        <w:rPr>
          <w:color w:val="1B2430"/>
        </w:rPr>
        <w:t xml:space="preserve">It turns a plain-language goal into a governed training-run proposal — algorithm, hyperparameters, label/features — grounded in the algorithm catalog and prior runs. The pack ships a real </w:t>
      </w:r>
      <w:r>
        <w:rPr>
          <w:b/>
          <w:bCs/>
          <w:color w:val="1B2430"/>
        </w:rPr>
        <w:t xml:space="preserve">order-anomaly + hit-outcome training pipeline</w:t>
      </w:r>
      <w:r>
        <w:rPr>
          <w:color w:val="1B243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Ask “train a order-anomaly + hit-outcome model on the panel.” It returns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pipeline.template.create_from_algorithm</w:t>
      </w:r>
      <w:r>
        <w:rPr>
          <w:color w:val="1B2430"/>
        </w:rPr>
        <w:t xml:space="preserve"> proposal; approve → the pipeline runs and registers a model.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4. </w:t>
      </w:r>
      <w:r>
        <w:rPr>
          <w:i/>
          <w:iCs/>
          <w:color w:val="5B6670"/>
          <w:sz w:val="17"/>
          <w:szCs w:val="17"/>
        </w:rPr>
        <w:t xml:space="preserve">Experiments &amp; the model registry — a pipeline-trained model auto-mirrors here, ready to gate and promote.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ml-engineer  </w:t>
      </w:r>
      <w:r>
        <w:rPr>
          <w:b/>
          <w:bCs/>
          <w:color w:val="1B2430"/>
        </w:rPr>
        <w:t xml:space="preserve">   4.5. Build the model for me</w:t>
      </w:r>
    </w:p>
    <w:p>
      <w:pPr>
        <w:spacing w:after="120" w:line="276"/>
      </w:pPr>
      <w:r>
        <w:rPr>
          <w:color w:val="1B2430"/>
        </w:rPr>
        <w:t xml:space="preserve">The ml-engineer agent runs the whole loop autonomously: inspects the schema, launches candidate models in sandboxed pipeline runs, compares </w:t>
      </w:r>
      <w:r>
        <w:rPr>
          <w:b/>
          <w:bCs/>
          <w:color w:val="1B2430"/>
        </w:rPr>
        <w:t xml:space="preserve">real</w:t>
      </w:r>
      <w:r>
        <w:rPr>
          <w:color w:val="1B2430"/>
        </w:rPr>
        <w:t xml:space="preserve"> metrics, and proposes promoting the winner via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experiment.model.promote</w:t>
      </w:r>
      <w:r>
        <w:rPr>
          <w:color w:val="1B2430"/>
        </w:rPr>
        <w:t xml:space="preserve"> — </w:t>
      </w:r>
      <w:r>
        <w:rPr>
          <w:b/>
          <w:bCs/>
          <w:color w:val="1B2430"/>
        </w:rPr>
        <w:t xml:space="preserve">four-eyes, never promoting directly</w:t>
      </w:r>
      <w:r>
        <w:rPr>
          <w:color w:val="1B2430"/>
        </w:rPr>
        <w:t xml:space="preserve">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inference  </w:t>
      </w:r>
      <w:r>
        <w:rPr>
          <w:b/>
          <w:bCs/>
          <w:color w:val="1B2430"/>
        </w:rPr>
        <w:t xml:space="preserve">   4.6. Score the population</w:t>
      </w:r>
    </w:p>
    <w:p>
      <w:pPr>
        <w:spacing w:after="120" w:line="276"/>
      </w:pPr>
      <w:r>
        <w:rPr>
          <w:color w:val="1B2430"/>
        </w:rPr>
        <w:t xml:space="preserve">The inference agent proposes a batch scoring job: it resolves the model’s </w:t>
      </w:r>
      <w:r>
        <w:rPr>
          <w:b/>
          <w:bCs/>
          <w:color w:val="1B2430"/>
        </w:rPr>
        <w:t xml:space="preserve">production</w:t>
      </w:r>
      <w:r>
        <w:rPr>
          <w:color w:val="1B2430"/>
        </w:rPr>
        <w:t xml:space="preserve"> version, checks input-schema compatibility, and proposes an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inference.submit</w:t>
      </w:r>
      <w:r>
        <w:rPr>
          <w:color w:val="1B2430"/>
        </w:rPr>
        <w:t xml:space="preserve"> job whose output is a scored dataset the team works from. A human approves before it runs.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case-triage  </w:t>
      </w:r>
      <w:r>
        <w:rPr>
          <w:b/>
          <w:bCs/>
          <w:color w:val="1B2430"/>
        </w:rPr>
        <w:t xml:space="preserve">   4.7. The reviewer (the heart of it)</w:t>
      </w:r>
    </w:p>
    <w:p>
      <w:pPr>
        <w:spacing w:after="120" w:line="276"/>
      </w:pPr>
      <w:r>
        <w:rPr>
          <w:color w:val="1B2430"/>
        </w:rPr>
        <w:t xml:space="preserve">Each queued case (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adjudication_queue</w:t>
      </w:r>
      <w:r>
        <w:rPr>
          <w:color w:val="1B2430"/>
        </w:rPr>
        <w:t xml:space="preserve">) gets a proposed </w:t>
      </w:r>
      <w:r>
        <w:rPr>
          <w:b/>
          <w:bCs/>
          <w:color w:val="1B2430"/>
        </w:rPr>
        <w:t xml:space="preserve">disposition</w:t>
      </w:r>
      <w:r>
        <w:rPr>
          <w:color w:val="1B2430"/>
        </w:rPr>
        <w:t xml:space="preserve">, grounded in the domain rules and citing the exact basis. It </w:t>
      </w:r>
      <w:r>
        <w:rPr>
          <w:i/>
          <w:iCs/>
          <w:color w:val="1B2430"/>
        </w:rPr>
        <w:t xml:space="preserve">never</w:t>
      </w:r>
      <w:r>
        <w:rPr>
          <w:color w:val="1B2430"/>
        </w:rPr>
        <w:t xml:space="preserve"> takes the action itself. From the pack’s own triage instructions:</w:t>
      </w:r>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Triage grounding (from the pack)</w:t>
            </w:r>
          </w:p>
          <w:p>
            <w:pPr>
              <w:spacing w:after="0" w:line="264"/>
            </w:pPr>
            <w:r>
              <w:rPr>
                <w:i/>
                <w:iCs/>
                <w:color w:val="1B2430"/>
              </w:rPr>
              <w:t xml:space="preserve">You triage employment background-screening hits for a consumer reporting agency and its employer customers under the FCRA (accuracy, obsolescence, and adverse-action duties) and the EEOC's criminal-history guidance. Ground every recommendation in the specific row-level evidence — cite review ids, order ids, applicant ids, check and hit types, record age, identity-match facts (middle name, DOB, address history), position category, and the applicant's history (prior orders, prior dispute). Watch two clocks first: days_to_deadline on any pre-adverse-action response window or dispute-reinvestigation deadline (disputes must be reinvestigated within 30 days), and never let a convenience concern shorten the applicant's customary response window of roughly five business days after the pre-adverse notice. Accuracy outranks speed: a hit may only be reported if it meets the 607(b) maximum-possible-…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The dispositions it proposes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3100"/>
        <w:gridCol w:w="4200"/>
        <w:gridCol w:w="2060"/>
      </w:tblGrid>
      <w:tr>
        <w:trPr>
          <w:tblHeader/>
        </w:trPr>
        <w:tc>
          <w:tcPr>
            <w:tcW w:type="dxa" w:w="31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Disposition</w:t>
            </w:r>
          </w:p>
        </w:tc>
        <w:tc>
          <w:tcPr>
            <w:tcW w:type="dxa" w:w="42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  <w:tc>
          <w:tcPr>
            <w:tcW w:type="dxa" w:w="20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clear_report_eligible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Clear — no reportable adverse information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benign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report_adverse_finding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Report adverse finding — verified, reportable, job-related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26B00"/>
                <w:sz w:val="17"/>
                <w:szCs w:val="17"/>
              </w:rPr>
              <w:t xml:space="preserve">true_positive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suppress_not_reportable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Suppress — not reportable (obsolete or mismatched record)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57"/>
                <w:sz w:val="17"/>
                <w:szCs w:val="17"/>
              </w:rPr>
              <w:t xml:space="preserve">false_positive</w:t>
            </w:r>
          </w:p>
        </w:tc>
      </w:tr>
      <w:tr>
        <w:tc>
          <w:tcPr>
            <w:tcW w:type="dxa" w:w="31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request_identity_verification</w:t>
            </w:r>
          </w:p>
        </w:tc>
        <w:tc>
          <w:tcPr>
            <w:tcW w:type="dxa" w:w="42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Request identity verification — insufficient identity match</w:t>
            </w:r>
          </w:p>
        </w:tc>
        <w:tc>
          <w:tcPr>
            <w:tcW w:type="dxa" w:w="20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inconclusive</w:t>
            </w:r>
          </w:p>
        </w:tc>
      </w:tr>
      <w:tr>
        <w:tc>
          <w:tcPr>
            <w:tcW w:type="dxa" w:w="31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  <w:rFonts w:ascii="Consolas" w:cs="Consolas" w:eastAsia="Consolas" w:hAnsi="Consolas"/>
              </w:rPr>
              <w:t xml:space="preserve">individualized_assessment_review</w:t>
            </w:r>
          </w:p>
        </w:tc>
        <w:tc>
          <w:tcPr>
            <w:tcW w:type="dxa" w:w="42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2430"/>
                <w:sz w:val="17"/>
                <w:szCs w:val="17"/>
              </w:rPr>
              <w:t xml:space="preserve">Route to individualized assessment (EEOC Green factors)</w:t>
            </w:r>
          </w:p>
        </w:tc>
        <w:tc>
          <w:tcPr>
            <w:tcW w:type="dxa" w:w="20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5B6670"/>
                <w:sz w:val="17"/>
                <w:szCs w:val="17"/>
              </w:rPr>
              <w:t xml:space="preserve">other</w:t>
            </w:r>
          </w:p>
        </w:tc>
      </w:tr>
    </w:tbl>
    <w:p>
      <w:pPr>
        <w:spacing w:after="120" w:line="276"/>
      </w:pPr>
      <w:r>
        <w:rPr>
          <w:b/>
          <w:bCs/>
          <w:color w:val="1B2430"/>
        </w:rPr>
        <w:t xml:space="preserve">How the team uses it: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</w:t>
      </w:r>
      <w:r>
        <w:rPr>
          <w:b/>
          <w:bCs/>
          <w:color w:val="1B2430"/>
        </w:rPr>
        <w:t xml:space="preserve">Cases</w:t>
      </w:r>
      <w:r>
        <w:rPr>
          <w:color w:val="1B2430"/>
        </w:rPr>
        <w:t xml:space="preserve"> — the ranked review worklist. Each row is a queued item with its context.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5. </w:t>
      </w:r>
      <w:r>
        <w:rPr>
          <w:i/>
          <w:iCs/>
          <w:color w:val="5B6670"/>
          <w:sz w:val="17"/>
          <w:szCs w:val="17"/>
        </w:rPr>
        <w:t xml:space="preserve">The review worklist surface (claims demo shown; this pack drives the identical surface with its own queue).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Open an item; the </w:t>
      </w:r>
      <w:r>
        <w:rPr>
          <w:b/>
          <w:bCs/>
          <w:color w:val="1B2430"/>
        </w:rPr>
        <w:t xml:space="preserve">Overview</w:t>
      </w:r>
      <w:r>
        <w:rPr>
          <w:color w:val="1B2430"/>
        </w:rPr>
        <w:t xml:space="preserve"> shows the evidence and the AI recommendation citing the rule + source. Open </w:t>
      </w:r>
      <w:r>
        <w:rPr>
          <w:b/>
          <w:bCs/>
          <w:color w:val="1B2430"/>
        </w:rPr>
        <w:t xml:space="preserve">Proposals</w:t>
      </w:r>
      <w:r>
        <w:rPr>
          <w:color w:val="1B2430"/>
        </w:rPr>
        <w:t xml:space="preserve"> to see the disposition as a diff.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6. </w:t>
      </w:r>
      <w:r>
        <w:rPr>
          <w:i/>
          <w:iCs/>
          <w:color w:val="5B6670"/>
          <w:sz w:val="17"/>
          <w:szCs w:val="17"/>
        </w:rPr>
        <w:t xml:space="preserve">A disposition proposal as a field-level diff — inert until a human approves.</w:t>
      </w:r>
    </w:p>
    <w:p>
      <w:pPr>
        <w:pStyle w:val="ListParagraph"/>
        <w:numPr>
          <w:ilvl w:val="0"/>
          <w:numId w:val="2"/>
        </w:numPr>
        <w:spacing w:after="80" w:line="274"/>
      </w:pPr>
      <w:r>
        <w:rPr>
          <w:color w:val="1B2430"/>
        </w:rPr>
        <w:t xml:space="preserve">Approve, edit (the correction becomes training data), or reject with a reason from the </w:t>
      </w:r>
      <w:r>
        <w:rPr>
          <w:b/>
          <w:bCs/>
          <w:color w:val="1B2430"/>
        </w:rPr>
        <w:t xml:space="preserve">Approvals</w:t>
      </w:r>
      <w:r>
        <w:rPr>
          <w:color w:val="1B2430"/>
        </w:rPr>
        <w:t xml:space="preserve"> inbox — four-eyes.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7. </w:t>
      </w:r>
      <w:r>
        <w:rPr>
          <w:i/>
          <w:iCs/>
          <w:color w:val="5B6670"/>
          <w:sz w:val="17"/>
          <w:szCs w:val="17"/>
        </w:rPr>
        <w:t xml:space="preserve">The approval inbox. Every disposition is approved by someone other than the proposer — four-eyes.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governance  </w:t>
      </w:r>
      <w:r>
        <w:rPr>
          <w:b/>
          <w:bCs/>
          <w:color w:val="1B2430"/>
        </w:rPr>
        <w:t xml:space="preserve">   4.8. Keep the models honest</w:t>
      </w:r>
    </w:p>
    <w:p>
      <w:pPr>
        <w:spacing w:after="120" w:line="276"/>
      </w:pPr>
      <w:r>
        <w:rPr>
          <w:color w:val="1B2430"/>
        </w:rPr>
        <w:t xml:space="preserve">The governance agent runs autonomously under its own agent principal; when a model drifts or corrections pile up past threshold it opens a </w:t>
      </w:r>
      <w:r>
        <w:rPr>
          <w:color w:val="9B2C6F"/>
          <w:sz w:val="18"/>
          <w:szCs w:val="18"/>
          <w:rFonts w:ascii="Consolas" w:cs="Consolas" w:eastAsia="Consolas" w:hAnsi="Consolas"/>
        </w:rPr>
        <w:t xml:space="preserve">mlops.open_retrain</w:t>
      </w:r>
      <w:r>
        <w:rPr>
          <w:color w:val="1B2430"/>
        </w:rPr>
        <w:t xml:space="preserve"> proposal with the evidence summarised. A director approves.</w:t>
      </w:r>
    </w:p>
    <w:p>
      <w:pPr>
        <w:pStyle w:val="Heading2"/>
        <w:spacing w:before="230" w:after="40"/>
      </w:pPr>
      <w:r>
        <w:rPr>
          <w:b/>
          <w:bCs/>
          <w:color w:val="FFFFFF"/>
          <w:sz w:val="17"/>
          <w:szCs w:val="17"/>
          <w:rFonts w:ascii="Consolas" w:cs="Consolas" w:eastAsia="Consolas" w:hAnsi="Consolas"/>
          <w:shd w:fill="0F6E6E" w:color="auto" w:val="clear"/>
        </w:rPr>
        <w:t xml:space="preserve">  meta-router  </w:t>
      </w:r>
      <w:r>
        <w:rPr>
          <w:b/>
          <w:bCs/>
          <w:color w:val="1B2430"/>
        </w:rPr>
        <w:t xml:space="preserve">   4.9. The team’s front door</w:t>
      </w:r>
    </w:p>
    <w:p>
      <w:pPr>
        <w:spacing w:after="120" w:line="276"/>
      </w:pPr>
      <w:r>
        <w:rPr>
          <w:color w:val="1B2430"/>
        </w:rPr>
        <w:t xml:space="preserve">The meta-router takes a free-text request, classifies it, and delegates to the right specialist — analytics for a question, case-triage for a queued item, ml-engineer for a model. Everything still flows through the same proposal + approval gate.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5.  The operating cycle</w:t>
      </w:r>
    </w:p>
    <w:p>
      <w:pPr>
        <w:pStyle w:val="ListParagraph"/>
        <w:numPr>
          <w:ilvl w:val="0"/>
          <w:numId w:val="2"/>
        </w:numPr>
        <w:spacing w:after="80" w:line="274"/>
      </w:pPr>
       — onboarding proposes ingestions → the source feeds become governed datasets.
    </w:p>
    <w:p>
      <w:pPr>
        <w:pStyle w:val="ListParagraph"/>
        <w:numPr>
          <w:ilvl w:val="0"/>
          <w:numId w:val="2"/>
        </w:numPr>
        <w:spacing w:after="80" w:line="274"/>
      </w:pPr>
       — analytics + dashboards surface where attention is needed.
    </w:p>
    <w:p>
      <w:pPr>
        <w:pStyle w:val="ListParagraph"/>
        <w:numPr>
          <w:ilvl w:val="0"/>
          <w:numId w:val="2"/>
        </w:numPr>
        <w:spacing w:after="80" w:line="274"/>
      </w:pPr>
       — ml-engineer / model-training build the model; inference scores the population.
    </w:p>
    <w:p>
      <w:pPr>
        <w:pStyle w:val="ListParagraph"/>
        <w:numPr>
          <w:ilvl w:val="0"/>
          <w:numId w:val="2"/>
        </w:numPr>
        <w:spacing w:after="80" w:line="274"/>
      </w:pPr>
       — case-triage proposes dispositions on the queue; the team approves (four-eyes).
    </w:p>
    <w:p>
      <w:pPr>
        <w:pStyle w:val="ListParagraph"/>
        <w:numPr>
          <w:ilvl w:val="0"/>
          <w:numId w:val="2"/>
        </w:numPr>
        <w:spacing w:after="80" w:line="274"/>
      </w:pPr>
       — approved actions sync to the system of record in proposal-mode (pack-service adapters).
    </w:p>
    <w:p>
      <w:pPr>
        <w:pStyle w:val="ListParagraph"/>
        <w:numPr>
          <w:ilvl w:val="0"/>
          <w:numId w:val="2"/>
        </w:numPr>
        <w:spacing w:after="80" w:line="274"/>
      </w:pPr>
       — every correction trains the next model; governance opens a retrain on drift.
    </w:p>
    <w:tbl>
      <w:tblPr>
        <w:tblW w:type="dxa" w:w="9360"/>
        <w:tblBorders>
          <w:top w:val="single" w:color="C6D8D5" w:sz="2"/>
          <w:left w:val="single" w:color="0F6E6E" w:sz="18"/>
          <w:bottom w:val="single" w:color="C6D8D5" w:sz="2"/>
          <w:right w:val="single" w:color="C6D8D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4F1F0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0F6E6E"/>
                <w:sz w:val="18"/>
                <w:szCs w:val="18"/>
                <w:caps/>
              </w:rPr>
              <w:t xml:space="preserve">Governed automation is real</w:t>
            </w:r>
          </w:p>
          <w:p>
            <w:pPr>
              <w:spacing w:after="0" w:line="264"/>
            </w:pPr>
            <w:r>
              <w:rPr>
                <w:color w:val="1B2430"/>
              </w:rPr>
              <w:t xml:space="preserve">Decision tables let you encode deterministic rules that </w:t>
            </w:r>
            <w:r>
              <w:rPr>
                <w:b/>
                <w:bCs/>
                <w:color w:val="1B2430"/>
              </w:rPr>
              <w:t xml:space="preserve">propose</w:t>
            </w:r>
            <w:r>
              <w:rPr>
                <w:color w:val="1B2430"/>
              </w:rPr>
              <w:t xml:space="preserve"> a disposition for approval — never decide autonomously — alongside the agents.</w:t>
            </w:r>
          </w:p>
        </w:tc>
      </w:tr>
    </w:tbl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8. </w:t>
      </w:r>
      <w:r>
        <w:rPr>
          <w:i/>
          <w:iCs/>
          <w:color w:val="5B6670"/>
          <w:sz w:val="17"/>
          <w:szCs w:val="17"/>
        </w:rPr>
        <w:t xml:space="preserve">Governed decision tables: deterministic rules that propose a disposition for human approval, versioned and approved by a named user.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6.  Governance &amp; the eval gate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No autonomous action. </w:t>
      </w:r>
      <w:r>
        <w:rPr>
          <w:color w:val="1B2430"/>
        </w:rPr>
        <w:t xml:space="preserve">Every consequential step is a human-approved proposal (four-eyes).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Rules as grounding. </w:t>
      </w:r>
      <w:r>
        <w:rPr>
          <w:color w:val="1B2430"/>
        </w:rPr>
        <w:t xml:space="preserve">The domain’s regulatory rules are retrieved as grounding the agents must cite (fcra, eeoc_title_vii, ban_the_box, state_screening_laws, cfpb).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430"/>
        </w:rPr>
        <w:t xml:space="preserve">Eval-gated models. </w:t>
      </w:r>
      <w:r>
        <w:rPr>
          <w:color w:val="1B2430"/>
        </w:rPr>
        <w:t xml:space="preserve">A model is promoted only after passing its eval suite; rollback = demote.</w:t>
      </w:r>
    </w:p>
    <w:tbl>
      <w:tblPr>
        <w:tblW w:type="dxa" w:w="8400"/>
        <w:jc w:val="center"/>
        <w:tblBorders>
          <w:top w:val="single" w:color="C6D8D5" w:sz="4"/>
          <w:left w:val="single" w:color="C6D8D5" w:sz="4"/>
          <w:bottom w:val="single" w:color="C6D8D5" w:sz="4"/>
          <w:right w:val="single" w:color="C6D8D5" w:sz="4"/>
          <w:insideH w:val="none"/>
          <w:insideV w:val="none"/>
        </w:tblBorders>
      </w:tblPr>
      <w:tblGrid>
        <w:gridCol w:w="8400"/>
      </w:tblGrid>
      <w:tr>
        <w:tc>
          <w:tcPr>
            <w:tcW w:type="dxa" w:w="8400"/>
            <w:shd w:fill="FBFCFC" w:color="auto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0" cy="3333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36" w:after="180"/>
        <w:jc w:val="center"/>
      </w:pPr>
      <w:r>
        <w:rPr>
          <w:b/>
          <w:bCs/>
          <w:color w:val="0F6E6E"/>
          <w:sz w:val="17"/>
          <w:szCs w:val="17"/>
        </w:rPr>
        <w:t xml:space="preserve">Figure 9. </w:t>
      </w:r>
      <w:r>
        <w:rPr>
          <w:i/>
          <w:iCs/>
          <w:color w:val="5B6670"/>
          <w:sz w:val="17"/>
          <w:szCs w:val="17"/>
        </w:rPr>
        <w:t xml:space="preserve">The eval flywheel — the promotion gate for this vertical’s models: runs &amp; gates, scorers, and canary A/B.</w:t>
      </w:r>
    </w:p>
    <w:p>
      <w:pPr>
        <w:pStyle w:val="Heading1"/>
        <w:spacing w:before="300" w:after="70"/>
      </w:pPr>
      <w:r>
        <w:rPr>
          <w:b/>
          <w:bCs/>
          <w:color w:val="0F6E6E"/>
        </w:rPr>
        <w:t xml:space="preserve">7.  What is live today vs pack-service-deferred</w:t>
      </w:r>
    </w:p>
    <w:p>
      <w:pPr>
        <w:spacing w:after="120" w:line="276"/>
      </w:pPr>
      <w:r>
        <w:rPr>
          <w:color w:val="1B2430"/>
        </w:rPr>
        <w:t xml:space="preserve">In the spirit of no-fake: what Core materialises today is live; the rest is recorded in the install ledger as deferred, with the proposal-mode + four-eyes guarantees already holding. Nothing is stubbed.</w:t>
      </w:r>
    </w:p>
    <w:tbl>
      <w:tblPr>
        <w:tblW w:type="dxa" w:w="9360"/>
        <w:tblBorders>
          <w:top w:val="single" w:color="C6D8D5" w:sz="2"/>
          <w:left w:val="single" w:color="C6D8D5" w:sz="2"/>
          <w:bottom w:val="single" w:color="C6D8D5" w:sz="2"/>
          <w:right w:val="single" w:color="C6D8D5" w:sz="2"/>
          <w:insideH w:val="single" w:color="C6D8D5" w:sz="2"/>
          <w:insideV w:val="single" w:color="C6D8D5" w:sz="2"/>
        </w:tblBorders>
      </w:tblPr>
      <w:tblGrid>
        <w:gridCol w:w="5900"/>
        <w:gridCol w:w="3460"/>
      </w:tblGrid>
      <w:tr>
        <w:trPr>
          <w:tblHeader/>
        </w:trPr>
        <w:tc>
          <w:tcPr>
            <w:tcW w:type="dxa" w:w="590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460"/>
            <w:shd w:fill="0F6E6E" w:color="auto" w:val="clear"/>
            <w:tcMar>
              <w:top w:type="dxa" w:w="54"/>
              <w:left w:type="dxa" w:w="90"/>
              <w:bottom w:type="dxa" w:w="54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Semantic models (screening_core), dashboards, saved/verified queries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Review case queue + disposition taxonomy + role catalog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case-triage + analytics specialised to this domain (rule grounding)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order-anomaly + hit-outcome training pipeline</w:t>
            </w:r>
          </w:p>
        </w:tc>
        <w:tc>
          <w:tcPr>
            <w:tcW w:type="dxa" w:w="3460"/>
            <w:shd w:fill="F4F6FB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2E7D57"/>
                <w:sz w:val="17"/>
                <w:szCs w:val="17"/>
              </w:rPr>
              <w:t xml:space="preserve">Live</w:t>
            </w:r>
          </w:p>
        </w:tc>
      </w:tr>
      <w:tr>
        <w:tc>
          <w:tcPr>
            <w:tcW w:type="dxa" w:w="590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1B2430"/>
                <w:sz w:val="17"/>
                <w:szCs w:val="17"/>
              </w:rPr>
              <w:t xml:space="preserve">Deferred to pack-service: guardrails, agent_recipes, connection_templates, write_adapters, eval_sets, ontology, case_schemas, model_archetypes, display_labels</w:t>
            </w:r>
          </w:p>
        </w:tc>
        <w:tc>
          <w:tcPr>
            <w:tcW w:type="dxa" w:w="3460"/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48"/>
            </w:pPr>
            <w:r>
              <w:rPr>
                <w:b/>
                <w:bCs/>
                <w:color w:val="B26B00"/>
                <w:sz w:val="17"/>
                <w:szCs w:val="17"/>
              </w:rPr>
              <w:t xml:space="preserve">Deferred → served today via config + seed data; guarantees hold</w:t>
            </w:r>
          </w:p>
        </w:tc>
      </w:tr>
    </w:tbl>
    <w:p>
      <w:pPr>
        <w:spacing w:after="120"/>
      </w:pPr>
    </w:p>
    <w:p>
      <w:pPr>
        <w:pBdr>
          <w:bottom w:val="single" w:color="C6D8D5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B6670"/>
          <w:sz w:val="17"/>
          <w:szCs w:val="17"/>
        </w:rPr>
        <w:t xml:space="preserve">Grounded in the real background-screening pack (its own pack.yaml, dispositions, roles, and agent instructions). The domain-asset captions name this pack’s real models/dashboards; agent-surface screenshots are the shared, pack-agnostic surfaces (claims demo shown) — this pack drives the identical surfaces with its own data. Where a capability awaits pack-service, this playbook says so.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0F6E6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0F6E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430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0F6E6E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430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ylcipuwc8alwpwomedbe1.png"/><Relationship Id="rId7" Type="http://schemas.openxmlformats.org/officeDocument/2006/relationships/image" Target="media/u_jaof5q3iwcf5iutkhnk.png"/><Relationship Id="rId8" Type="http://schemas.openxmlformats.org/officeDocument/2006/relationships/image" Target="media/mjmm2qywxkqona5jhjr4p.png"/><Relationship Id="rId9" Type="http://schemas.openxmlformats.org/officeDocument/2006/relationships/image" Target="media/qv2ncgeulhrbcuvps7rkd.png"/><Relationship Id="rId10" Type="http://schemas.openxmlformats.org/officeDocument/2006/relationships/image" Target="media/x9wb6izuevjy8qpla_8ln.png"/><Relationship Id="rId11" Type="http://schemas.openxmlformats.org/officeDocument/2006/relationships/image" Target="media/lppvkhej9zwg4dpnnve90.png"/><Relationship Id="rId12" Type="http://schemas.openxmlformats.org/officeDocument/2006/relationships/image" Target="media/lapk931kdrny8bner4kwm.png"/><Relationship Id="rId13" Type="http://schemas.openxmlformats.org/officeDocument/2006/relationships/image" Target="media/uugbkpl-d_r-rktv75m4i.png"/><Relationship Id="rId14" Type="http://schemas.openxmlformats.org/officeDocument/2006/relationships/image" Target="media/4_dvbs9rdjrcgmxouwax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Background Screening Agent Playbook</dc:title>
  <dc:creator>Windrose AI</dc:creator>
  <dc:description>How to use the nine Windrose agents for Background Screening, grounded in the background-screening pack.</dc:description>
  <cp:lastModifiedBy>Un-named</cp:lastModifiedBy>
  <cp:revision>1</cp:revision>
  <dcterms:created xsi:type="dcterms:W3CDTF">2026-07-17T22:37:44.485Z</dcterms:created>
  <dcterms:modified xsi:type="dcterms:W3CDTF">2026-07-17T22:37:44.485Z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