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after="0"/>
      </w:pPr>
      <w:r>
        <w:rPr>
          <w:b/>
          <w:bCs/>
          <w:color w:val="1E7A4D"/>
          <w:sz w:val="18"/>
          <w:szCs w:val="18"/>
          <w:caps/>
        </w:rPr>
        <w:t xml:space="preserve">WINDROSE AI  ·  BANKING AML</w:t>
      </w:r>
    </w:p>
    <w:p>
      <w:pPr>
        <w:pBdr>
          <w:bottom w:val="single" w:color="1E7A4D" w:sz="12"/>
        </w:pBdr>
        <w:spacing w:before="40" w:after="0"/>
      </w:pPr>
    </w:p>
    <w:p>
      <w:pPr>
        <w:spacing w:before="250" w:after="60"/>
      </w:pPr>
      <w:r>
        <w:rPr>
          <w:b/>
          <w:bCs/>
          <w:color w:val="1B2430"/>
          <w:sz w:val="54"/>
          <w:szCs w:val="54"/>
        </w:rPr>
        <w:t xml:space="preserve">Agent Playbook</w:t>
      </w:r>
    </w:p>
    <w:p>
      <w:pPr>
        <w:spacing w:after="40"/>
      </w:pPr>
      <w:r>
        <w:rPr>
          <w:i/>
          <w:iCs/>
          <w:color w:val="5B6670"/>
          <w:sz w:val="24"/>
          <w:szCs w:val="24"/>
        </w:rPr>
        <w:t xml:space="preserve">How to put the nine Windrose agents to work in banking aml.</w:t>
      </w:r>
    </w:p>
    <w:p>
      <w:pPr>
        <w:spacing w:after="220"/>
      </w:pPr>
    </w:p>
    <w:p>
      <w:pPr>
        <w:spacing w:after="120" w:line="276"/>
      </w:pPr>
      <w:r>
        <w:rPr>
          <w:color w:val="1B2430"/>
        </w:rPr>
        <w:t xml:space="preserve">This playbook maps each of Windrose’s nine agents to a concrete job in this vertical, grounded in the real </w:t>
      </w:r>
      <w:r>
        <w:rPr>
          <w:color w:val="9B2C6F"/>
          <w:sz w:val="18"/>
          <w:szCs w:val="18"/>
          <w:rFonts w:ascii="Consolas" w:cs="Consolas" w:eastAsia="Consolas" w:hAnsi="Consolas"/>
        </w:rPr>
        <w:t xml:space="preserve">banking-aml pack</w:t>
      </w:r>
      <w:r>
        <w:rPr>
          <w:color w:val="1B2430"/>
        </w:rPr>
        <w:t xml:space="preserve">.</w:t>
      </w:r>
    </w:p>
    <w:p>
      <w:pPr>
        <w:spacing w:after="140"/>
      </w:pPr>
    </w:p>
    <w:p>
      <w:pPr>
        <w:spacing w:after="120" w:line="276"/>
      </w:pPr>
      <w:r>
        <w:rPr>
          <w:b/>
          <w:bCs/>
          <w:color w:val="1B2430"/>
        </w:rPr>
        <w:t xml:space="preserve">Pack:  </w:t>
      </w:r>
      <w:r>
        <w:rPr>
          <w:color w:val="9B2C6F"/>
          <w:sz w:val="18"/>
          <w:szCs w:val="18"/>
          <w:rFonts w:ascii="Consolas" w:cs="Consolas" w:eastAsia="Consolas" w:hAnsi="Consolas"/>
        </w:rPr>
        <w:t xml:space="preserve">banking-aml v1.0.0</w:t>
      </w:r>
    </w:p>
    <w:p>
      <w:pPr>
        <w:spacing w:after="120" w:line="276"/>
      </w:pPr>
      <w:r>
        <w:rPr>
          <w:b/>
          <w:bCs/>
          <w:color w:val="1B2430"/>
        </w:rPr>
        <w:t xml:space="preserve">Domain:  </w:t>
      </w:r>
      <w:r>
        <w:rPr>
          <w:color w:val="1B2430"/>
        </w:rPr>
        <w:t xml:space="preserve">banking · aml · financial-crime · sanctions</w:t>
      </w:r>
    </w:p>
    <w:p>
      <w:pPr>
        <w:spacing w:after="120" w:line="276"/>
      </w:pPr>
      <w:r>
        <w:rPr>
          <w:b/>
          <w:bCs/>
          <w:color w:val="1B2430"/>
        </w:rPr>
        <w:t xml:space="preserve">Regulatory:  </w:t>
      </w:r>
      <w:r>
        <w:rPr>
          <w:color w:val="1B2430"/>
        </w:rPr>
        <w:t xml:space="preserve">bsa, fincen_sar, ofac, sr_11_7, fatf</w:t>
      </w:r>
    </w:p>
    <w:p>
      <w:pPr>
        <w:spacing w:after="120" w:line="276"/>
      </w:pPr>
      <w:r>
        <w:rPr>
          <w:b/>
          <w:bCs/>
          <w:color w:val="1B2430"/>
        </w:rPr>
        <w:t xml:space="preserve">Golden rule:  </w:t>
      </w:r>
      <w:r>
        <w:rPr>
          <w:b/>
          <w:bCs/>
          <w:color w:val="B23A48"/>
        </w:rPr>
        <w:t xml:space="preserve">Windrose proposes; a human decides. </w:t>
      </w:r>
      <w:r>
        <w:rPr>
          <w:color w:val="1B2430"/>
        </w:rPr>
        <w:t xml:space="preserve">No autonomous writes — four-eyes on every action.</w:t>
      </w:r>
    </w:p>
    <w:p>
      <w:pPr>
        <w:spacing w:after="120" w:line="276"/>
      </w:pPr>
      <w:r>
        <w:rPr>
          <w:b/>
          <w:bCs/>
          <w:color w:val="1B2430"/>
        </w:rPr>
        <w:t xml:space="preserve">Date:  </w:t>
      </w:r>
      <w:r>
        <w:rPr>
          <w:color w:val="1B2430"/>
        </w:rPr>
        <w:t xml:space="preserve">2026-07-17</w:t>
      </w:r>
    </w:p>
    <w:p>
      <w:r>
        <w:br w:type="page"/>
      </w:r>
    </w:p>
    <w:p>
      <w:pPr>
        <w:pStyle w:val="Heading1"/>
        <w:spacing w:before="300" w:after="70"/>
      </w:pPr>
      <w:r>
        <w:rPr>
          <w:b/>
          <w:bCs/>
          <w:color w:val="1E7A4D"/>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before="300" w:after="70"/>
      </w:pPr>
      <w:r>
        <w:rPr>
          <w:b/>
          <w:bCs/>
          <w:color w:val="1E7A4D"/>
        </w:rPr>
        <w:t xml:space="preserve">1.  What this pack does</w:t>
      </w:r>
    </w:p>
    <w:p>
      <w:pPr>
        <w:spacing w:after="120" w:line="276"/>
      </w:pPr>
      <w:r>
        <w:rPr>
          <w:color w:val="1B2430"/>
        </w:rPr>
        <w:t xml:space="preserve">AI-assisted AML / BSA financial-crime workflow for US banks (BRD 30): alert triage with typology-grounded dispositions, sanctions match adjudication, SAR-recommendation queues with MLRO approval, AML KPI semantic model and dashboards (false-positive rate, SAR conversion, backlog aging), party relationship-network analytics, BSA/OFAC grounding memories, and transaction-anomaly + alert-scoring training pipelines.</w:t>
      </w:r>
    </w:p>
    <w:p>
      <w:pPr>
        <w:spacing w:after="120" w:line="276"/>
      </w:pPr>
      <w:r>
        <w:rPr>
          <w:color w:val="1B2430"/>
        </w:rPr>
        <w:t xml:space="preserve">Windrose makes it a </w:t>
      </w:r>
      <w:r>
        <w:rPr>
          <w:b/>
          <w:bCs/>
          <w:color w:val="1B2430"/>
        </w:rPr>
        <w:t xml:space="preserve">governed decision workflow</w:t>
      </w:r>
      <w:r>
        <w:rPr>
          <w:color w:val="1B2430"/>
        </w:rPr>
        <w:t xml:space="preserve">: the source data lands as governed datasets; the agents watch the queue and </w:t>
      </w:r>
      <w:r>
        <w:rPr>
          <w:b/>
          <w:bCs/>
          <w:color w:val="1B2430"/>
        </w:rPr>
        <w:t xml:space="preserve">propose</w:t>
      </w:r>
      <w:r>
        <w:rPr>
          <w:color w:val="1B2430"/>
        </w:rPr>
        <w:t xml:space="preserve"> — a disposition, a model, a dashboard — grounded in the domain rules; and a human </w:t>
      </w:r>
      <w:r>
        <w:rPr>
          <w:b/>
          <w:bCs/>
          <w:color w:val="1B2430"/>
        </w:rPr>
        <w:t xml:space="preserve">approves</w:t>
      </w:r>
      <w:r>
        <w:rPr>
          <w:color w:val="1B2430"/>
        </w:rPr>
        <w:t xml:space="preserve">. Every correction trains the next model. The nine agents are the workforce; this playbook is their job description.</w:t>
      </w:r>
    </w:p>
    <w:tbl>
      <w:tblPr>
        <w:tblW w:type="dxa" w:w="9360"/>
        <w:tblBorders>
          <w:top w:val="single" w:color="C4E0D2" w:sz="2"/>
          <w:left w:val="single" w:color="B23A48" w:sz="18"/>
          <w:bottom w:val="single" w:color="C4E0D2" w:sz="2"/>
          <w:right w:val="single" w:color="C4E0D2" w:sz="2"/>
          <w:insideH w:val="none"/>
          <w:insideV w:val="none"/>
        </w:tblBorders>
      </w:tblPr>
      <w:tblGrid>
        <w:gridCol w:w="9360"/>
      </w:tblGrid>
      <w:tr>
        <w:tc>
          <w:tcPr>
            <w:tcW w:type="dxa" w:w="9360"/>
            <w:shd w:fill="F7ECEE" w:color="auto" w:val="clear"/>
            <w:tcMar>
              <w:top w:type="dxa" w:w="110"/>
              <w:left w:type="dxa" w:w="150"/>
              <w:bottom w:type="dxa" w:w="110"/>
              <w:right w:type="dxa" w:w="150"/>
            </w:tcMar>
          </w:tcPr>
          <w:p>
            <w:pPr>
              <w:spacing w:after="40"/>
            </w:pPr>
            <w:r>
              <w:rPr>
                <w:b/>
                <w:bCs/>
                <w:color w:val="B23A48"/>
                <w:sz w:val="18"/>
                <w:szCs w:val="18"/>
                <w:caps/>
              </w:rPr>
              <w:t xml:space="preserve">The rule that shapes everything</w:t>
            </w:r>
          </w:p>
          <w:p>
            <w:pPr>
              <w:spacing w:after="0" w:line="264"/>
            </w:pPr>
            <w:r>
              <w:rPr>
                <w:b/>
                <w:bCs/>
                <w:color w:val="B23A48"/>
              </w:rPr>
              <w:t xml:space="preserve">Windrose proposes; a human decides. </w:t>
            </w:r>
            <w:r>
              <w:rPr>
                <w:color w:val="1B2430"/>
              </w:rPr>
              <w:t xml:space="preserve">AML_AUTONOMOUS_FILING_FORBIDDEN: no agent takes the consequential action on its own — it drafts and recommends; a human on the team approves (four-eyes). Enforced by the platform.</w:t>
            </w:r>
          </w:p>
        </w:tc>
      </w:tr>
    </w:tbl>
    <w:p>
      <w:pPr>
        <w:pStyle w:val="Heading1"/>
        <w:spacing w:before="300" w:after="70"/>
      </w:pPr>
      <w:r>
        <w:rPr>
          <w:b/>
          <w:bCs/>
          <w:color w:val="1E7A4D"/>
        </w:rPr>
        <w:t xml:space="preserve">2.  The team (who does the approving)</w:t>
      </w:r>
    </w:p>
    <w:p>
      <w:pPr>
        <w:spacing w:after="120" w:line="276"/>
      </w:pPr>
      <w:r>
        <w:rPr>
          <w:color w:val="1B2430"/>
        </w:rPr>
        <w:t xml:space="preserve">The pack ships these roles. Each person only sees what their role allows; the approver on a proposal is never the one (or the agent) who created it.</w:t>
      </w:r>
    </w:p>
    <w:tbl>
      <w:tblPr>
        <w:tblW w:type="dxa" w:w="9360"/>
        <w:tblBorders>
          <w:top w:val="single" w:color="C4E0D2" w:sz="2"/>
          <w:left w:val="single" w:color="C4E0D2" w:sz="2"/>
          <w:bottom w:val="single" w:color="C4E0D2" w:sz="2"/>
          <w:right w:val="single" w:color="C4E0D2" w:sz="2"/>
          <w:insideH w:val="single" w:color="C4E0D2" w:sz="2"/>
          <w:insideV w:val="single" w:color="C4E0D2" w:sz="2"/>
        </w:tblBorders>
      </w:tblPr>
      <w:tblGrid>
        <w:gridCol w:w="3000"/>
        <w:gridCol w:w="6360"/>
      </w:tblGrid>
      <w:tr>
        <w:trPr>
          <w:tblHeader/>
        </w:trPr>
        <w:tc>
          <w:tcPr>
            <w:tcW w:type="dxa" w:w="3000"/>
            <w:shd w:fill="1E7A4D" w:color="auto" w:val="clear"/>
            <w:tcMar>
              <w:top w:type="dxa" w:w="54"/>
              <w:left w:type="dxa" w:w="90"/>
              <w:bottom w:type="dxa" w:w="54"/>
              <w:right w:type="dxa" w:w="90"/>
            </w:tcMar>
          </w:tcPr>
          <w:p>
            <w:r>
              <w:rPr>
                <w:b/>
                <w:bCs/>
                <w:color w:val="FFFFFF"/>
                <w:sz w:val="17"/>
                <w:szCs w:val="17"/>
              </w:rPr>
              <w:t xml:space="preserve">Role</w:t>
            </w:r>
          </w:p>
        </w:tc>
        <w:tc>
          <w:tcPr>
            <w:tcW w:type="dxa" w:w="6360"/>
            <w:shd w:fill="1E7A4D" w:color="auto" w:val="clear"/>
            <w:tcMar>
              <w:top w:type="dxa" w:w="54"/>
              <w:left w:type="dxa" w:w="90"/>
              <w:bottom w:type="dxa" w:w="54"/>
              <w:right w:type="dxa" w:w="90"/>
            </w:tcMar>
          </w:tcPr>
          <w:p>
            <w:r>
              <w:rPr>
                <w:b/>
                <w:bCs/>
                <w:color w:val="FFFFFF"/>
                <w:sz w:val="17"/>
                <w:szCs w:val="17"/>
              </w:rPr>
              <w:t xml:space="preserve">Responsibility</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AML Analyst L1</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4F6FB" w:color="auto" w:val="clear"/>
            <w:tcMar>
              <w:top w:type="dxa" w:w="50"/>
              <w:left w:type="dxa" w:w="90"/>
              <w:bottom w:type="dxa" w:w="50"/>
              <w:right w:type="dxa" w:w="90"/>
            </w:tcMar>
          </w:tcPr>
          <w:p>
            <w:pPr>
              <w:spacing w:after="0" w:line="248"/>
            </w:pPr>
            <w:r>
              <w:rPr>
                <w:b/>
                <w:bCs/>
                <w:color w:val="1B2430"/>
                <w:sz w:val="17"/>
                <w:szCs w:val="17"/>
              </w:rPr>
              <w:t xml:space="preserve">AML Investigator L2</w:t>
            </w:r>
          </w:p>
        </w:tc>
        <w:tc>
          <w:tcPr>
            <w:tcW w:type="dxa" w:w="63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MLRO</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4F6FB" w:color="auto" w:val="clear"/>
            <w:tcMar>
              <w:top w:type="dxa" w:w="50"/>
              <w:left w:type="dxa" w:w="90"/>
              <w:bottom w:type="dxa" w:w="50"/>
              <w:right w:type="dxa" w:w="90"/>
            </w:tcMar>
          </w:tcPr>
          <w:p>
            <w:pPr>
              <w:spacing w:after="0" w:line="248"/>
            </w:pPr>
            <w:r>
              <w:rPr>
                <w:b/>
                <w:bCs/>
                <w:color w:val="1B2430"/>
                <w:sz w:val="17"/>
                <w:szCs w:val="17"/>
              </w:rPr>
              <w:t xml:space="preserve">Sanctions Analyst</w:t>
            </w:r>
          </w:p>
        </w:tc>
        <w:tc>
          <w:tcPr>
            <w:tcW w:type="dxa" w:w="63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r>
        <w:tc>
          <w:tcPr>
            <w:tcW w:type="dxa" w:w="3000"/>
            <w:shd w:fill="FFFFFF" w:color="auto" w:val="clear"/>
            <w:tcMar>
              <w:top w:type="dxa" w:w="50"/>
              <w:left w:type="dxa" w:w="90"/>
              <w:bottom w:type="dxa" w:w="50"/>
              <w:right w:type="dxa" w:w="90"/>
            </w:tcMar>
          </w:tcPr>
          <w:p>
            <w:pPr>
              <w:spacing w:after="0" w:line="248"/>
            </w:pPr>
            <w:r>
              <w:rPr>
                <w:b/>
                <w:bCs/>
                <w:color w:val="1B2430"/>
                <w:sz w:val="17"/>
                <w:szCs w:val="17"/>
              </w:rPr>
              <w:t xml:space="preserve">Model Risk Validator</w:t>
            </w:r>
          </w:p>
        </w:tc>
        <w:tc>
          <w:tcPr>
            <w:tcW w:type="dxa" w:w="63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w:t>
            </w:r>
          </w:p>
        </w:tc>
      </w:tr>
    </w:tbl>
    <w:p>
      <w:pPr>
        <w:pStyle w:val="Heading1"/>
        <w:spacing w:before="300" w:after="70"/>
      </w:pPr>
      <w:r>
        <w:rPr>
          <w:b/>
          <w:bCs/>
          <w:color w:val="1E7A4D"/>
        </w:rPr>
        <w:t xml:space="preserve">3.  The nine agents, mapped to this vertical</w:t>
      </w:r>
    </w:p>
    <w:p>
      <w:pPr>
        <w:spacing w:after="120" w:line="276"/>
      </w:pPr>
      <w:r>
        <w:rPr>
          <w:color w:val="1B2430"/>
        </w:rPr>
        <w:t xml:space="preserve">Every agent below is the </w:t>
      </w:r>
      <w:r>
        <w:rPr>
          <w:b/>
          <w:bCs/>
          <w:color w:val="1B2430"/>
        </w:rPr>
        <w:t xml:space="preserve">same platform agent</w:t>
      </w:r>
      <w:r>
        <w:rPr>
          <w:color w:val="1B2430"/>
        </w:rPr>
        <w:t xml:space="preserve"> — specialised to this domain through tenant configuration (persona + domain + rule grounding), not a code fork. case-triage and analytics carry explicit domain instructions today; the rest apply unchanged.</w:t>
      </w:r>
    </w:p>
    <w:tbl>
      <w:tblPr>
        <w:tblW w:type="dxa" w:w="9360"/>
        <w:tblBorders>
          <w:top w:val="single" w:color="C4E0D2" w:sz="2"/>
          <w:left w:val="single" w:color="C4E0D2" w:sz="2"/>
          <w:bottom w:val="single" w:color="C4E0D2" w:sz="2"/>
          <w:right w:val="single" w:color="C4E0D2" w:sz="2"/>
          <w:insideH w:val="single" w:color="C4E0D2" w:sz="2"/>
          <w:insideV w:val="single" w:color="C4E0D2" w:sz="2"/>
        </w:tblBorders>
      </w:tblPr>
      <w:tblGrid>
        <w:gridCol w:w="1900"/>
        <w:gridCol w:w="4400"/>
        <w:gridCol w:w="3060"/>
      </w:tblGrid>
      <w:tr>
        <w:trPr>
          <w:tblHeader/>
        </w:trPr>
        <w:tc>
          <w:tcPr>
            <w:tcW w:type="dxa" w:w="1900"/>
            <w:shd w:fill="1E7A4D" w:color="auto" w:val="clear"/>
            <w:tcMar>
              <w:top w:type="dxa" w:w="54"/>
              <w:left w:type="dxa" w:w="90"/>
              <w:bottom w:type="dxa" w:w="54"/>
              <w:right w:type="dxa" w:w="90"/>
            </w:tcMar>
          </w:tcPr>
          <w:p>
            <w:r>
              <w:rPr>
                <w:b/>
                <w:bCs/>
                <w:color w:val="FFFFFF"/>
                <w:sz w:val="17"/>
                <w:szCs w:val="17"/>
              </w:rPr>
              <w:t xml:space="preserve">Agent</w:t>
            </w:r>
          </w:p>
        </w:tc>
        <w:tc>
          <w:tcPr>
            <w:tcW w:type="dxa" w:w="4400"/>
            <w:shd w:fill="1E7A4D" w:color="auto" w:val="clear"/>
            <w:tcMar>
              <w:top w:type="dxa" w:w="54"/>
              <w:left w:type="dxa" w:w="90"/>
              <w:bottom w:type="dxa" w:w="54"/>
              <w:right w:type="dxa" w:w="90"/>
            </w:tcMar>
          </w:tcPr>
          <w:p>
            <w:r>
              <w:rPr>
                <w:b/>
                <w:bCs/>
                <w:color w:val="FFFFFF"/>
                <w:sz w:val="17"/>
                <w:szCs w:val="17"/>
              </w:rPr>
              <w:t xml:space="preserve">Its job here</w:t>
            </w:r>
          </w:p>
        </w:tc>
        <w:tc>
          <w:tcPr>
            <w:tcW w:type="dxa" w:w="3060"/>
            <w:shd w:fill="1E7A4D" w:color="auto" w:val="clear"/>
            <w:tcMar>
              <w:top w:type="dxa" w:w="54"/>
              <w:left w:type="dxa" w:w="90"/>
              <w:bottom w:type="dxa" w:w="54"/>
              <w:right w:type="dxa" w:w="90"/>
            </w:tcMar>
          </w:tcPr>
          <w:p>
            <w:r>
              <w:rPr>
                <w:b/>
                <w:bCs/>
                <w:color w:val="FFFFFF"/>
                <w:sz w:val="17"/>
                <w:szCs w:val="17"/>
              </w:rPr>
              <w:t xml:space="preserve">Who approves</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onboarding</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Propose how to land the source feeds as governed datasets</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admin</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analytics</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Answer KPI questions over the governed models — read-only</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 (no write)</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dashboard-designer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Draft the operational dashboards</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model-training</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Propose a transaction-anomaly + alert-scoring training run</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scientist</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ml-engineer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Autonomously build &amp; compare candidate models, propose the winner</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Director (four-eyes)</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inference</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Batch-score with the production model</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Analyst / Manager</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case-triage</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The reviewer: propose a disposition on each queued case</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Domain reviewer</w:t>
            </w:r>
          </w:p>
        </w:tc>
      </w:tr>
      <w:tr>
        <w:tc>
          <w:tcPr>
            <w:tcW w:type="dxa" w:w="19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governance</w:t>
            </w:r>
          </w:p>
        </w:tc>
        <w:tc>
          <w:tcPr>
            <w:tcW w:type="dxa" w:w="44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Open a retrain proposal when a model drifts</w:t>
            </w:r>
          </w:p>
        </w:tc>
        <w:tc>
          <w:tcPr>
            <w:tcW w:type="dxa" w:w="306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Director / Data scientist</w:t>
            </w:r>
          </w:p>
        </w:tc>
      </w:tr>
      <w:tr>
        <w:tc>
          <w:tcPr>
            <w:tcW w:type="dxa" w:w="19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meta-router</w:t>
            </w:r>
          </w:p>
        </w:tc>
        <w:tc>
          <w:tcPr>
            <w:tcW w:type="dxa" w:w="44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Front door: route a free-text request to the right agent</w:t>
            </w:r>
          </w:p>
        </w:tc>
        <w:tc>
          <w:tcPr>
            <w:tcW w:type="dxa" w:w="306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(delegate’s approver)</w:t>
            </w:r>
          </w:p>
        </w:tc>
      </w:tr>
    </w:tbl>
    <w:p>
      <w:pPr>
        <w:spacing w:after="50"/>
      </w:pPr>
    </w:p>
    <w:p>
      <w:pPr>
        <w:spacing w:after="120" w:line="276"/>
      </w:pPr>
      <w:r>
        <w:rPr>
          <w:color w:val="1B2430"/>
        </w:rPr>
        <w:t xml:space="preserve">The domain data these agents reason over is live in the platform’s governed layer:</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1. </w:t>
      </w:r>
      <w:r>
        <w:rPr>
          <w:i/>
          <w:iCs/>
          <w:color w:val="5B6670"/>
          <w:sz w:val="17"/>
          <w:szCs w:val="17"/>
        </w:rPr>
        <w:t xml:space="preserve">The platform’s Semantic Models surface (models from many installed packs shown). This pack adds: aml_core.</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2. </w:t>
      </w:r>
      <w:r>
        <w:rPr>
          <w:i/>
          <w:iCs/>
          <w:color w:val="5B6670"/>
          <w:sz w:val="17"/>
          <w:szCs w:val="17"/>
        </w:rPr>
        <w:t xml:space="preserve">The Dashboards surface. This pack installs: Aml_command_center, Sanctions_screening, Transaction_monitoring.</w:t>
      </w:r>
    </w:p>
    <w:p>
      <w:pPr>
        <w:pStyle w:val="Heading1"/>
        <w:spacing w:before="300" w:after="70"/>
      </w:pPr>
      <w:r>
        <w:rPr>
          <w:b/>
          <w:bCs/>
          <w:color w:val="1E7A4D"/>
        </w:rPr>
        <w:t xml:space="preserve">4.  Agent-by-agent playbook</w:t>
      </w:r>
    </w:p>
    <w:p>
      <w:pPr>
        <w:pStyle w:val="Heading2"/>
        <w:spacing w:before="230" w:after="40"/>
      </w:pPr>
      <w:r>
        <w:rPr>
          <w:b/>
          <w:bCs/>
          <w:color w:val="FFFFFF"/>
          <w:sz w:val="17"/>
          <w:szCs w:val="17"/>
          <w:rFonts w:ascii="Consolas" w:cs="Consolas" w:eastAsia="Consolas" w:hAnsi="Consolas"/>
          <w:shd w:fill="1E7A4D" w:color="auto" w:val="clear"/>
        </w:rPr>
        <w:t xml:space="preserve">  onboarding  </w:t>
      </w:r>
      <w:r>
        <w:rPr>
          <w:b/>
          <w:bCs/>
          <w:color w:val="1B2430"/>
        </w:rPr>
        <w:t xml:space="preserve">   4.1. Bring the data in</w:t>
      </w:r>
    </w:p>
    <w:p>
      <w:pPr>
        <w:spacing w:after="120" w:line="276"/>
      </w:pPr>
      <w:r>
        <w:rPr>
          <w:color w:val="1B2430"/>
        </w:rPr>
        <w:t xml:space="preserve">The onboarding agent inspects a source and </w:t>
      </w:r>
      <w:r>
        <w:rPr>
          <w:b/>
          <w:bCs/>
          <w:color w:val="1B2430"/>
        </w:rPr>
        <w:t xml:space="preserve">proposes</w:t>
      </w:r>
      <w:r>
        <w:rPr>
          <w:color w:val="1B2430"/>
        </w:rPr>
        <w:t xml:space="preserve"> an ingestion config + column mapping, grounded in the connector catalog and a live preview.</w:t>
      </w:r>
    </w:p>
    <w:p>
      <w:pPr>
        <w:pStyle w:val="ListParagraph"/>
        <w:numPr>
          <w:ilvl w:val="0"/>
          <w:numId w:val="2"/>
        </w:numPr>
        <w:spacing w:after="80" w:line="274"/>
      </w:pPr>
      <w:r>
        <w:rPr>
          <w:color w:val="1B2430"/>
        </w:rPr>
        <w:t xml:space="preserve">Go to </w:t>
      </w:r>
      <w:r>
        <w:rPr>
          <w:b/>
          <w:bCs/>
          <w:color w:val="1B2430"/>
        </w:rPr>
        <w:t xml:space="preserve">Data → Data Sources → New data source</w:t>
      </w:r>
      <w:r>
        <w:rPr>
          <w:color w:val="1B2430"/>
        </w:rPr>
        <w:t xml:space="preserve">; pick a connector or upload a seed extract.</w:t>
      </w:r>
    </w:p>
    <w:p>
      <w:pPr>
        <w:pStyle w:val="ListParagraph"/>
        <w:numPr>
          <w:ilvl w:val="0"/>
          <w:numId w:val="2"/>
        </w:numPr>
        <w:spacing w:after="80" w:line="274"/>
      </w:pPr>
      <w:r>
        <w:rPr>
          <w:color w:val="1B2430"/>
        </w:rPr>
        <w:t xml:space="preserve">Ask it to “onboard this feed as a dataset.” It returns an </w:t>
      </w:r>
      <w:r>
        <w:rPr>
          <w:color w:val="9B2C6F"/>
          <w:sz w:val="18"/>
          <w:szCs w:val="18"/>
          <w:rFonts w:ascii="Consolas" w:cs="Consolas" w:eastAsia="Consolas" w:hAnsi="Consolas"/>
        </w:rPr>
        <w:t xml:space="preserve">ingestion.create</w:t>
      </w:r>
      <w:r>
        <w:rPr>
          <w:color w:val="1B2430"/>
        </w:rPr>
        <w:t xml:space="preserve"> proposal; a data admin approves; the feed lands </w:t>
      </w:r>
      <w:r>
        <w:rPr>
          <w:b/>
          <w:bCs/>
          <w:color w:val="2E7D57"/>
        </w:rPr>
        <w:t xml:space="preserve">ready</w:t>
      </w:r>
      <w:r>
        <w:rPr>
          <w:color w:val="1B2430"/>
        </w:rPr>
        <w:t xml:space="preserve">.</w:t>
      </w:r>
    </w:p>
    <w:p>
      <w:pPr>
        <w:pStyle w:val="Heading2"/>
        <w:spacing w:before="230" w:after="40"/>
      </w:pPr>
      <w:r>
        <w:rPr>
          <w:b/>
          <w:bCs/>
          <w:color w:val="FFFFFF"/>
          <w:sz w:val="17"/>
          <w:szCs w:val="17"/>
          <w:rFonts w:ascii="Consolas" w:cs="Consolas" w:eastAsia="Consolas" w:hAnsi="Consolas"/>
          <w:shd w:fill="1E7A4D" w:color="auto" w:val="clear"/>
        </w:rPr>
        <w:t xml:space="preserve">  analytics  </w:t>
      </w:r>
      <w:r>
        <w:rPr>
          <w:b/>
          <w:bCs/>
          <w:color w:val="1B2430"/>
        </w:rPr>
        <w:t xml:space="preserve">   4.2. Ask the KPIs</w:t>
      </w:r>
    </w:p>
    <w:p>
      <w:pPr>
        <w:spacing w:after="120" w:line="276"/>
      </w:pPr>
      <w:r>
        <w:rPr>
          <w:color w:val="1B2430"/>
        </w:rPr>
        <w:t xml:space="preserve">The analytics agent answers KPI questions over the governed </w:t>
      </w:r>
      <w:r>
        <w:rPr>
          <w:color w:val="9B2C6F"/>
          <w:sz w:val="18"/>
          <w:szCs w:val="18"/>
          <w:rFonts w:ascii="Consolas" w:cs="Consolas" w:eastAsia="Consolas" w:hAnsi="Consolas"/>
        </w:rPr>
        <w:t xml:space="preserve">aml_core</w:t>
      </w:r>
      <w:r>
        <w:rPr>
          <w:color w:val="1B2430"/>
        </w:rPr>
        <w:t xml:space="preserve"> model(s) — </w:t>
      </w:r>
      <w:r>
        <w:rPr>
          <w:b/>
          <w:bCs/>
          <w:color w:val="1B2430"/>
        </w:rPr>
        <w:t xml:space="preserve">read-only</w:t>
      </w:r>
      <w:r>
        <w:rPr>
          <w:color w:val="1B2430"/>
        </w:rPr>
        <w:t xml:space="preserve">, citing the measures it used. From the pack’s own analytics instructions:</w:t>
      </w:r>
    </w:p>
    <w:tbl>
      <w:tblPr>
        <w:tblW w:type="dxa" w:w="9360"/>
        <w:tblBorders>
          <w:top w:val="single" w:color="C4E0D2" w:sz="2"/>
          <w:left w:val="single" w:color="1E7A4D" w:sz="18"/>
          <w:bottom w:val="single" w:color="C4E0D2" w:sz="2"/>
          <w:right w:val="single" w:color="C4E0D2" w:sz="2"/>
          <w:insideH w:val="none"/>
          <w:insideV w:val="none"/>
        </w:tblBorders>
      </w:tblPr>
      <w:tblGrid>
        <w:gridCol w:w="9360"/>
      </w:tblGrid>
      <w:tr>
        <w:tc>
          <w:tcPr>
            <w:tcW w:type="dxa" w:w="9360"/>
            <w:shd w:fill="E6F2EC" w:color="auto" w:val="clear"/>
            <w:tcMar>
              <w:top w:type="dxa" w:w="110"/>
              <w:left w:type="dxa" w:w="150"/>
              <w:bottom w:type="dxa" w:w="110"/>
              <w:right w:type="dxa" w:w="150"/>
            </w:tcMar>
          </w:tcPr>
          <w:p>
            <w:pPr>
              <w:spacing w:after="40"/>
            </w:pPr>
            <w:r>
              <w:rPr>
                <w:b/>
                <w:bCs/>
                <w:color w:val="1E7A4D"/>
                <w:sz w:val="18"/>
                <w:szCs w:val="18"/>
                <w:caps/>
              </w:rPr>
              <w:t xml:space="preserve">Analytics grounding (from the pack)</w:t>
            </w:r>
          </w:p>
          <w:p>
            <w:pPr>
              <w:spacing w:after="0" w:line="264"/>
            </w:pPr>
            <w:r>
              <w:rPr>
                <w:i/>
                <w:iCs/>
                <w:color w:val="1B2430"/>
              </w:rPr>
              <w:t xml:space="preserve">Answer AML program KPI questions from the governed semantic model aml_core: alert_false_positive_rate, sar_conversion_rate, avg_alert_age_days (backlog aging / cycle time), sanctions_hit_count, avg_match_score, edd_high_risk_ratio, cash/wire transaction volumes. Use plain operational language for compliance staff and always cite the measure names you used. Slice by typology, severity, assigned tier, alert month, channel, counterparty jurisdiction, or party risk rating. These figures support BSA program oversight and regulator exam prep — never speculate beyond the governed data, and never reference SAR status for…</w:t>
            </w:r>
          </w:p>
        </w:tc>
      </w:tr>
    </w:tbl>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3. </w:t>
      </w:r>
      <w:r>
        <w:rPr>
          <w:i/>
          <w:iCs/>
          <w:color w:val="5B6670"/>
          <w:sz w:val="17"/>
          <w:szCs w:val="17"/>
        </w:rPr>
        <w:t xml:space="preserve">The role-grounded Copilot answering over the governed semantic layer — grounded, never fabricated. The same surface serves this vertical.</w:t>
      </w:r>
    </w:p>
    <w:p>
      <w:pPr>
        <w:pStyle w:val="Heading2"/>
        <w:spacing w:before="230" w:after="40"/>
      </w:pPr>
      <w:r>
        <w:rPr>
          <w:b/>
          <w:bCs/>
          <w:color w:val="FFFFFF"/>
          <w:sz w:val="17"/>
          <w:szCs w:val="17"/>
          <w:rFonts w:ascii="Consolas" w:cs="Consolas" w:eastAsia="Consolas" w:hAnsi="Consolas"/>
          <w:shd w:fill="1E7A4D" w:color="auto" w:val="clear"/>
        </w:rPr>
        <w:t xml:space="preserve">  dashboard-designer  </w:t>
      </w:r>
      <w:r>
        <w:rPr>
          <w:b/>
          <w:bCs/>
          <w:color w:val="1B2430"/>
        </w:rPr>
        <w:t xml:space="preserve">   4.3. Stand up the boards</w:t>
      </w:r>
    </w:p>
    <w:p>
      <w:pPr>
        <w:spacing w:after="120" w:line="276"/>
      </w:pPr>
      <w:r>
        <w:rPr>
          <w:color w:val="1B2430"/>
        </w:rPr>
        <w:t xml:space="preserve">It proposes a draft dashboard — title + charts bound to real measures/dimensions — grounded in the semantic layer. Ask “design a board for this program”; review the </w:t>
      </w:r>
      <w:r>
        <w:rPr>
          <w:color w:val="9B2C6F"/>
          <w:sz w:val="18"/>
          <w:szCs w:val="18"/>
          <w:rFonts w:ascii="Consolas" w:cs="Consolas" w:eastAsia="Consolas" w:hAnsi="Consolas"/>
        </w:rPr>
        <w:t xml:space="preserve">chart.dashboard.create</w:t>
      </w:r>
      <w:r>
        <w:rPr>
          <w:color w:val="1B2430"/>
        </w:rPr>
        <w:t xml:space="preserve"> proposal; a director approves (the boards appear as in Figure 2).</w:t>
      </w:r>
    </w:p>
    <w:p>
      <w:pPr>
        <w:pStyle w:val="Heading2"/>
        <w:spacing w:before="230" w:after="40"/>
      </w:pPr>
      <w:r>
        <w:rPr>
          <w:b/>
          <w:bCs/>
          <w:color w:val="FFFFFF"/>
          <w:sz w:val="17"/>
          <w:szCs w:val="17"/>
          <w:rFonts w:ascii="Consolas" w:cs="Consolas" w:eastAsia="Consolas" w:hAnsi="Consolas"/>
          <w:shd w:fill="1E7A4D" w:color="auto" w:val="clear"/>
        </w:rPr>
        <w:t xml:space="preserve">  model-training  </w:t>
      </w:r>
      <w:r>
        <w:rPr>
          <w:b/>
          <w:bCs/>
          <w:color w:val="1B2430"/>
        </w:rPr>
        <w:t xml:space="preserve">   4.4. Propose a transaction-anomaly + alert-scoring model</w:t>
      </w:r>
    </w:p>
    <w:p>
      <w:pPr>
        <w:spacing w:after="120" w:line="276"/>
      </w:pPr>
      <w:r>
        <w:rPr>
          <w:color w:val="1B2430"/>
        </w:rPr>
        <w:t xml:space="preserve">It turns a plain-language goal into a governed training-run proposal — algorithm, hyperparameters, label/features — grounded in the algorithm catalog and prior runs. The pack ships a real </w:t>
      </w:r>
      <w:r>
        <w:rPr>
          <w:b/>
          <w:bCs/>
          <w:color w:val="1B2430"/>
        </w:rPr>
        <w:t xml:space="preserve">transaction-anomaly + alert-scoring training pipeline</w:t>
      </w:r>
      <w:r>
        <w:rPr>
          <w:color w:val="1B2430"/>
        </w:rPr>
        <w:t xml:space="preserve">.</w:t>
      </w:r>
    </w:p>
    <w:p>
      <w:pPr>
        <w:pStyle w:val="ListParagraph"/>
        <w:numPr>
          <w:ilvl w:val="0"/>
          <w:numId w:val="2"/>
        </w:numPr>
        <w:spacing w:after="80" w:line="274"/>
      </w:pPr>
      <w:r>
        <w:rPr>
          <w:color w:val="1B2430"/>
        </w:rPr>
        <w:t xml:space="preserve">Ask “train a transaction-anomaly + alert-scoring model on the panel.” It returns a </w:t>
      </w:r>
      <w:r>
        <w:rPr>
          <w:color w:val="9B2C6F"/>
          <w:sz w:val="18"/>
          <w:szCs w:val="18"/>
          <w:rFonts w:ascii="Consolas" w:cs="Consolas" w:eastAsia="Consolas" w:hAnsi="Consolas"/>
        </w:rPr>
        <w:t xml:space="preserve">pipeline.template.create_from_algorithm</w:t>
      </w:r>
      <w:r>
        <w:rPr>
          <w:color w:val="1B2430"/>
        </w:rPr>
        <w:t xml:space="preserve"> proposal; approve → the pipeline runs and registers a model.</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4. </w:t>
      </w:r>
      <w:r>
        <w:rPr>
          <w:i/>
          <w:iCs/>
          <w:color w:val="5B6670"/>
          <w:sz w:val="17"/>
          <w:szCs w:val="17"/>
        </w:rPr>
        <w:t xml:space="preserve">Experiments &amp; the model registry — a pipeline-trained model auto-mirrors here, ready to gate and promote.</w:t>
      </w:r>
    </w:p>
    <w:p>
      <w:pPr>
        <w:pStyle w:val="Heading2"/>
        <w:spacing w:before="230" w:after="40"/>
      </w:pPr>
      <w:r>
        <w:rPr>
          <w:b/>
          <w:bCs/>
          <w:color w:val="FFFFFF"/>
          <w:sz w:val="17"/>
          <w:szCs w:val="17"/>
          <w:rFonts w:ascii="Consolas" w:cs="Consolas" w:eastAsia="Consolas" w:hAnsi="Consolas"/>
          <w:shd w:fill="1E7A4D" w:color="auto" w:val="clear"/>
        </w:rPr>
        <w:t xml:space="preserve">  ml-engineer  </w:t>
      </w:r>
      <w:r>
        <w:rPr>
          <w:b/>
          <w:bCs/>
          <w:color w:val="1B2430"/>
        </w:rPr>
        <w:t xml:space="preserve">   4.5. Build the model for me</w:t>
      </w:r>
    </w:p>
    <w:p>
      <w:pPr>
        <w:spacing w:after="120" w:line="276"/>
      </w:pPr>
      <w:r>
        <w:rPr>
          <w:color w:val="1B2430"/>
        </w:rPr>
        <w:t xml:space="preserve">The ml-engineer agent runs the whole loop autonomously: inspects the schema, launches candidate models in sandboxed pipeline runs, compares </w:t>
      </w:r>
      <w:r>
        <w:rPr>
          <w:b/>
          <w:bCs/>
          <w:color w:val="1B2430"/>
        </w:rPr>
        <w:t xml:space="preserve">real</w:t>
      </w:r>
      <w:r>
        <w:rPr>
          <w:color w:val="1B2430"/>
        </w:rPr>
        <w:t xml:space="preserve"> metrics, and proposes promoting the winner via </w:t>
      </w:r>
      <w:r>
        <w:rPr>
          <w:color w:val="9B2C6F"/>
          <w:sz w:val="18"/>
          <w:szCs w:val="18"/>
          <w:rFonts w:ascii="Consolas" w:cs="Consolas" w:eastAsia="Consolas" w:hAnsi="Consolas"/>
        </w:rPr>
        <w:t xml:space="preserve">experiment.model.promote</w:t>
      </w:r>
      <w:r>
        <w:rPr>
          <w:color w:val="1B2430"/>
        </w:rPr>
        <w:t xml:space="preserve"> — </w:t>
      </w:r>
      <w:r>
        <w:rPr>
          <w:b/>
          <w:bCs/>
          <w:color w:val="1B2430"/>
        </w:rPr>
        <w:t xml:space="preserve">four-eyes, never promoting directly</w:t>
      </w:r>
      <w:r>
        <w:rPr>
          <w:color w:val="1B2430"/>
        </w:rPr>
        <w:t xml:space="preserve">.</w:t>
      </w:r>
    </w:p>
    <w:p>
      <w:pPr>
        <w:pStyle w:val="Heading2"/>
        <w:spacing w:before="230" w:after="40"/>
      </w:pPr>
      <w:r>
        <w:rPr>
          <w:b/>
          <w:bCs/>
          <w:color w:val="FFFFFF"/>
          <w:sz w:val="17"/>
          <w:szCs w:val="17"/>
          <w:rFonts w:ascii="Consolas" w:cs="Consolas" w:eastAsia="Consolas" w:hAnsi="Consolas"/>
          <w:shd w:fill="1E7A4D" w:color="auto" w:val="clear"/>
        </w:rPr>
        <w:t xml:space="preserve">  inference  </w:t>
      </w:r>
      <w:r>
        <w:rPr>
          <w:b/>
          <w:bCs/>
          <w:color w:val="1B2430"/>
        </w:rPr>
        <w:t xml:space="preserve">   4.6. Score the population</w:t>
      </w:r>
    </w:p>
    <w:p>
      <w:pPr>
        <w:spacing w:after="120" w:line="276"/>
      </w:pPr>
      <w:r>
        <w:rPr>
          <w:color w:val="1B2430"/>
        </w:rPr>
        <w:t xml:space="preserve">The inference agent proposes a batch scoring job: it resolves the model’s </w:t>
      </w:r>
      <w:r>
        <w:rPr>
          <w:b/>
          <w:bCs/>
          <w:color w:val="1B2430"/>
        </w:rPr>
        <w:t xml:space="preserve">production</w:t>
      </w:r>
      <w:r>
        <w:rPr>
          <w:color w:val="1B2430"/>
        </w:rPr>
        <w:t xml:space="preserve"> version, checks input-schema compatibility, and proposes an </w:t>
      </w:r>
      <w:r>
        <w:rPr>
          <w:color w:val="9B2C6F"/>
          <w:sz w:val="18"/>
          <w:szCs w:val="18"/>
          <w:rFonts w:ascii="Consolas" w:cs="Consolas" w:eastAsia="Consolas" w:hAnsi="Consolas"/>
        </w:rPr>
        <w:t xml:space="preserve">inference.submit</w:t>
      </w:r>
      <w:r>
        <w:rPr>
          <w:color w:val="1B2430"/>
        </w:rPr>
        <w:t xml:space="preserve"> job whose output is a scored dataset the team works from. A human approves before it runs.</w:t>
      </w:r>
    </w:p>
    <w:p>
      <w:pPr>
        <w:pStyle w:val="Heading2"/>
        <w:spacing w:before="230" w:after="40"/>
      </w:pPr>
      <w:r>
        <w:rPr>
          <w:b/>
          <w:bCs/>
          <w:color w:val="FFFFFF"/>
          <w:sz w:val="17"/>
          <w:szCs w:val="17"/>
          <w:rFonts w:ascii="Consolas" w:cs="Consolas" w:eastAsia="Consolas" w:hAnsi="Consolas"/>
          <w:shd w:fill="1E7A4D" w:color="auto" w:val="clear"/>
        </w:rPr>
        <w:t xml:space="preserve">  case-triage  </w:t>
      </w:r>
      <w:r>
        <w:rPr>
          <w:b/>
          <w:bCs/>
          <w:color w:val="1B2430"/>
        </w:rPr>
        <w:t xml:space="preserve">   4.7. The reviewer (the heart of it)</w:t>
      </w:r>
    </w:p>
    <w:p>
      <w:pPr>
        <w:spacing w:after="120" w:line="276"/>
      </w:pPr>
      <w:r>
        <w:rPr>
          <w:color w:val="1B2430"/>
        </w:rPr>
        <w:t xml:space="preserve">Each queued case (</w:t>
      </w:r>
      <w:r>
        <w:rPr>
          <w:color w:val="9B2C6F"/>
          <w:sz w:val="18"/>
          <w:szCs w:val="18"/>
          <w:rFonts w:ascii="Consolas" w:cs="Consolas" w:eastAsia="Consolas" w:hAnsi="Consolas"/>
        </w:rPr>
        <w:t xml:space="preserve">alert_queue</w:t>
      </w:r>
      <w:r>
        <w:rPr>
          <w:color w:val="1B2430"/>
        </w:rPr>
        <w:t xml:space="preserve">) gets a proposed </w:t>
      </w:r>
      <w:r>
        <w:rPr>
          <w:b/>
          <w:bCs/>
          <w:color w:val="1B2430"/>
        </w:rPr>
        <w:t xml:space="preserve">disposition</w:t>
      </w:r>
      <w:r>
        <w:rPr>
          <w:color w:val="1B2430"/>
        </w:rPr>
        <w:t xml:space="preserve">, grounded in the domain rules and citing the exact basis. It </w:t>
      </w:r>
      <w:r>
        <w:rPr>
          <w:i/>
          <w:iCs/>
          <w:color w:val="1B2430"/>
        </w:rPr>
        <w:t xml:space="preserve">never</w:t>
      </w:r>
      <w:r>
        <w:rPr>
          <w:color w:val="1B2430"/>
        </w:rPr>
        <w:t xml:space="preserve"> takes the action itself. From the pack’s own triage instructions:</w:t>
      </w:r>
    </w:p>
    <w:tbl>
      <w:tblPr>
        <w:tblW w:type="dxa" w:w="9360"/>
        <w:tblBorders>
          <w:top w:val="single" w:color="C4E0D2" w:sz="2"/>
          <w:left w:val="single" w:color="1E7A4D" w:sz="18"/>
          <w:bottom w:val="single" w:color="C4E0D2" w:sz="2"/>
          <w:right w:val="single" w:color="C4E0D2" w:sz="2"/>
          <w:insideH w:val="none"/>
          <w:insideV w:val="none"/>
        </w:tblBorders>
      </w:tblPr>
      <w:tblGrid>
        <w:gridCol w:w="9360"/>
      </w:tblGrid>
      <w:tr>
        <w:tc>
          <w:tcPr>
            <w:tcW w:type="dxa" w:w="9360"/>
            <w:shd w:fill="E6F2EC" w:color="auto" w:val="clear"/>
            <w:tcMar>
              <w:top w:type="dxa" w:w="110"/>
              <w:left w:type="dxa" w:w="150"/>
              <w:bottom w:type="dxa" w:w="110"/>
              <w:right w:type="dxa" w:w="150"/>
            </w:tcMar>
          </w:tcPr>
          <w:p>
            <w:pPr>
              <w:spacing w:after="40"/>
            </w:pPr>
            <w:r>
              <w:rPr>
                <w:b/>
                <w:bCs/>
                <w:color w:val="1E7A4D"/>
                <w:sz w:val="18"/>
                <w:szCs w:val="18"/>
                <w:caps/>
              </w:rPr>
              <w:t xml:space="preserve">Triage grounding (from the pack)</w:t>
            </w:r>
          </w:p>
          <w:p>
            <w:pPr>
              <w:spacing w:after="0" w:line="264"/>
            </w:pPr>
            <w:r>
              <w:rPr>
                <w:i/>
                <w:iCs/>
                <w:color w:val="1B2430"/>
              </w:rPr>
              <w:t xml:space="preserve">You triage US banking AML alerts (BSA/FinCEN regime): structuring, layering, sanctions near-matches, dormant-account reactivation, funnel accounts, and peer-group anomalies. Ground every recommendation in the specific transaction evidence for the typology — cite transaction ids, amounts, dates, counterparties, and the scenario rule that fired — plus the customer's declared business type and risk rating (a cash-intensive SIC code like a restaurant explains cash deposits; a florist does not explain weekly $50K international wires). Propose one disposition per alert: clear_false_positive (evidence contradicts the typology), escalate_l2 (needs deeper case-building: network expansion, adverse media, prior SAR history), or recommend_sar (typology evidence is strong and specific). You NEVER file a SAR and never treat recommend_sar as a filing — the SAR filing decision belongs exclusively to the…</w:t>
            </w:r>
          </w:p>
        </w:tc>
      </w:tr>
    </w:tbl>
    <w:p>
      <w:pPr>
        <w:spacing w:after="120" w:line="276"/>
      </w:pPr>
      <w:r>
        <w:rPr>
          <w:b/>
          <w:bCs/>
          <w:color w:val="1B2430"/>
        </w:rPr>
        <w:t xml:space="preserve">The dispositions it proposes</w:t>
      </w:r>
    </w:p>
    <w:tbl>
      <w:tblPr>
        <w:tblW w:type="dxa" w:w="9360"/>
        <w:tblBorders>
          <w:top w:val="single" w:color="C4E0D2" w:sz="2"/>
          <w:left w:val="single" w:color="C4E0D2" w:sz="2"/>
          <w:bottom w:val="single" w:color="C4E0D2" w:sz="2"/>
          <w:right w:val="single" w:color="C4E0D2" w:sz="2"/>
          <w:insideH w:val="single" w:color="C4E0D2" w:sz="2"/>
          <w:insideV w:val="single" w:color="C4E0D2" w:sz="2"/>
        </w:tblBorders>
      </w:tblPr>
      <w:tblGrid>
        <w:gridCol w:w="3100"/>
        <w:gridCol w:w="4200"/>
        <w:gridCol w:w="2060"/>
      </w:tblGrid>
      <w:tr>
        <w:trPr>
          <w:tblHeader/>
        </w:trPr>
        <w:tc>
          <w:tcPr>
            <w:tcW w:type="dxa" w:w="3100"/>
            <w:shd w:fill="1E7A4D" w:color="auto" w:val="clear"/>
            <w:tcMar>
              <w:top w:type="dxa" w:w="54"/>
              <w:left w:type="dxa" w:w="90"/>
              <w:bottom w:type="dxa" w:w="54"/>
              <w:right w:type="dxa" w:w="90"/>
            </w:tcMar>
          </w:tcPr>
          <w:p>
            <w:r>
              <w:rPr>
                <w:b/>
                <w:bCs/>
                <w:color w:val="FFFFFF"/>
                <w:sz w:val="17"/>
                <w:szCs w:val="17"/>
              </w:rPr>
              <w:t xml:space="preserve">Disposition</w:t>
            </w:r>
          </w:p>
        </w:tc>
        <w:tc>
          <w:tcPr>
            <w:tcW w:type="dxa" w:w="4200"/>
            <w:shd w:fill="1E7A4D" w:color="auto" w:val="clear"/>
            <w:tcMar>
              <w:top w:type="dxa" w:w="54"/>
              <w:left w:type="dxa" w:w="90"/>
              <w:bottom w:type="dxa" w:w="54"/>
              <w:right w:type="dxa" w:w="90"/>
            </w:tcMar>
          </w:tcPr>
          <w:p>
            <w:r>
              <w:rPr>
                <w:b/>
                <w:bCs/>
                <w:color w:val="FFFFFF"/>
                <w:sz w:val="17"/>
                <w:szCs w:val="17"/>
              </w:rPr>
              <w:t xml:space="preserve">Meaning</w:t>
            </w:r>
          </w:p>
        </w:tc>
        <w:tc>
          <w:tcPr>
            <w:tcW w:type="dxa" w:w="2060"/>
            <w:shd w:fill="1E7A4D" w:color="auto" w:val="clear"/>
            <w:tcMar>
              <w:top w:type="dxa" w:w="54"/>
              <w:left w:type="dxa" w:w="90"/>
              <w:bottom w:type="dxa" w:w="54"/>
              <w:right w:type="dxa" w:w="90"/>
            </w:tcMar>
          </w:tcPr>
          <w:p>
            <w:r>
              <w:rPr>
                <w:b/>
                <w:bCs/>
                <w:color w:val="FFFFFF"/>
                <w:sz w:val="17"/>
                <w:szCs w:val="17"/>
              </w:rPr>
              <w:t xml:space="preserve">Category</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clear_false_positive</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Clear as false positive</w:t>
            </w:r>
          </w:p>
        </w:tc>
        <w:tc>
          <w:tcPr>
            <w:tcW w:type="dxa" w:w="2060"/>
            <w:shd w:fill="FFFFFF" w:color="auto" w:val="clear"/>
            <w:tcMar>
              <w:top w:type="dxa" w:w="50"/>
              <w:left w:type="dxa" w:w="90"/>
              <w:bottom w:type="dxa" w:w="50"/>
              <w:right w:type="dxa" w:w="90"/>
            </w:tcMar>
          </w:tcPr>
          <w:p>
            <w:pPr>
              <w:spacing w:after="0" w:line="248"/>
            </w:pPr>
            <w:r>
              <w:rPr>
                <w:b w:val="false"/>
                <w:bCs w:val="false"/>
                <w:color w:val="2E7D57"/>
                <w:sz w:val="17"/>
                <w:szCs w:val="17"/>
              </w:rPr>
              <w:t xml:space="preserve">false_positive</w:t>
            </w:r>
          </w:p>
        </w:tc>
      </w:tr>
      <w:tr>
        <w:tc>
          <w:tcPr>
            <w:tcW w:type="dxa" w:w="31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escalate_l2</w:t>
            </w:r>
          </w:p>
        </w:tc>
        <w:tc>
          <w:tcPr>
            <w:tcW w:type="dxa" w:w="42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Escalate to L2 investigation</w:t>
            </w:r>
          </w:p>
        </w:tc>
        <w:tc>
          <w:tcPr>
            <w:tcW w:type="dxa" w:w="2060"/>
            <w:shd w:fill="F4F6FB" w:color="auto" w:val="clear"/>
            <w:tcMar>
              <w:top w:type="dxa" w:w="50"/>
              <w:left w:type="dxa" w:w="90"/>
              <w:bottom w:type="dxa" w:w="50"/>
              <w:right w:type="dxa" w:w="90"/>
            </w:tcMar>
          </w:tcPr>
          <w:p>
            <w:pPr>
              <w:spacing w:after="0" w:line="248"/>
            </w:pPr>
            <w:r>
              <w:rPr>
                <w:b w:val="false"/>
                <w:bCs w:val="false"/>
                <w:color w:val="5B6670"/>
                <w:sz w:val="17"/>
                <w:szCs w:val="17"/>
              </w:rPr>
              <w:t xml:space="preserve">inconclusive</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recommend_sar</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Recommend SAR (MLRO decides filing)</w:t>
            </w:r>
          </w:p>
        </w:tc>
        <w:tc>
          <w:tcPr>
            <w:tcW w:type="dxa" w:w="2060"/>
            <w:shd w:fill="FFFFFF" w:color="auto" w:val="clear"/>
            <w:tcMar>
              <w:top w:type="dxa" w:w="50"/>
              <w:left w:type="dxa" w:w="90"/>
              <w:bottom w:type="dxa" w:w="50"/>
              <w:right w:type="dxa" w:w="90"/>
            </w:tcMar>
          </w:tcPr>
          <w:p>
            <w:pPr>
              <w:spacing w:after="0" w:line="248"/>
            </w:pPr>
            <w:r>
              <w:rPr>
                <w:b w:val="false"/>
                <w:bCs w:val="false"/>
                <w:color w:val="B26B00"/>
                <w:sz w:val="17"/>
                <w:szCs w:val="17"/>
              </w:rPr>
              <w:t xml:space="preserve">true_positive</w:t>
            </w:r>
          </w:p>
        </w:tc>
      </w:tr>
      <w:tr>
        <w:tc>
          <w:tcPr>
            <w:tcW w:type="dxa" w:w="3100"/>
            <w:shd w:fill="F4F6FB"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sanctions_true_hit</w:t>
            </w:r>
          </w:p>
        </w:tc>
        <w:tc>
          <w:tcPr>
            <w:tcW w:type="dxa" w:w="4200"/>
            <w:shd w:fill="F4F6FB" w:color="auto" w:val="clear"/>
            <w:tcMar>
              <w:top w:type="dxa" w:w="50"/>
              <w:left w:type="dxa" w:w="90"/>
              <w:bottom w:type="dxa" w:w="50"/>
              <w:right w:type="dxa" w:w="90"/>
            </w:tcMar>
          </w:tcPr>
          <w:p>
            <w:pPr>
              <w:spacing w:after="0" w:line="248"/>
            </w:pPr>
            <w:r>
              <w:rPr>
                <w:b w:val="false"/>
                <w:bCs w:val="false"/>
                <w:color w:val="1B2430"/>
                <w:sz w:val="17"/>
                <w:szCs w:val="17"/>
              </w:rPr>
              <w:t xml:space="preserve">Sanctions true hit — block &amp; report</w:t>
            </w:r>
          </w:p>
        </w:tc>
        <w:tc>
          <w:tcPr>
            <w:tcW w:type="dxa" w:w="2060"/>
            <w:shd w:fill="F4F6FB" w:color="auto" w:val="clear"/>
            <w:tcMar>
              <w:top w:type="dxa" w:w="50"/>
              <w:left w:type="dxa" w:w="90"/>
              <w:bottom w:type="dxa" w:w="50"/>
              <w:right w:type="dxa" w:w="90"/>
            </w:tcMar>
          </w:tcPr>
          <w:p>
            <w:pPr>
              <w:spacing w:after="0" w:line="248"/>
            </w:pPr>
            <w:r>
              <w:rPr>
                <w:b w:val="false"/>
                <w:bCs w:val="false"/>
                <w:color w:val="B26B00"/>
                <w:sz w:val="17"/>
                <w:szCs w:val="17"/>
              </w:rPr>
              <w:t xml:space="preserve">true_positive</w:t>
            </w:r>
          </w:p>
        </w:tc>
      </w:tr>
      <w:tr>
        <w:tc>
          <w:tcPr>
            <w:tcW w:type="dxa" w:w="3100"/>
            <w:shd w:fill="FFFFFF" w:color="auto" w:val="clear"/>
            <w:tcMar>
              <w:top w:type="dxa" w:w="50"/>
              <w:left w:type="dxa" w:w="90"/>
              <w:bottom w:type="dxa" w:w="50"/>
              <w:right w:type="dxa" w:w="90"/>
            </w:tcMar>
          </w:tcPr>
          <w:p>
            <w:pPr>
              <w:spacing w:after="0" w:line="248"/>
            </w:pPr>
            <w:r>
              <w:rPr>
                <w:b/>
                <w:bCs/>
                <w:color w:val="1B2430"/>
                <w:sz w:val="17"/>
                <w:szCs w:val="17"/>
                <w:rFonts w:ascii="Consolas" w:cs="Consolas" w:eastAsia="Consolas" w:hAnsi="Consolas"/>
              </w:rPr>
              <w:t xml:space="preserve">edd_required</w:t>
            </w:r>
          </w:p>
        </w:tc>
        <w:tc>
          <w:tcPr>
            <w:tcW w:type="dxa" w:w="4200"/>
            <w:shd w:fill="FFFFFF" w:color="auto" w:val="clear"/>
            <w:tcMar>
              <w:top w:type="dxa" w:w="50"/>
              <w:left w:type="dxa" w:w="90"/>
              <w:bottom w:type="dxa" w:w="50"/>
              <w:right w:type="dxa" w:w="90"/>
            </w:tcMar>
          </w:tcPr>
          <w:p>
            <w:pPr>
              <w:spacing w:after="0" w:line="248"/>
            </w:pPr>
            <w:r>
              <w:rPr>
                <w:b w:val="false"/>
                <w:bCs w:val="false"/>
                <w:color w:val="1B2430"/>
                <w:sz w:val="17"/>
                <w:szCs w:val="17"/>
              </w:rPr>
              <w:t xml:space="preserve">EDD required — enhanced due diligence</w:t>
            </w:r>
          </w:p>
        </w:tc>
        <w:tc>
          <w:tcPr>
            <w:tcW w:type="dxa" w:w="2060"/>
            <w:shd w:fill="FFFFFF" w:color="auto" w:val="clear"/>
            <w:tcMar>
              <w:top w:type="dxa" w:w="50"/>
              <w:left w:type="dxa" w:w="90"/>
              <w:bottom w:type="dxa" w:w="50"/>
              <w:right w:type="dxa" w:w="90"/>
            </w:tcMar>
          </w:tcPr>
          <w:p>
            <w:pPr>
              <w:spacing w:after="0" w:line="248"/>
            </w:pPr>
            <w:r>
              <w:rPr>
                <w:b w:val="false"/>
                <w:bCs w:val="false"/>
                <w:color w:val="5B6670"/>
                <w:sz w:val="17"/>
                <w:szCs w:val="17"/>
              </w:rPr>
              <w:t xml:space="preserve">other</w:t>
            </w:r>
          </w:p>
        </w:tc>
      </w:tr>
    </w:tbl>
    <w:p>
      <w:pPr>
        <w:spacing w:after="120" w:line="276"/>
      </w:pPr>
      <w:r>
        <w:rPr>
          <w:b/>
          <w:bCs/>
          <w:color w:val="1B2430"/>
        </w:rPr>
        <w:t xml:space="preserve">How the team uses it:</w:t>
      </w:r>
    </w:p>
    <w:p>
      <w:pPr>
        <w:pStyle w:val="ListParagraph"/>
        <w:numPr>
          <w:ilvl w:val="0"/>
          <w:numId w:val="2"/>
        </w:numPr>
        <w:spacing w:after="80" w:line="274"/>
      </w:pPr>
      <w:r>
        <w:rPr>
          <w:color w:val="1B2430"/>
        </w:rPr>
        <w:t xml:space="preserve">Open </w:t>
      </w:r>
      <w:r>
        <w:rPr>
          <w:b/>
          <w:bCs/>
          <w:color w:val="1B2430"/>
        </w:rPr>
        <w:t xml:space="preserve">Cases</w:t>
      </w:r>
      <w:r>
        <w:rPr>
          <w:color w:val="1B2430"/>
        </w:rPr>
        <w:t xml:space="preserve"> — the ranked review worklist. Each row is a queued item with its context.</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5. </w:t>
      </w:r>
      <w:r>
        <w:rPr>
          <w:i/>
          <w:iCs/>
          <w:color w:val="5B6670"/>
          <w:sz w:val="17"/>
          <w:szCs w:val="17"/>
        </w:rPr>
        <w:t xml:space="preserve">The review worklist surface (claims demo shown; this pack drives the identical surface with its own queue).</w:t>
      </w:r>
    </w:p>
    <w:p>
      <w:pPr>
        <w:pStyle w:val="ListParagraph"/>
        <w:numPr>
          <w:ilvl w:val="0"/>
          <w:numId w:val="2"/>
        </w:numPr>
        <w:spacing w:after="80" w:line="274"/>
      </w:pPr>
      <w:r>
        <w:rPr>
          <w:color w:val="1B2430"/>
        </w:rPr>
        <w:t xml:space="preserve">Open an item; the </w:t>
      </w:r>
      <w:r>
        <w:rPr>
          <w:b/>
          <w:bCs/>
          <w:color w:val="1B2430"/>
        </w:rPr>
        <w:t xml:space="preserve">Overview</w:t>
      </w:r>
      <w:r>
        <w:rPr>
          <w:color w:val="1B2430"/>
        </w:rPr>
        <w:t xml:space="preserve"> shows the evidence and the AI recommendation citing the rule + source. Open </w:t>
      </w:r>
      <w:r>
        <w:rPr>
          <w:b/>
          <w:bCs/>
          <w:color w:val="1B2430"/>
        </w:rPr>
        <w:t xml:space="preserve">Proposals</w:t>
      </w:r>
      <w:r>
        <w:rPr>
          <w:color w:val="1B2430"/>
        </w:rPr>
        <w:t xml:space="preserve"> to see the disposition as a diff.</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6. </w:t>
      </w:r>
      <w:r>
        <w:rPr>
          <w:i/>
          <w:iCs/>
          <w:color w:val="5B6670"/>
          <w:sz w:val="17"/>
          <w:szCs w:val="17"/>
        </w:rPr>
        <w:t xml:space="preserve">A disposition proposal as a field-level diff — inert until a human approves.</w:t>
      </w:r>
    </w:p>
    <w:p>
      <w:pPr>
        <w:pStyle w:val="ListParagraph"/>
        <w:numPr>
          <w:ilvl w:val="0"/>
          <w:numId w:val="2"/>
        </w:numPr>
        <w:spacing w:after="80" w:line="274"/>
      </w:pPr>
      <w:r>
        <w:rPr>
          <w:color w:val="1B2430"/>
        </w:rPr>
        <w:t xml:space="preserve">Approve, edit (the correction becomes training data), or reject with a reason from the </w:t>
      </w:r>
      <w:r>
        <w:rPr>
          <w:b/>
          <w:bCs/>
          <w:color w:val="1B2430"/>
        </w:rPr>
        <w:t xml:space="preserve">Approvals</w:t>
      </w:r>
      <w:r>
        <w:rPr>
          <w:color w:val="1B2430"/>
        </w:rPr>
        <w:t xml:space="preserve"> inbox — four-eyes.</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7. </w:t>
      </w:r>
      <w:r>
        <w:rPr>
          <w:i/>
          <w:iCs/>
          <w:color w:val="5B6670"/>
          <w:sz w:val="17"/>
          <w:szCs w:val="17"/>
        </w:rPr>
        <w:t xml:space="preserve">The approval inbox. Every disposition is approved by someone other than the proposer — four-eyes.</w:t>
      </w:r>
    </w:p>
    <w:p>
      <w:pPr>
        <w:pStyle w:val="Heading2"/>
        <w:spacing w:before="230" w:after="40"/>
      </w:pPr>
      <w:r>
        <w:rPr>
          <w:b/>
          <w:bCs/>
          <w:color w:val="FFFFFF"/>
          <w:sz w:val="17"/>
          <w:szCs w:val="17"/>
          <w:rFonts w:ascii="Consolas" w:cs="Consolas" w:eastAsia="Consolas" w:hAnsi="Consolas"/>
          <w:shd w:fill="1E7A4D" w:color="auto" w:val="clear"/>
        </w:rPr>
        <w:t xml:space="preserve">  governance  </w:t>
      </w:r>
      <w:r>
        <w:rPr>
          <w:b/>
          <w:bCs/>
          <w:color w:val="1B2430"/>
        </w:rPr>
        <w:t xml:space="preserve">   4.8. Keep the models honest</w:t>
      </w:r>
    </w:p>
    <w:p>
      <w:pPr>
        <w:spacing w:after="120" w:line="276"/>
      </w:pPr>
      <w:r>
        <w:rPr>
          <w:color w:val="1B2430"/>
        </w:rPr>
        <w:t xml:space="preserve">The governance agent runs autonomously under its own agent principal; when a model drifts or corrections pile up past threshold it opens a </w:t>
      </w:r>
      <w:r>
        <w:rPr>
          <w:color w:val="9B2C6F"/>
          <w:sz w:val="18"/>
          <w:szCs w:val="18"/>
          <w:rFonts w:ascii="Consolas" w:cs="Consolas" w:eastAsia="Consolas" w:hAnsi="Consolas"/>
        </w:rPr>
        <w:t xml:space="preserve">mlops.open_retrain</w:t>
      </w:r>
      <w:r>
        <w:rPr>
          <w:color w:val="1B2430"/>
        </w:rPr>
        <w:t xml:space="preserve"> proposal with the evidence summarised. A director approves.</w:t>
      </w:r>
    </w:p>
    <w:p>
      <w:pPr>
        <w:pStyle w:val="Heading2"/>
        <w:spacing w:before="230" w:after="40"/>
      </w:pPr>
      <w:r>
        <w:rPr>
          <w:b/>
          <w:bCs/>
          <w:color w:val="FFFFFF"/>
          <w:sz w:val="17"/>
          <w:szCs w:val="17"/>
          <w:rFonts w:ascii="Consolas" w:cs="Consolas" w:eastAsia="Consolas" w:hAnsi="Consolas"/>
          <w:shd w:fill="1E7A4D" w:color="auto" w:val="clear"/>
        </w:rPr>
        <w:t xml:space="preserve">  meta-router  </w:t>
      </w:r>
      <w:r>
        <w:rPr>
          <w:b/>
          <w:bCs/>
          <w:color w:val="1B2430"/>
        </w:rPr>
        <w:t xml:space="preserve">   4.9. The team’s front door</w:t>
      </w:r>
    </w:p>
    <w:p>
      <w:pPr>
        <w:spacing w:after="120" w:line="276"/>
      </w:pPr>
      <w:r>
        <w:rPr>
          <w:color w:val="1B2430"/>
        </w:rPr>
        <w:t xml:space="preserve">The meta-router takes a free-text request, classifies it, and delegates to the right specialist — analytics for a question, case-triage for a queued item, ml-engineer for a model. Everything still flows through the same proposal + approval gate.</w:t>
      </w:r>
    </w:p>
    <w:p>
      <w:pPr>
        <w:pStyle w:val="Heading1"/>
        <w:spacing w:before="300" w:after="70"/>
      </w:pPr>
      <w:r>
        <w:rPr>
          <w:b/>
          <w:bCs/>
          <w:color w:val="1E7A4D"/>
        </w:rPr>
        <w:t xml:space="preserve">5.  The operating cycle</w:t>
      </w:r>
    </w:p>
    <w:p>
      <w:pPr>
        <w:pStyle w:val="ListParagraph"/>
        <w:numPr>
          <w:ilvl w:val="0"/>
          <w:numId w:val="2"/>
        </w:numPr>
        <w:spacing w:after="80" w:line="274"/>
      </w:pPr>
       — onboarding proposes ingestions → the source feeds become governed datasets.
    </w:p>
    <w:p>
      <w:pPr>
        <w:pStyle w:val="ListParagraph"/>
        <w:numPr>
          <w:ilvl w:val="0"/>
          <w:numId w:val="2"/>
        </w:numPr>
        <w:spacing w:after="80" w:line="274"/>
      </w:pPr>
       — analytics + dashboards surface where attention is needed.
    </w:p>
    <w:p>
      <w:pPr>
        <w:pStyle w:val="ListParagraph"/>
        <w:numPr>
          <w:ilvl w:val="0"/>
          <w:numId w:val="2"/>
        </w:numPr>
        <w:spacing w:after="80" w:line="274"/>
      </w:pPr>
       — ml-engineer / model-training build the model; inference scores the population.
    </w:p>
    <w:p>
      <w:pPr>
        <w:pStyle w:val="ListParagraph"/>
        <w:numPr>
          <w:ilvl w:val="0"/>
          <w:numId w:val="2"/>
        </w:numPr>
        <w:spacing w:after="80" w:line="274"/>
      </w:pPr>
       — case-triage proposes dispositions on the queue; the team approves (four-eyes).
    </w:p>
    <w:p>
      <w:pPr>
        <w:pStyle w:val="ListParagraph"/>
        <w:numPr>
          <w:ilvl w:val="0"/>
          <w:numId w:val="2"/>
        </w:numPr>
        <w:spacing w:after="80" w:line="274"/>
      </w:pPr>
       — approved actions sync to the system of record in proposal-mode (pack-service adapters).
    </w:p>
    <w:p>
      <w:pPr>
        <w:pStyle w:val="ListParagraph"/>
        <w:numPr>
          <w:ilvl w:val="0"/>
          <w:numId w:val="2"/>
        </w:numPr>
        <w:spacing w:after="80" w:line="274"/>
      </w:pPr>
       — every correction trains the next model; governance opens a retrain on drift.
    </w:p>
    <w:tbl>
      <w:tblPr>
        <w:tblW w:type="dxa" w:w="9360"/>
        <w:tblBorders>
          <w:top w:val="single" w:color="C4E0D2" w:sz="2"/>
          <w:left w:val="single" w:color="1E7A4D" w:sz="18"/>
          <w:bottom w:val="single" w:color="C4E0D2" w:sz="2"/>
          <w:right w:val="single" w:color="C4E0D2" w:sz="2"/>
          <w:insideH w:val="none"/>
          <w:insideV w:val="none"/>
        </w:tblBorders>
      </w:tblPr>
      <w:tblGrid>
        <w:gridCol w:w="9360"/>
      </w:tblGrid>
      <w:tr>
        <w:tc>
          <w:tcPr>
            <w:tcW w:type="dxa" w:w="9360"/>
            <w:shd w:fill="E6F2EC" w:color="auto" w:val="clear"/>
            <w:tcMar>
              <w:top w:type="dxa" w:w="110"/>
              <w:left w:type="dxa" w:w="150"/>
              <w:bottom w:type="dxa" w:w="110"/>
              <w:right w:type="dxa" w:w="150"/>
            </w:tcMar>
          </w:tcPr>
          <w:p>
            <w:pPr>
              <w:spacing w:after="40"/>
            </w:pPr>
            <w:r>
              <w:rPr>
                <w:b/>
                <w:bCs/>
                <w:color w:val="1E7A4D"/>
                <w:sz w:val="18"/>
                <w:szCs w:val="18"/>
                <w:caps/>
              </w:rPr>
              <w:t xml:space="preserve">Governed automation is real</w:t>
            </w:r>
          </w:p>
          <w:p>
            <w:pPr>
              <w:spacing w:after="0" w:line="264"/>
            </w:pPr>
            <w:r>
              <w:rPr>
                <w:color w:val="1B2430"/>
              </w:rPr>
              <w:t xml:space="preserve">Decision tables let you encode deterministic rules that </w:t>
            </w:r>
            <w:r>
              <w:rPr>
                <w:b/>
                <w:bCs/>
                <w:color w:val="1B2430"/>
              </w:rPr>
              <w:t xml:space="preserve">propose</w:t>
            </w:r>
            <w:r>
              <w:rPr>
                <w:color w:val="1B2430"/>
              </w:rPr>
              <w:t xml:space="preserve"> a disposition for approval — never decide autonomously — alongside the agents.</w:t>
            </w:r>
          </w:p>
        </w:tc>
      </w:tr>
    </w:tbl>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8. </w:t>
      </w:r>
      <w:r>
        <w:rPr>
          <w:i/>
          <w:iCs/>
          <w:color w:val="5B6670"/>
          <w:sz w:val="17"/>
          <w:szCs w:val="17"/>
        </w:rPr>
        <w:t xml:space="preserve">Governed decision tables: deterministic rules that propose a disposition for human approval, versioned and approved by a named user.</w:t>
      </w:r>
    </w:p>
    <w:p>
      <w:pPr>
        <w:pStyle w:val="Heading1"/>
        <w:spacing w:before="300" w:after="70"/>
      </w:pPr>
      <w:r>
        <w:rPr>
          <w:b/>
          <w:bCs/>
          <w:color w:val="1E7A4D"/>
        </w:rPr>
        <w:t xml:space="preserve">6.  Governance &amp; the eval gate</w:t>
      </w:r>
    </w:p>
    <w:p>
      <w:pPr>
        <w:pStyle w:val="ListParagraph"/>
        <w:numPr>
          <w:ilvl w:val="0"/>
          <w:numId w:val="3"/>
        </w:numPr>
        <w:spacing w:after="60" w:line="272"/>
      </w:pPr>
      <w:r>
        <w:rPr>
          <w:b/>
          <w:bCs/>
          <w:color w:val="1B2430"/>
        </w:rPr>
        <w:t xml:space="preserve">No autonomous action. </w:t>
      </w:r>
      <w:r>
        <w:rPr>
          <w:color w:val="1B2430"/>
        </w:rPr>
        <w:t xml:space="preserve">Every consequential step is a human-approved proposal (four-eyes).</w:t>
      </w:r>
    </w:p>
    <w:p>
      <w:pPr>
        <w:pStyle w:val="ListParagraph"/>
        <w:numPr>
          <w:ilvl w:val="0"/>
          <w:numId w:val="3"/>
        </w:numPr>
        <w:spacing w:after="60" w:line="272"/>
      </w:pPr>
      <w:r>
        <w:rPr>
          <w:b/>
          <w:bCs/>
          <w:color w:val="1B2430"/>
        </w:rPr>
        <w:t xml:space="preserve">Rules as grounding. </w:t>
      </w:r>
      <w:r>
        <w:rPr>
          <w:color w:val="1B2430"/>
        </w:rPr>
        <w:t xml:space="preserve">The domain’s regulatory rules are retrieved as grounding the agents must cite (bsa, fincen_sar, ofac, sr_11_7, fatf).</w:t>
      </w:r>
    </w:p>
    <w:p>
      <w:pPr>
        <w:pStyle w:val="ListParagraph"/>
        <w:numPr>
          <w:ilvl w:val="0"/>
          <w:numId w:val="3"/>
        </w:numPr>
        <w:spacing w:after="60" w:line="272"/>
      </w:pPr>
      <w:r>
        <w:rPr>
          <w:b/>
          <w:bCs/>
          <w:color w:val="1B2430"/>
        </w:rPr>
        <w:t xml:space="preserve">Eval-gated models. </w:t>
      </w:r>
      <w:r>
        <w:rPr>
          <w:color w:val="1B2430"/>
        </w:rPr>
        <w:t xml:space="preserve">A model is promoted only after passing its eval suite; rollback = demote.</w:t>
      </w:r>
    </w:p>
    <w:tbl>
      <w:tblPr>
        <w:tblW w:type="dxa" w:w="8400"/>
        <w:jc w:val="center"/>
        <w:tblBorders>
          <w:top w:val="single" w:color="C4E0D2" w:sz="4"/>
          <w:left w:val="single" w:color="C4E0D2" w:sz="4"/>
          <w:bottom w:val="single" w:color="C4E0D2" w:sz="4"/>
          <w:right w:val="single" w:color="C4E0D2" w:sz="4"/>
          <w:insideH w:val="none"/>
          <w:insideV w:val="none"/>
        </w:tblBorders>
      </w:tblPr>
      <w:tblGrid>
        <w:gridCol w:w="8400"/>
      </w:tblGrid>
      <w:tr>
        <w:tc>
          <w:tcPr>
            <w:tcW w:type="dxa" w:w="8400"/>
            <w:shd w:fill="FBFCFC" w:color="auto" w:val="clear"/>
            <w:tcMar>
              <w:top w:type="dxa" w:w="60"/>
              <w:left w:type="dxa" w:w="60"/>
              <w:bottom w:type="dxa" w:w="60"/>
              <w:right w:type="dxa" w:w="60"/>
            </w:tcMar>
          </w:tcPr>
          <w:p>
            <w:pPr>
              <w:spacing w:after="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tc>
      </w:tr>
    </w:tbl>
    <w:p>
      <w:pPr>
        <w:spacing w:before="36" w:after="180"/>
        <w:jc w:val="center"/>
      </w:pPr>
      <w:r>
        <w:rPr>
          <w:b/>
          <w:bCs/>
          <w:color w:val="1E7A4D"/>
          <w:sz w:val="17"/>
          <w:szCs w:val="17"/>
        </w:rPr>
        <w:t xml:space="preserve">Figure 9. </w:t>
      </w:r>
      <w:r>
        <w:rPr>
          <w:i/>
          <w:iCs/>
          <w:color w:val="5B6670"/>
          <w:sz w:val="17"/>
          <w:szCs w:val="17"/>
        </w:rPr>
        <w:t xml:space="preserve">The eval flywheel — the promotion gate for this vertical’s models: runs &amp; gates, scorers, and canary A/B.</w:t>
      </w:r>
    </w:p>
    <w:p>
      <w:pPr>
        <w:pStyle w:val="Heading1"/>
        <w:spacing w:before="300" w:after="70"/>
      </w:pPr>
      <w:r>
        <w:rPr>
          <w:b/>
          <w:bCs/>
          <w:color w:val="1E7A4D"/>
        </w:rPr>
        <w:t xml:space="preserve">7.  What is live today vs pack-service-deferred</w:t>
      </w:r>
    </w:p>
    <w:p>
      <w:pPr>
        <w:spacing w:after="120" w:line="276"/>
      </w:pPr>
      <w:r>
        <w:rPr>
          <w:color w:val="1B2430"/>
        </w:rPr>
        <w:t xml:space="preserve">In the spirit of no-fake: what Core materialises today is live; the rest is recorded in the install ledger as deferred, with the proposal-mode + four-eyes guarantees already holding. Nothing is stubbed.</w:t>
      </w:r>
    </w:p>
    <w:tbl>
      <w:tblPr>
        <w:tblW w:type="dxa" w:w="9360"/>
        <w:tblBorders>
          <w:top w:val="single" w:color="C4E0D2" w:sz="2"/>
          <w:left w:val="single" w:color="C4E0D2" w:sz="2"/>
          <w:bottom w:val="single" w:color="C4E0D2" w:sz="2"/>
          <w:right w:val="single" w:color="C4E0D2" w:sz="2"/>
          <w:insideH w:val="single" w:color="C4E0D2" w:sz="2"/>
          <w:insideV w:val="single" w:color="C4E0D2" w:sz="2"/>
        </w:tblBorders>
      </w:tblPr>
      <w:tblGrid>
        <w:gridCol w:w="5900"/>
        <w:gridCol w:w="3460"/>
      </w:tblGrid>
      <w:tr>
        <w:trPr>
          <w:tblHeader/>
        </w:trPr>
        <w:tc>
          <w:tcPr>
            <w:tcW w:type="dxa" w:w="5900"/>
            <w:shd w:fill="1E7A4D" w:color="auto" w:val="clear"/>
            <w:tcMar>
              <w:top w:type="dxa" w:w="54"/>
              <w:left w:type="dxa" w:w="90"/>
              <w:bottom w:type="dxa" w:w="54"/>
              <w:right w:type="dxa" w:w="90"/>
            </w:tcMar>
          </w:tcPr>
          <w:p>
            <w:r>
              <w:rPr>
                <w:b/>
                <w:bCs/>
                <w:color w:val="FFFFFF"/>
                <w:sz w:val="17"/>
                <w:szCs w:val="17"/>
              </w:rPr>
              <w:t xml:space="preserve">Capability</w:t>
            </w:r>
          </w:p>
        </w:tc>
        <w:tc>
          <w:tcPr>
            <w:tcW w:type="dxa" w:w="3460"/>
            <w:shd w:fill="1E7A4D" w:color="auto" w:val="clear"/>
            <w:tcMar>
              <w:top w:type="dxa" w:w="54"/>
              <w:left w:type="dxa" w:w="90"/>
              <w:bottom w:type="dxa" w:w="54"/>
              <w:right w:type="dxa" w:w="90"/>
            </w:tcMar>
          </w:tcPr>
          <w:p>
            <w:r>
              <w:rPr>
                <w:b/>
                <w:bCs/>
                <w:color w:val="FFFFFF"/>
                <w:sz w:val="17"/>
                <w:szCs w:val="17"/>
              </w:rPr>
              <w:t xml:space="preserve">Status</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Semantic models (aml_core), dashboards, saved/verified queries</w:t>
            </w:r>
          </w:p>
        </w:tc>
        <w:tc>
          <w:tcPr>
            <w:tcW w:type="dxa" w:w="3460"/>
            <w:shd w:fill="FFFFFF"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4F6FB" w:color="auto" w:val="clear"/>
            <w:tcMar>
              <w:top w:type="dxa" w:w="50"/>
              <w:left w:type="dxa" w:w="90"/>
              <w:bottom w:type="dxa" w:w="50"/>
              <w:right w:type="dxa" w:w="90"/>
            </w:tcMar>
          </w:tcPr>
          <w:p>
            <w:pPr>
              <w:spacing w:after="0" w:line="248"/>
            </w:pPr>
            <w:r>
              <w:rPr>
                <w:b/>
                <w:bCs/>
                <w:color w:val="1B2430"/>
                <w:sz w:val="17"/>
                <w:szCs w:val="17"/>
              </w:rPr>
              <w:t xml:space="preserve">Review case queue + disposition taxonomy + role catalog</w:t>
            </w:r>
          </w:p>
        </w:tc>
        <w:tc>
          <w:tcPr>
            <w:tcW w:type="dxa" w:w="3460"/>
            <w:shd w:fill="F4F6FB"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case-triage + analytics specialised to this domain (rule grounding)</w:t>
            </w:r>
          </w:p>
        </w:tc>
        <w:tc>
          <w:tcPr>
            <w:tcW w:type="dxa" w:w="3460"/>
            <w:shd w:fill="FFFFFF"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4F6FB" w:color="auto" w:val="clear"/>
            <w:tcMar>
              <w:top w:type="dxa" w:w="50"/>
              <w:left w:type="dxa" w:w="90"/>
              <w:bottom w:type="dxa" w:w="50"/>
              <w:right w:type="dxa" w:w="90"/>
            </w:tcMar>
          </w:tcPr>
          <w:p>
            <w:pPr>
              <w:spacing w:after="0" w:line="248"/>
            </w:pPr>
            <w:r>
              <w:rPr>
                <w:b/>
                <w:bCs/>
                <w:color w:val="1B2430"/>
                <w:sz w:val="17"/>
                <w:szCs w:val="17"/>
              </w:rPr>
              <w:t xml:space="preserve">transaction-anomaly + alert-scoring training pipeline</w:t>
            </w:r>
          </w:p>
        </w:tc>
        <w:tc>
          <w:tcPr>
            <w:tcW w:type="dxa" w:w="3460"/>
            <w:shd w:fill="F4F6FB" w:color="auto" w:val="clear"/>
            <w:tcMar>
              <w:top w:type="dxa" w:w="50"/>
              <w:left w:type="dxa" w:w="90"/>
              <w:bottom w:type="dxa" w:w="50"/>
              <w:right w:type="dxa" w:w="90"/>
            </w:tcMar>
          </w:tcPr>
          <w:p>
            <w:pPr>
              <w:spacing w:after="0" w:line="248"/>
            </w:pPr>
            <w:r>
              <w:rPr>
                <w:b/>
                <w:bCs/>
                <w:color w:val="2E7D57"/>
                <w:sz w:val="17"/>
                <w:szCs w:val="17"/>
              </w:rPr>
              <w:t xml:space="preserve">Live</w:t>
            </w:r>
          </w:p>
        </w:tc>
      </w:tr>
      <w:tr>
        <w:tc>
          <w:tcPr>
            <w:tcW w:type="dxa" w:w="5900"/>
            <w:shd w:fill="FFFFFF" w:color="auto" w:val="clear"/>
            <w:tcMar>
              <w:top w:type="dxa" w:w="50"/>
              <w:left w:type="dxa" w:w="90"/>
              <w:bottom w:type="dxa" w:w="50"/>
              <w:right w:type="dxa" w:w="90"/>
            </w:tcMar>
          </w:tcPr>
          <w:p>
            <w:pPr>
              <w:spacing w:after="0" w:line="248"/>
            </w:pPr>
            <w:r>
              <w:rPr>
                <w:b/>
                <w:bCs/>
                <w:color w:val="1B2430"/>
                <w:sz w:val="17"/>
                <w:szCs w:val="17"/>
              </w:rPr>
              <w:t xml:space="preserve">Deferred to pack-service: guardrails, agent_recipes, connection_templates, write_adapters, eval_sets, ontology, case_schemas, model_archetypes, display_labels</w:t>
            </w:r>
          </w:p>
        </w:tc>
        <w:tc>
          <w:tcPr>
            <w:tcW w:type="dxa" w:w="3460"/>
            <w:shd w:fill="FFFFFF" w:color="auto" w:val="clear"/>
            <w:tcMar>
              <w:top w:type="dxa" w:w="50"/>
              <w:left w:type="dxa" w:w="90"/>
              <w:bottom w:type="dxa" w:w="50"/>
              <w:right w:type="dxa" w:w="90"/>
            </w:tcMar>
          </w:tcPr>
          <w:p>
            <w:pPr>
              <w:spacing w:after="0" w:line="248"/>
            </w:pPr>
            <w:r>
              <w:rPr>
                <w:b/>
                <w:bCs/>
                <w:color w:val="B26B00"/>
                <w:sz w:val="17"/>
                <w:szCs w:val="17"/>
              </w:rPr>
              <w:t xml:space="preserve">Deferred → served today via config + seed data; guarantees hold</w:t>
            </w:r>
          </w:p>
        </w:tc>
      </w:tr>
    </w:tbl>
    <w:p>
      <w:pPr>
        <w:spacing w:after="120"/>
      </w:pPr>
    </w:p>
    <w:p>
      <w:pPr>
        <w:pBdr>
          <w:bottom w:val="single" w:color="C4E0D2" w:sz="6"/>
        </w:pBdr>
        <w:spacing w:before="120" w:after="120"/>
      </w:pPr>
    </w:p>
    <w:p>
      <w:pPr>
        <w:spacing w:after="120" w:line="276"/>
      </w:pPr>
      <w:r>
        <w:rPr>
          <w:i/>
          <w:iCs/>
          <w:color w:val="5B6670"/>
          <w:sz w:val="17"/>
          <w:szCs w:val="17"/>
        </w:rPr>
        <w:t xml:space="preserve">Grounded in the real banking-aml pack (its own pack.yaml, dispositions, roles, and agent instructions). The domain-asset captions name this pack’s real models/dashboards; agent-surface screenshots are the shared, pack-agnostic surfaces (claims demo shown) — this pack drives the identical surfaces with its own data. Where a capability awaits pack-service, this playbook says so.</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E7A4D"/>
      </w:rPr>
    </w:lvl>
  </w:abstractNum>
  <w:abstractNum w:abstractNumId="3" w15:restartNumberingAfterBreak="0">
    <w:multiLevelType w:val="hybridMultilevel"/>
    <w:lvl w:ilvl="0" w15:tentative="1">
      <w:start w:val="1"/>
      <w:numFmt w:val="decimal"/>
      <w:lvlText w:val="%1."/>
      <w:lvlJc w:val="start"/>
      <w:pPr>
        <w:ind w:left="420" w:hanging="260"/>
      </w:pPr>
      <w:rPr>
        <w:b/>
        <w:bCs/>
        <w:color w:val="1E7A4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2430"/>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1E7A4D"/>
      <w:sz w:val="30"/>
      <w:szCs w:val="30"/>
      <w:rFonts w:ascii="Calibri" w:cs="Calibri" w:eastAsia="Calibri" w:hAnsi="Calibri"/>
    </w:rPr>
  </w:style>
  <w:style w:type="paragraph" w:styleId="Heading2">
    <w:name w:val="Heading 2"/>
    <w:basedOn w:val="Normal"/>
    <w:next w:val="Normal"/>
    <w:qFormat/>
    <w:rPr>
      <w:b/>
      <w:bCs/>
      <w:color w:val="1B2430"/>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v8acxrmewdqeihcjhudr.png"/><Relationship Id="rId7" Type="http://schemas.openxmlformats.org/officeDocument/2006/relationships/image" Target="media/kwm_zm53p4l03yfwta2za.png"/><Relationship Id="rId8" Type="http://schemas.openxmlformats.org/officeDocument/2006/relationships/image" Target="media/qzqurwggjpn4sn6rx9--g.png"/><Relationship Id="rId9" Type="http://schemas.openxmlformats.org/officeDocument/2006/relationships/image" Target="media/jhrs1ifsikaymoqtsibzs.png"/><Relationship Id="rId10" Type="http://schemas.openxmlformats.org/officeDocument/2006/relationships/image" Target="media/2vqb0q7lbxcpn-qo37crz.png"/><Relationship Id="rId11" Type="http://schemas.openxmlformats.org/officeDocument/2006/relationships/image" Target="media/gb7sowe4mbiidjdnh3dag.png"/><Relationship Id="rId12" Type="http://schemas.openxmlformats.org/officeDocument/2006/relationships/image" Target="media/nvs9msqpeifoecjkbiiaa.png"/><Relationship Id="rId13" Type="http://schemas.openxmlformats.org/officeDocument/2006/relationships/image" Target="media/-vfcy1dbocjb5hwjvc1mg.png"/><Relationship Id="rId14" Type="http://schemas.openxmlformats.org/officeDocument/2006/relationships/image" Target="media/jtsvvjg8flke31aornlcn.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Windrose AI — Banking Aml Agent Playbook</dc:title>
  <dc:creator>Windrose AI</dc:creator>
  <dc:description>How to use the nine Windrose agents for Banking Aml, grounded in the banking-aml pack.</dc:description>
  <cp:lastModifiedBy>Un-named</cp:lastModifiedBy>
  <cp:revision>1</cp:revision>
  <dcterms:created xsi:type="dcterms:W3CDTF">2026-07-17T22:37:44.548Z</dcterms:created>
  <dcterms:modified xsi:type="dcterms:W3CDTF">2026-07-17T22:37:44.548Z</dcterms:modified>
</cp:coreProperties>
</file>

<file path=docProps/custom.xml><?xml version="1.0" encoding="utf-8"?>
<Properties xmlns="http://schemas.openxmlformats.org/officeDocument/2006/custom-properties" xmlns:vt="http://schemas.openxmlformats.org/officeDocument/2006/docPropsVTypes"/>
</file>