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1F5C8C"/>
          <w:sz w:val="18"/>
          <w:szCs w:val="18"/>
          <w:caps/>
        </w:rPr>
        <w:t xml:space="preserve">WINDROSE AI  ·  DEVICE COMPLAINTS</w:t>
      </w:r>
    </w:p>
    <w:p>
      <w:pPr>
        <w:pBdr>
          <w:bottom w:val="single" w:color="1F5C8C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device complaints.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device-complaints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device-complaints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medtech · medical_devices · complaints · mdr · quality · post_market_surveillance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fda_21_cfr_803, fda_21_cfr_820, eu_mdr, iso_13485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medical-device complaint handling and MDR reportability for manufacturers: complaint intake triage with regulatory-clock awareness (21 CFR 803 30-calendar-day and 5-work-day reports, becoming-aware day zero), death reportability presumption handling, malfunction could-recur assessment, 820.100 CAPA trend escalation, returned-device and duplicate workflows, complaint-quality KPI semantic model and dashboards (MDR filing rate, not-reportable rate, CAPA-open share, deadline runway, device-problem and harm mix), device-problem network analytics, Part 803/820 + EU MDR vigilance grounding memories, and device-fleet anomaly + reportability-scoring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9D6E0" w:sz="2"/>
          <w:left w:val="single" w:color="B23A48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F5C8C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Complaint Intake Coordinator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Complaint Investigator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MDR Reportability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Quality &amp; Regulatory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Quality Systems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F5C8C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device-fleet anomaly + reportability-scoring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complaints_core.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Complaint_handling_center, Mdr_clock_reportability, Device_problem_signals.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complaints_core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complaint-handling and post-market surveillance KPI questions from the governed semantic model complaints_core: mdr_filing_rate, not_reportable_rate, capa_open_share, duplicate_rate, serious_harm_share, avg_complaint_age_days (backlog aging), avg_days_to_deadline and deadline_bucket (MDR clock runway), device-problem surfaces (alarm_failure_count, software_anomaly_count), and fleet/portfolio surfaces (device_count, multi_repair_device_count, class_iii_product_count, recalled_product_count). Use plain operational language for quality, regulatory, and management-review audiences and always cite the measure n…</w:t>
            </w:r>
          </w:p>
        </w:tc>
      </w:tr>
    </w:tbl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device-fleet anomaly + reportability-scoring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device-fleet anomaly + reportability-scoring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device-fleet anomaly + reportability-scoring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complaint_queue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medical-device complaints for a manufacturer under 21 CFR 803 (Medical Device Reporting) and 21 CFR 820.198 (complaint files), with EU MDR vigilance as the parallel regime. Ground every recommendation in the specific complaint evidence — cite complaint ids, device ids, product names, lot/software-version bands, device-problem codes, patient harm, and any sibling complaints on the same product or device. Watch the regulatory clock first: the becoming-aware date is day zero when ANY employee learns of information reasonably suggesting a reportable event, so flag any complaint whose days_to_deadline puts the 30-calendar-day MDR window (or a 5-work-day remedial-action report) at risk, and never let investigation completeness justify blowing a reporting deadline — an MDR can be filed on the available information and supplemented later. Deaths carry a reportability presumption: if t…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file_mdr_report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File MDR report — reportable event confirmed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close_not_reportable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not MDR-reportable, rationale documented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open_capa_investigation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CAPA investigation — trend / systemic signal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request_device_return_info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Request device return / additional information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close_duplicate_complaint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duplicate of an already-processed complaint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(fda_21_cfr_803, fda_21_cfr_820, eu_mdr, iso_13485).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(complaints_core),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device-fleet anomaly + reportability-scoring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9D6E0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device-complaints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5C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1F5C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C8C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oakclqjurnpfomuunaef.png"/><Relationship Id="rId7" Type="http://schemas.openxmlformats.org/officeDocument/2006/relationships/image" Target="media/nmte5y55gxaqiqttnfiwx.png"/><Relationship Id="rId8" Type="http://schemas.openxmlformats.org/officeDocument/2006/relationships/image" Target="media/3xgsjdpiyyeluuvrccahh.png"/><Relationship Id="rId9" Type="http://schemas.openxmlformats.org/officeDocument/2006/relationships/image" Target="media/bupefaihrazzli3lv8xjz.png"/><Relationship Id="rId10" Type="http://schemas.openxmlformats.org/officeDocument/2006/relationships/image" Target="media/dfq-gpubf_bnpk6j_jp3l.png"/><Relationship Id="rId11" Type="http://schemas.openxmlformats.org/officeDocument/2006/relationships/image" Target="media/njgy-jp4cvtnfchbsayep.png"/><Relationship Id="rId12" Type="http://schemas.openxmlformats.org/officeDocument/2006/relationships/image" Target="media/zqjvh5fy69w5do1dh-dx4.png"/><Relationship Id="rId13" Type="http://schemas.openxmlformats.org/officeDocument/2006/relationships/image" Target="media/g6kecoe_lmhcy0iurcv6n.png"/><Relationship Id="rId14" Type="http://schemas.openxmlformats.org/officeDocument/2006/relationships/image" Target="media/vh4tmm9ktlm-lvdemqbsx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Device Complaints Agent Playbook</dc:title>
  <dc:creator>Windrose AI</dc:creator>
  <dc:description>How to use the nine Windrose agents for Device Complaints, grounded in the device-complaints pack.</dc:description>
  <cp:lastModifiedBy>Un-named</cp:lastModifiedBy>
  <cp:revision>1</cp:revision>
  <dcterms:created xsi:type="dcterms:W3CDTF">2026-07-17T22:37:44.881Z</dcterms:created>
  <dcterms:modified xsi:type="dcterms:W3CDTF">2026-07-17T22:37:44.881Z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